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E506" w14:textId="77777777" w:rsidR="00732CA1" w:rsidRPr="00361513" w:rsidRDefault="00732CA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themeColor="text1"/>
          <w:sz w:val="14"/>
          <w:szCs w:val="14"/>
        </w:rPr>
      </w:pPr>
      <w:bookmarkStart w:id="0" w:name="_gjdgxs" w:colFirst="0" w:colLast="0"/>
      <w:bookmarkEnd w:id="0"/>
    </w:p>
    <w:p w14:paraId="1322C670" w14:textId="05BF66EC" w:rsidR="00732CA1" w:rsidRPr="00361513" w:rsidRDefault="00585F5F" w:rsidP="0090424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rPr>
      </w:pPr>
      <w:r w:rsidRPr="00361513">
        <w:rPr>
          <w:rFonts w:ascii="Garamond" w:eastAsia="Garamond" w:hAnsi="Garamond" w:cs="Garamond"/>
          <w:b/>
          <w:color w:val="000000" w:themeColor="text1"/>
          <w:sz w:val="32"/>
          <w:szCs w:val="32"/>
        </w:rPr>
        <w:t xml:space="preserve">La tormenta económica atravesada por el negocio de </w:t>
      </w:r>
      <w:r w:rsidRPr="00361513">
        <w:rPr>
          <w:rFonts w:ascii="Garamond" w:eastAsia="Garamond" w:hAnsi="Garamond" w:cs="Garamond"/>
          <w:b/>
          <w:color w:val="000000" w:themeColor="text1"/>
          <w:sz w:val="32"/>
          <w:szCs w:val="32"/>
        </w:rPr>
        <w:br/>
        <w:t xml:space="preserve">franquicias en Venezuela. </w:t>
      </w:r>
      <w:r w:rsidRPr="00361513">
        <w:rPr>
          <w:rFonts w:ascii="Garamond" w:eastAsia="Garamond" w:hAnsi="Garamond" w:cs="Garamond"/>
          <w:b/>
          <w:color w:val="000000" w:themeColor="text1"/>
          <w:sz w:val="32"/>
          <w:szCs w:val="32"/>
        </w:rPr>
        <w:br/>
        <w:t>Breve referencia histórica (2002-2024)</w:t>
      </w:r>
    </w:p>
    <w:p w14:paraId="7CE0C4C0" w14:textId="77777777" w:rsidR="00904242" w:rsidRPr="00361513" w:rsidRDefault="00904242" w:rsidP="0090424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22"/>
          <w:szCs w:val="22"/>
        </w:rPr>
      </w:pPr>
    </w:p>
    <w:p w14:paraId="41B81E6A" w14:textId="09034450" w:rsidR="00732CA1" w:rsidRPr="005552FD" w:rsidRDefault="00520A33">
      <w:pPr>
        <w:pStyle w:val="Subttulo"/>
        <w:rPr>
          <w:color w:val="000000" w:themeColor="text1"/>
          <w:lang w:val="es-VE"/>
        </w:rPr>
      </w:pPr>
      <w:bookmarkStart w:id="1" w:name="_dv6216cncuvb" w:colFirst="0" w:colLast="0"/>
      <w:bookmarkEnd w:id="1"/>
      <w:r w:rsidRPr="005552FD">
        <w:rPr>
          <w:color w:val="000000" w:themeColor="text1"/>
          <w:lang w:val="es-VE"/>
        </w:rPr>
        <w:t xml:space="preserve">Roberto </w:t>
      </w:r>
      <w:proofErr w:type="spellStart"/>
      <w:r w:rsidRPr="005552FD">
        <w:rPr>
          <w:color w:val="000000" w:themeColor="text1"/>
          <w:lang w:val="es-VE"/>
        </w:rPr>
        <w:t>Baskin</w:t>
      </w:r>
      <w:proofErr w:type="spellEnd"/>
    </w:p>
    <w:p w14:paraId="188599AA" w14:textId="3498BEA1" w:rsidR="007B54C1" w:rsidRPr="005552FD" w:rsidRDefault="007B54C1" w:rsidP="007B54C1">
      <w:pPr>
        <w:pStyle w:val="Subttulo"/>
        <w:rPr>
          <w:i w:val="0"/>
          <w:color w:val="000000" w:themeColor="text1"/>
          <w:sz w:val="16"/>
          <w:szCs w:val="16"/>
          <w:lang w:val="es-VE"/>
        </w:rPr>
      </w:pPr>
      <w:bookmarkStart w:id="2" w:name="_2zmg85jv52f" w:colFirst="0" w:colLast="0"/>
      <w:bookmarkStart w:id="3" w:name="_ll0a65gkidpa" w:colFirst="0" w:colLast="0"/>
      <w:bookmarkEnd w:id="2"/>
      <w:bookmarkEnd w:id="3"/>
      <w:proofErr w:type="spellStart"/>
      <w:r w:rsidRPr="005552FD">
        <w:rPr>
          <w:i w:val="0"/>
          <w:color w:val="000000" w:themeColor="text1"/>
          <w:sz w:val="16"/>
          <w:szCs w:val="16"/>
          <w:lang w:val="es-VE"/>
        </w:rPr>
        <w:t>ORCID</w:t>
      </w:r>
      <w:proofErr w:type="spellEnd"/>
      <w:r w:rsidRPr="005552FD">
        <w:rPr>
          <w:i w:val="0"/>
          <w:color w:val="000000" w:themeColor="text1"/>
          <w:sz w:val="16"/>
          <w:szCs w:val="16"/>
          <w:lang w:val="es-VE"/>
        </w:rPr>
        <w:t xml:space="preserve">: </w:t>
      </w:r>
      <w:r w:rsidR="00697EAA" w:rsidRPr="005552FD">
        <w:rPr>
          <w:i w:val="0"/>
          <w:color w:val="000000" w:themeColor="text1"/>
          <w:sz w:val="16"/>
          <w:szCs w:val="16"/>
          <w:lang w:val="es-VE"/>
        </w:rPr>
        <w:t>0000-0003-4628-6385</w:t>
      </w:r>
    </w:p>
    <w:p w14:paraId="5864BDF6" w14:textId="2B131E47" w:rsidR="007B54C1" w:rsidRPr="005552FD" w:rsidRDefault="00520A33" w:rsidP="007B54C1">
      <w:pPr>
        <w:pStyle w:val="Subttulo"/>
        <w:rPr>
          <w:i w:val="0"/>
          <w:color w:val="000000" w:themeColor="text1"/>
          <w:sz w:val="16"/>
          <w:szCs w:val="16"/>
          <w:lang w:val="es-VE"/>
        </w:rPr>
      </w:pPr>
      <w:hyperlink r:id="rId8" w:history="1">
        <w:r w:rsidRPr="005552FD">
          <w:rPr>
            <w:rStyle w:val="Hipervnculo"/>
            <w:i w:val="0"/>
            <w:sz w:val="16"/>
            <w:szCs w:val="16"/>
            <w:lang w:val="es-VE"/>
          </w:rPr>
          <w:t>rbaskint@ucab.edu.ve</w:t>
        </w:r>
      </w:hyperlink>
      <w:r w:rsidR="007B54C1" w:rsidRPr="005552FD">
        <w:rPr>
          <w:i w:val="0"/>
          <w:color w:val="000000" w:themeColor="text1"/>
          <w:sz w:val="16"/>
          <w:szCs w:val="16"/>
          <w:lang w:val="es-VE"/>
        </w:rPr>
        <w:t xml:space="preserve"> </w:t>
      </w:r>
    </w:p>
    <w:p w14:paraId="534AF109" w14:textId="088FA305" w:rsidR="007B54C1" w:rsidRPr="00361513" w:rsidRDefault="00697EAA" w:rsidP="007E66B8">
      <w:pPr>
        <w:pStyle w:val="Subttulo"/>
        <w:spacing w:after="120"/>
        <w:ind w:left="5529"/>
        <w:rPr>
          <w:i w:val="0"/>
          <w:color w:val="000000" w:themeColor="text1"/>
          <w:sz w:val="16"/>
          <w:szCs w:val="16"/>
        </w:rPr>
      </w:pPr>
      <w:r w:rsidRPr="00361513">
        <w:rPr>
          <w:i w:val="0"/>
          <w:color w:val="000000" w:themeColor="text1"/>
          <w:sz w:val="16"/>
          <w:szCs w:val="16"/>
        </w:rPr>
        <w:t>Abogado por la Universidad Católica Andrés Bello (UCAB), Venezuela. Magíster en Administración de Empresas por la Universidad Simón Bolívar (USB), Venezuela. Profesor de la Escuela de Administración y Contaduría (UCAB) y responsable del Programa de Especialización en Gerencia de Mercadeo (USB)</w:t>
      </w:r>
      <w:r w:rsidR="005A3911" w:rsidRPr="00361513">
        <w:rPr>
          <w:i w:val="0"/>
          <w:color w:val="000000" w:themeColor="text1"/>
          <w:sz w:val="16"/>
          <w:szCs w:val="16"/>
        </w:rPr>
        <w:t>.</w:t>
      </w:r>
    </w:p>
    <w:p w14:paraId="77B11B3A" w14:textId="77777777" w:rsidR="00BF0334" w:rsidRPr="00361513" w:rsidRDefault="00BF0334" w:rsidP="00BF0334">
      <w:pPr>
        <w:rPr>
          <w:rFonts w:ascii="Garamond" w:hAnsi="Garamond"/>
          <w:color w:val="000000" w:themeColor="text1"/>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D074FC" w:rsidRPr="00361513" w14:paraId="0787AE6F" w14:textId="77777777">
        <w:tc>
          <w:tcPr>
            <w:tcW w:w="9915" w:type="dxa"/>
          </w:tcPr>
          <w:p w14:paraId="5DD98C8B" w14:textId="77777777" w:rsidR="00732CA1" w:rsidRPr="00361513" w:rsidRDefault="00000000">
            <w:pPr>
              <w:pStyle w:val="Ttulo6"/>
              <w:widowControl w:val="0"/>
              <w:spacing w:line="360" w:lineRule="auto"/>
              <w:rPr>
                <w:color w:val="000000" w:themeColor="text1"/>
              </w:rPr>
            </w:pPr>
            <w:bookmarkStart w:id="4" w:name="_zu9h7hpk4ei" w:colFirst="0" w:colLast="0"/>
            <w:bookmarkEnd w:id="4"/>
            <w:r w:rsidRPr="00361513">
              <w:rPr>
                <w:color w:val="000000" w:themeColor="text1"/>
              </w:rPr>
              <w:t>Resumen</w:t>
            </w:r>
          </w:p>
          <w:p w14:paraId="7DF19007" w14:textId="65D453FC" w:rsidR="00732CA1" w:rsidRPr="00361513" w:rsidRDefault="0077419A" w:rsidP="007E647C">
            <w:pPr>
              <w:pStyle w:val="Ttulo5"/>
              <w:widowControl w:val="0"/>
              <w:rPr>
                <w:color w:val="000000" w:themeColor="text1"/>
                <w:lang w:val="es-VE"/>
              </w:rPr>
            </w:pPr>
            <w:bookmarkStart w:id="5" w:name="_7bwe1fm7x3fr" w:colFirst="0" w:colLast="0"/>
            <w:bookmarkEnd w:id="5"/>
            <w:r w:rsidRPr="00361513">
              <w:rPr>
                <w:color w:val="000000" w:themeColor="text1"/>
                <w:lang w:val="es-VE"/>
              </w:rPr>
              <w:t xml:space="preserve">Este ensayo pretendió realizar una breve retrospectiva de los principales eventos económicos que han impactado el negocio de franquicias en Venezuela durante los últimos casi 20 años, sin dejar de lado el contexto político en el que se producen, de manera de poder entender como un modelo de negocio como las franquicias se comporta a la luz de ciertos incentivos y desincentivos. Se está en presencia de un país petrolero con un gran de potencial de desarrollo que no deja de estar sometido a grandes niveles de estrés político y social, que terminan haciendo mella en la economía (clima de negocios) y el bienestar de la población. Lo sucedido en Venezuela amparado en un exacerbado intervencionismo del Estado tanto en la esfera privada como pública de las personas, puede configurar un Manual de Peores Prácticas (lo opuesto a lo conocido en inglés como </w:t>
            </w:r>
            <w:proofErr w:type="spellStart"/>
            <w:r w:rsidRPr="00361513">
              <w:rPr>
                <w:color w:val="000000" w:themeColor="text1"/>
                <w:lang w:val="es-VE"/>
              </w:rPr>
              <w:t>Best</w:t>
            </w:r>
            <w:proofErr w:type="spellEnd"/>
            <w:r w:rsidRPr="00361513">
              <w:rPr>
                <w:color w:val="000000" w:themeColor="text1"/>
                <w:lang w:val="es-VE"/>
              </w:rPr>
              <w:t xml:space="preserve"> </w:t>
            </w:r>
            <w:proofErr w:type="spellStart"/>
            <w:r w:rsidRPr="00361513">
              <w:rPr>
                <w:color w:val="000000" w:themeColor="text1"/>
                <w:lang w:val="es-VE"/>
              </w:rPr>
              <w:t>Practices</w:t>
            </w:r>
            <w:proofErr w:type="spellEnd"/>
            <w:r w:rsidRPr="00361513">
              <w:rPr>
                <w:color w:val="000000" w:themeColor="text1"/>
                <w:lang w:val="es-VE"/>
              </w:rPr>
              <w:t>) tanto en lo político como en lo económico, que sin duda sirve de aprendizaje a una región en la cual hay tantas similitudes en cuanto a la forma en que se manejan y operan los países</w:t>
            </w:r>
            <w:r w:rsidR="007E647C" w:rsidRPr="00361513">
              <w:rPr>
                <w:color w:val="000000" w:themeColor="text1"/>
              </w:rPr>
              <w:t>.</w:t>
            </w:r>
          </w:p>
          <w:p w14:paraId="372F4D16" w14:textId="77777777" w:rsidR="00732CA1" w:rsidRPr="00361513" w:rsidRDefault="00732CA1">
            <w:pPr>
              <w:pStyle w:val="Ttulo5"/>
              <w:widowControl w:val="0"/>
              <w:rPr>
                <w:color w:val="000000" w:themeColor="text1"/>
              </w:rPr>
            </w:pPr>
            <w:bookmarkStart w:id="6" w:name="_2e3xujngrqzh" w:colFirst="0" w:colLast="0"/>
            <w:bookmarkEnd w:id="6"/>
          </w:p>
          <w:p w14:paraId="2CAD183D" w14:textId="66ADA8D6" w:rsidR="00732CA1" w:rsidRPr="00361513" w:rsidRDefault="00000000" w:rsidP="007E647C">
            <w:pPr>
              <w:pStyle w:val="Ttulo5"/>
              <w:widowControl w:val="0"/>
              <w:rPr>
                <w:bCs/>
                <w:color w:val="000000" w:themeColor="text1"/>
              </w:rPr>
            </w:pPr>
            <w:bookmarkStart w:id="7" w:name="_qde4f7pr29le" w:colFirst="0" w:colLast="0"/>
            <w:bookmarkEnd w:id="7"/>
            <w:r w:rsidRPr="00361513">
              <w:rPr>
                <w:color w:val="000000" w:themeColor="text1"/>
              </w:rPr>
              <w:t>Palabras clave:</w:t>
            </w:r>
            <w:r w:rsidR="000D1CF0" w:rsidRPr="00361513">
              <w:rPr>
                <w:color w:val="000000" w:themeColor="text1"/>
              </w:rPr>
              <w:t xml:space="preserve"> </w:t>
            </w:r>
            <w:r w:rsidR="0077419A" w:rsidRPr="00361513">
              <w:t>N</w:t>
            </w:r>
            <w:r w:rsidR="0077419A" w:rsidRPr="00361513">
              <w:rPr>
                <w:color w:val="000000" w:themeColor="text1"/>
              </w:rPr>
              <w:t>egocios, franquicias, crisis, economía, política.</w:t>
            </w:r>
          </w:p>
        </w:tc>
      </w:tr>
    </w:tbl>
    <w:p w14:paraId="38F8ABEB" w14:textId="34CD682A" w:rsidR="00732CA1" w:rsidRPr="00361513" w:rsidRDefault="00585F5F" w:rsidP="00BF0334">
      <w:pPr>
        <w:pStyle w:val="Ttulo"/>
        <w:rPr>
          <w:color w:val="000000" w:themeColor="text1"/>
          <w:sz w:val="28"/>
          <w:szCs w:val="28"/>
          <w:lang w:val="en-US"/>
        </w:rPr>
      </w:pPr>
      <w:bookmarkStart w:id="8" w:name="_wszyld4vt5yj" w:colFirst="0" w:colLast="0"/>
      <w:bookmarkEnd w:id="8"/>
      <w:r w:rsidRPr="00361513">
        <w:rPr>
          <w:color w:val="000000" w:themeColor="text1"/>
          <w:sz w:val="28"/>
          <w:szCs w:val="28"/>
          <w:lang w:val="en-US"/>
        </w:rPr>
        <w:t>The Economic Storm Experienced by the Franchise</w:t>
      </w:r>
      <w:r w:rsidRPr="00361513">
        <w:rPr>
          <w:color w:val="000000" w:themeColor="text1"/>
          <w:sz w:val="28"/>
          <w:szCs w:val="28"/>
          <w:lang w:val="en-US"/>
        </w:rPr>
        <w:br/>
        <w:t xml:space="preserve">Business in Venezuela. </w:t>
      </w:r>
      <w:r w:rsidRPr="00361513">
        <w:rPr>
          <w:color w:val="000000" w:themeColor="text1"/>
          <w:sz w:val="28"/>
          <w:szCs w:val="28"/>
          <w:lang w:val="en-US"/>
        </w:rPr>
        <w:br/>
        <w:t>A Brief Historical Reference (2002-2024)</w:t>
      </w:r>
    </w:p>
    <w:p w14:paraId="36E8251F" w14:textId="77777777" w:rsidR="00732CA1" w:rsidRPr="00361513" w:rsidRDefault="00732CA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lang w:val="en-US"/>
        </w:rPr>
      </w:pP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D074FC" w:rsidRPr="009B6324" w14:paraId="58C00924" w14:textId="77777777">
        <w:tc>
          <w:tcPr>
            <w:tcW w:w="9924" w:type="dxa"/>
            <w:tcMar>
              <w:top w:w="100" w:type="dxa"/>
              <w:left w:w="100" w:type="dxa"/>
              <w:bottom w:w="100" w:type="dxa"/>
              <w:right w:w="100" w:type="dxa"/>
            </w:tcMar>
          </w:tcPr>
          <w:p w14:paraId="02E4EC6F" w14:textId="77777777" w:rsidR="00732CA1" w:rsidRPr="00361513" w:rsidRDefault="00000000">
            <w:pPr>
              <w:pStyle w:val="Ttulo6"/>
              <w:widowControl w:val="0"/>
              <w:spacing w:line="360" w:lineRule="auto"/>
              <w:rPr>
                <w:color w:val="000000" w:themeColor="text1"/>
                <w:lang w:val="en-US"/>
              </w:rPr>
            </w:pPr>
            <w:bookmarkStart w:id="9" w:name="_932h1uu5icew" w:colFirst="0" w:colLast="0"/>
            <w:bookmarkEnd w:id="9"/>
            <w:r w:rsidRPr="00361513">
              <w:rPr>
                <w:color w:val="000000" w:themeColor="text1"/>
                <w:lang w:val="en-US"/>
              </w:rPr>
              <w:t>Abstract</w:t>
            </w:r>
          </w:p>
          <w:p w14:paraId="234F0D75" w14:textId="5D443208" w:rsidR="00732CA1" w:rsidRPr="00361513" w:rsidRDefault="0077419A">
            <w:pPr>
              <w:pStyle w:val="Ttulo5"/>
              <w:widowControl w:val="0"/>
              <w:rPr>
                <w:color w:val="000000" w:themeColor="text1"/>
                <w:lang w:val="en-US"/>
              </w:rPr>
            </w:pPr>
            <w:bookmarkStart w:id="10" w:name="_rfartgpdj99d" w:colFirst="0" w:colLast="0"/>
            <w:bookmarkEnd w:id="10"/>
            <w:r w:rsidRPr="00361513">
              <w:rPr>
                <w:color w:val="000000" w:themeColor="text1"/>
                <w:lang w:val="en-US"/>
              </w:rPr>
              <w:t>This essay aimed to make a brief retrospective of the main economic events that have impacted the franchise business in Venezuela during the last almost 20 years, without leaving aside the political context in which they occur, to understand how a business model such as franchising behaves in the light of certain incentives and disincentives. We are in the presence of an oil-producing country with a great potential for development that is subject to high levels of political and social stress, which end up making a dent in the economy (business climate) and the welfare of the population. What has happened in Venezuela, with an exacerbated interventionism of the State in both the private and public spheres, can be a Manual of Worst Practices (the opposite of what is known as Best Practices) in both the political and economic spheres, which undoubtedly serves as a learning experience for a region in which there are so many similarities in the way countries are managed and operate</w:t>
            </w:r>
            <w:r w:rsidR="007410E3" w:rsidRPr="00361513">
              <w:rPr>
                <w:color w:val="000000" w:themeColor="text1"/>
                <w:lang w:val="en-US"/>
              </w:rPr>
              <w:t>.</w:t>
            </w:r>
          </w:p>
          <w:p w14:paraId="2AC3FEA6" w14:textId="77777777" w:rsidR="00732CA1" w:rsidRPr="00361513" w:rsidRDefault="00732CA1">
            <w:pPr>
              <w:pStyle w:val="Ttulo5"/>
              <w:widowControl w:val="0"/>
              <w:rPr>
                <w:color w:val="000000" w:themeColor="text1"/>
                <w:lang w:val="en-US"/>
              </w:rPr>
            </w:pPr>
            <w:bookmarkStart w:id="11" w:name="_hav8bu7795dj" w:colFirst="0" w:colLast="0"/>
            <w:bookmarkEnd w:id="11"/>
          </w:p>
          <w:p w14:paraId="3C0CF92D" w14:textId="613A66F6" w:rsidR="00732CA1" w:rsidRPr="00361513" w:rsidRDefault="00000000">
            <w:pPr>
              <w:pStyle w:val="Ttulo5"/>
              <w:widowControl w:val="0"/>
              <w:rPr>
                <w:color w:val="000000" w:themeColor="text1"/>
                <w:lang w:val="en-US"/>
              </w:rPr>
            </w:pPr>
            <w:bookmarkStart w:id="12" w:name="_bxid4ve3fe6l" w:colFirst="0" w:colLast="0"/>
            <w:bookmarkEnd w:id="12"/>
            <w:r w:rsidRPr="00361513">
              <w:rPr>
                <w:color w:val="000000" w:themeColor="text1"/>
                <w:lang w:val="en-US"/>
              </w:rPr>
              <w:t xml:space="preserve">Keywords: </w:t>
            </w:r>
            <w:r w:rsidR="0077419A" w:rsidRPr="00361513">
              <w:rPr>
                <w:color w:val="000000" w:themeColor="text1"/>
                <w:lang w:val="en-US"/>
              </w:rPr>
              <w:t>Business, franchises, crisis, economy, politics</w:t>
            </w:r>
            <w:r w:rsidRPr="00361513">
              <w:rPr>
                <w:color w:val="000000" w:themeColor="text1"/>
                <w:lang w:val="en-US"/>
              </w:rPr>
              <w:t>.</w:t>
            </w:r>
          </w:p>
        </w:tc>
      </w:tr>
    </w:tbl>
    <w:p w14:paraId="5A2B8317" w14:textId="77777777" w:rsidR="00732CA1" w:rsidRPr="00361513" w:rsidRDefault="00732CA1">
      <w:pPr>
        <w:pStyle w:val="Subttulo"/>
        <w:tabs>
          <w:tab w:val="left" w:pos="284"/>
        </w:tabs>
        <w:spacing w:after="120" w:line="360" w:lineRule="auto"/>
        <w:jc w:val="both"/>
        <w:rPr>
          <w:color w:val="000000" w:themeColor="text1"/>
          <w:lang w:val="en-US"/>
        </w:rPr>
      </w:pPr>
      <w:bookmarkStart w:id="13" w:name="_clplbvcaze9s" w:colFirst="0" w:colLast="0"/>
      <w:bookmarkEnd w:id="13"/>
    </w:p>
    <w:p w14:paraId="52510177" w14:textId="77777777" w:rsidR="00732CA1" w:rsidRPr="00361513" w:rsidRDefault="00000000">
      <w:pPr>
        <w:pStyle w:val="Subttulo"/>
        <w:tabs>
          <w:tab w:val="left" w:pos="284"/>
        </w:tabs>
        <w:spacing w:after="120" w:line="360" w:lineRule="auto"/>
        <w:jc w:val="both"/>
        <w:rPr>
          <w:color w:val="000000" w:themeColor="text1"/>
          <w:lang w:val="en-US"/>
        </w:rPr>
      </w:pPr>
      <w:bookmarkStart w:id="14" w:name="_2ilrnnrjjjrj" w:colFirst="0" w:colLast="0"/>
      <w:bookmarkEnd w:id="14"/>
      <w:r w:rsidRPr="00361513">
        <w:rPr>
          <w:color w:val="000000" w:themeColor="text1"/>
          <w:lang w:val="en-US"/>
        </w:rPr>
        <w:br w:type="page"/>
      </w:r>
    </w:p>
    <w:p w14:paraId="2EB78A87" w14:textId="77777777" w:rsidR="00AE4220" w:rsidRPr="00361513" w:rsidRDefault="00AE4220" w:rsidP="00AE4220">
      <w:pPr>
        <w:pStyle w:val="Lneadeautor-Profesional"/>
        <w:spacing w:before="0" w:after="120" w:line="360" w:lineRule="auto"/>
        <w:rPr>
          <w:rFonts w:ascii="Garamond" w:hAnsi="Garamond" w:cs="Arial"/>
          <w:b/>
          <w:bCs/>
          <w:sz w:val="22"/>
          <w:szCs w:val="22"/>
          <w:lang w:val="es-ES"/>
        </w:rPr>
      </w:pPr>
      <w:bookmarkStart w:id="15" w:name="_vkrrx2bsrqcu" w:colFirst="0" w:colLast="0"/>
      <w:bookmarkEnd w:id="15"/>
      <w:r w:rsidRPr="00361513">
        <w:rPr>
          <w:rFonts w:ascii="Garamond" w:hAnsi="Garamond" w:cs="Arial"/>
          <w:b/>
          <w:bCs/>
          <w:sz w:val="22"/>
          <w:szCs w:val="22"/>
          <w:lang w:val="es-ES"/>
        </w:rPr>
        <w:lastRenderedPageBreak/>
        <w:t>INTRODUCCIÓN</w:t>
      </w:r>
    </w:p>
    <w:p w14:paraId="524A2280"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El presente ensayo busca precisar históricamente los elementos más relevantes, sobre todo en el plano económico, que impactaron al modelo de negocio de franquicia en Venezuela en los últimos 20 años. La idea es visualizar las variables participantes para que esto sirva de referencia al momento de identificar procesos similares que pudieran darse eventualmente dentro de la región, ya que muchos de los países latinoamericanos tienen grandes coincidencias históricas y culturales.</w:t>
      </w:r>
    </w:p>
    <w:p w14:paraId="011A70F4"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Abordar el asunto económico sin tocar el contexto político no tiene ningún sentido. Finalmente, lo primero se desenvuelve con las reglas y parámetros que se fijan en lo segundo.</w:t>
      </w:r>
    </w:p>
    <w:p w14:paraId="6E6BFC0E"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El fracaso de los países como lo señalan Acemoğlu y Robinson no descansa exclusivamente en el asunto económico. El asunto es complejo y frecuentemente abordado desde diferentes perspectivas en la literatura, incluyendo la que establece la responsabilidad en los individuos carentes de valores que conducen las políticas públicas: «Individuos que ni por vía institucional, gerencial o educacional han sido inoculados de valores trascendentes, por tanto, no están habilitados para conducir a una sociedad al bienestar general», (</w:t>
      </w:r>
      <w:proofErr w:type="spellStart"/>
      <w:r w:rsidRPr="00361513">
        <w:rPr>
          <w:rFonts w:ascii="Garamond" w:hAnsi="Garamond" w:cs="Arial"/>
          <w:sz w:val="22"/>
          <w:szCs w:val="22"/>
          <w:lang w:val="es-ES"/>
        </w:rPr>
        <w:t>Baskin</w:t>
      </w:r>
      <w:proofErr w:type="spellEnd"/>
      <w:r w:rsidRPr="00361513">
        <w:rPr>
          <w:rFonts w:ascii="Garamond" w:hAnsi="Garamond" w:cs="Arial"/>
          <w:sz w:val="22"/>
          <w:szCs w:val="22"/>
          <w:lang w:val="es-ES"/>
        </w:rPr>
        <w:t>, 2020, p. 111).</w:t>
      </w:r>
    </w:p>
    <w:p w14:paraId="3FB1A6DD"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Acemoğlu y Robinson (2012) explican lo siguiente:</w:t>
      </w:r>
    </w:p>
    <w:p w14:paraId="1D5B4261" w14:textId="77777777" w:rsidR="00AE4220" w:rsidRPr="00DB3BE7" w:rsidRDefault="00AE4220" w:rsidP="00AE4220">
      <w:pPr>
        <w:pStyle w:val="Lneadeautor-Profesional"/>
        <w:spacing w:before="0" w:after="240" w:line="240" w:lineRule="auto"/>
        <w:ind w:left="709"/>
        <w:jc w:val="both"/>
        <w:rPr>
          <w:rFonts w:ascii="Garamond" w:hAnsi="Garamond" w:cs="Arial"/>
          <w:sz w:val="20"/>
          <w:lang w:val="es-ES"/>
        </w:rPr>
      </w:pPr>
      <w:r w:rsidRPr="00DB3BE7">
        <w:rPr>
          <w:rFonts w:ascii="Garamond" w:hAnsi="Garamond" w:cs="Arial"/>
          <w:sz w:val="20"/>
          <w:lang w:val="es-ES"/>
        </w:rPr>
        <w:t>Existe una fuerte sinergia entre las instituciones económicas y las políticas. Las instituciones políticas extractivas concentran el poder en manos de una élite reducida y fijan pocos límites al ejercicio de su poder. Las instituciones económicas a menudo están estructuradas por esta élite para extraer recursos del resto de la sociedad. Por lo tanto, las instituciones económicas extractivas acompañan de forma natural a las instituciones políticas extractivas. De hecho, deben depender inherentemente de las instituciones políticas extractivas para su supervivencia. Las instituciones políticas inclusivas, que confieren el poder ampliamente, tenderían a eliminar las instituciones económicas que expropian los recursos de la mayoría, levantan barreras de entrada y suprimen el funcionamiento de mercados que solamente benefician a un número reducido de personas. (Pp. 59-6).</w:t>
      </w:r>
    </w:p>
    <w:p w14:paraId="510E51C3" w14:textId="297AB52A"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Para estos autores queda claro que la política cuando es ejercida por unos pocos, y la extracción económica, van de la mano. Modelo </w:t>
      </w:r>
      <w:r w:rsidR="00B81604" w:rsidRPr="00361513">
        <w:rPr>
          <w:rFonts w:ascii="Garamond" w:hAnsi="Garamond" w:cs="Arial"/>
          <w:sz w:val="22"/>
          <w:szCs w:val="22"/>
          <w:lang w:val="es-ES"/>
        </w:rPr>
        <w:t>e</w:t>
      </w:r>
      <w:r w:rsidRPr="00361513">
        <w:rPr>
          <w:rFonts w:ascii="Garamond" w:hAnsi="Garamond" w:cs="Arial"/>
          <w:sz w:val="22"/>
          <w:szCs w:val="22"/>
          <w:lang w:val="es-ES"/>
        </w:rPr>
        <w:t>ste muy presente en América Latina desde la época de la conquista.</w:t>
      </w:r>
    </w:p>
    <w:p w14:paraId="2D638D78"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En su momento, ya el conocido pensador venezolano Arturo Uslar Pietri decía que había que «reemplazar eficazmente el capitalismo de Estado por una economía más libre, competitiva y más productiva» (Uslar Pietri, como se citó en Rivas, 2001, p. 27).</w:t>
      </w:r>
    </w:p>
    <w:p w14:paraId="5F36F016"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En así que se hará en este documento un recuento de sucesos económicos y hechos políticos, sin olvidar que La Política comúnmente es referida como un conjunto de actividades que se asocian con la toma de decisiones en grupo, u otras formas de relaciones de poder entre individuos, como la distribución de recursos.</w:t>
      </w:r>
    </w:p>
    <w:p w14:paraId="59A55E5F"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Sobre esto último, el intervencionismo del Estado es una característica importante de la realidad venezolana.</w:t>
      </w:r>
    </w:p>
    <w:p w14:paraId="3C2986BC" w14:textId="40241102" w:rsidR="00334510" w:rsidRDefault="00AE4220" w:rsidP="00DB3BE7">
      <w:pPr>
        <w:pStyle w:val="Lneadeautor-Profesional"/>
        <w:spacing w:before="0" w:after="240" w:line="240" w:lineRule="auto"/>
        <w:ind w:left="709"/>
        <w:jc w:val="both"/>
        <w:rPr>
          <w:rFonts w:ascii="Garamond" w:hAnsi="Garamond"/>
          <w:b/>
          <w:bCs/>
          <w:sz w:val="22"/>
          <w:szCs w:val="22"/>
          <w:lang w:val="es-ES"/>
        </w:rPr>
      </w:pPr>
      <w:r w:rsidRPr="00DB3BE7">
        <w:rPr>
          <w:rFonts w:ascii="Garamond" w:hAnsi="Garamond" w:cs="Arial"/>
          <w:sz w:val="20"/>
          <w:lang w:val="es-ES"/>
        </w:rPr>
        <w:t xml:space="preserve">Una de las características fundamentales del modelo político/económico que se ha venido implementando en Venezuela desde el año 1998, con la llegada del chavismo al poder, está relacionada con un Estado que sistemáticamente asume el carácter de actor, no sólo de regulador, dentro de actividades económicas extensas y de naturaleza privada (…) como por </w:t>
      </w:r>
      <w:r w:rsidR="00E05284" w:rsidRPr="00DB3BE7">
        <w:rPr>
          <w:rFonts w:ascii="Garamond" w:hAnsi="Garamond" w:cs="Arial"/>
          <w:sz w:val="20"/>
          <w:lang w:val="es-ES"/>
        </w:rPr>
        <w:t>ejemplo</w:t>
      </w:r>
      <w:r w:rsidRPr="00DB3BE7">
        <w:rPr>
          <w:rFonts w:ascii="Garamond" w:hAnsi="Garamond" w:cs="Arial"/>
          <w:sz w:val="20"/>
          <w:lang w:val="es-ES"/>
        </w:rPr>
        <w:t xml:space="preserve"> las que atañen al control de precios y el acceso a las divisas para la importación. (</w:t>
      </w:r>
      <w:proofErr w:type="spellStart"/>
      <w:r w:rsidRPr="00DB3BE7">
        <w:rPr>
          <w:rFonts w:ascii="Garamond" w:hAnsi="Garamond" w:cs="Arial"/>
          <w:sz w:val="20"/>
          <w:lang w:val="es-ES"/>
        </w:rPr>
        <w:t>Baskin</w:t>
      </w:r>
      <w:proofErr w:type="spellEnd"/>
      <w:r w:rsidRPr="00DB3BE7">
        <w:rPr>
          <w:rFonts w:ascii="Garamond" w:hAnsi="Garamond" w:cs="Arial"/>
          <w:sz w:val="20"/>
          <w:lang w:val="es-ES"/>
        </w:rPr>
        <w:t>, 2023, p. 194).</w:t>
      </w:r>
      <w:r w:rsidR="00334510">
        <w:rPr>
          <w:rFonts w:ascii="Garamond" w:hAnsi="Garamond"/>
          <w:b/>
          <w:bCs/>
          <w:sz w:val="22"/>
          <w:szCs w:val="22"/>
          <w:lang w:val="es-ES"/>
        </w:rPr>
        <w:br w:type="page"/>
      </w:r>
    </w:p>
    <w:p w14:paraId="174959A7" w14:textId="408B5430" w:rsidR="00AE4220" w:rsidRPr="00361513" w:rsidRDefault="00AE4220" w:rsidP="00AE4220">
      <w:pPr>
        <w:pStyle w:val="Lneadeautor-Profesional"/>
        <w:spacing w:before="0" w:after="120" w:line="360" w:lineRule="auto"/>
        <w:jc w:val="both"/>
        <w:rPr>
          <w:rFonts w:ascii="Garamond" w:hAnsi="Garamond" w:cs="Arial"/>
          <w:szCs w:val="18"/>
          <w:lang w:val="es-ES"/>
        </w:rPr>
      </w:pPr>
      <w:r w:rsidRPr="00361513">
        <w:rPr>
          <w:rFonts w:ascii="Garamond" w:hAnsi="Garamond" w:cs="Arial"/>
          <w:b/>
          <w:bCs/>
          <w:sz w:val="22"/>
          <w:szCs w:val="22"/>
          <w:lang w:val="es-ES"/>
        </w:rPr>
        <w:lastRenderedPageBreak/>
        <w:t>EL ASUNTO POLÍTICO, LA UMBRELA DE LA TORMENTA ECONÓMICA</w:t>
      </w:r>
    </w:p>
    <w:p w14:paraId="740107DF"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El modelo de negocio de las franquicias tuvo un </w:t>
      </w:r>
      <w:r w:rsidRPr="00361513">
        <w:rPr>
          <w:rFonts w:ascii="Garamond" w:hAnsi="Garamond" w:cs="Arial"/>
          <w:i/>
          <w:iCs/>
          <w:sz w:val="22"/>
          <w:szCs w:val="22"/>
          <w:lang w:val="es-ES"/>
        </w:rPr>
        <w:t>boom</w:t>
      </w:r>
      <w:r w:rsidRPr="00361513">
        <w:rPr>
          <w:rFonts w:ascii="Garamond" w:hAnsi="Garamond" w:cs="Arial"/>
          <w:sz w:val="22"/>
          <w:szCs w:val="22"/>
          <w:lang w:val="es-ES"/>
        </w:rPr>
        <w:t xml:space="preserve"> importante en América Latina a principios de siglo. Venezuela, la otrora economía pujante de la región, vivió el apogeo de este modelo que se apalancaba en ideas probadas que daban de alguna manera algún margen de certidumbre a la inversión que se hacía.</w:t>
      </w:r>
    </w:p>
    <w:p w14:paraId="6697FCA8"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El portal web de la consultora internacional </w:t>
      </w:r>
      <w:proofErr w:type="spellStart"/>
      <w:r w:rsidRPr="00361513">
        <w:rPr>
          <w:rFonts w:ascii="Garamond" w:hAnsi="Garamond" w:cs="Arial"/>
          <w:i/>
          <w:iCs/>
          <w:sz w:val="22"/>
          <w:szCs w:val="22"/>
          <w:lang w:val="es-ES"/>
        </w:rPr>
        <w:t>Latam</w:t>
      </w:r>
      <w:proofErr w:type="spellEnd"/>
      <w:r w:rsidRPr="00361513">
        <w:rPr>
          <w:rFonts w:ascii="Garamond" w:hAnsi="Garamond" w:cs="Arial"/>
          <w:i/>
          <w:iCs/>
          <w:sz w:val="22"/>
          <w:szCs w:val="22"/>
          <w:lang w:val="es-ES"/>
        </w:rPr>
        <w:t xml:space="preserve"> Networks</w:t>
      </w:r>
      <w:r w:rsidRPr="00361513">
        <w:rPr>
          <w:rFonts w:ascii="Garamond" w:hAnsi="Garamond" w:cs="Arial"/>
          <w:sz w:val="22"/>
          <w:szCs w:val="22"/>
          <w:lang w:val="es-ES"/>
        </w:rPr>
        <w:t xml:space="preserve"> (2020), en una reseña señala:</w:t>
      </w:r>
    </w:p>
    <w:p w14:paraId="6FC4A29A" w14:textId="77777777" w:rsidR="00AE4220" w:rsidRPr="00DB3BE7" w:rsidRDefault="00AE4220" w:rsidP="00AE4220">
      <w:pPr>
        <w:pStyle w:val="Lneadeautor-Profesional"/>
        <w:spacing w:before="0" w:after="240" w:line="240" w:lineRule="auto"/>
        <w:ind w:left="709"/>
        <w:jc w:val="both"/>
        <w:rPr>
          <w:rFonts w:ascii="Garamond" w:hAnsi="Garamond" w:cs="Arial"/>
          <w:sz w:val="20"/>
          <w:lang w:val="es-ES"/>
        </w:rPr>
      </w:pPr>
      <w:r w:rsidRPr="00DB3BE7">
        <w:rPr>
          <w:rFonts w:ascii="Garamond" w:hAnsi="Garamond" w:cs="Arial"/>
          <w:sz w:val="20"/>
          <w:lang w:val="es-ES"/>
        </w:rPr>
        <w:t>La franquicia en los países que conforman el mercado de América Latina tardó más en desarrollarse que en Estados Unidos o en Europa. Este desarrollo se forjó en la década de los 90, cuando cambios políticos, sociales y tecnológicos trazaron un mundo y una sociedad idóneos para este sistema de negocio. En estos años, las franquicias LATAM comienzan a consolidarse no solo en sus propios países de origen, sino también dan el salto internacional.</w:t>
      </w:r>
    </w:p>
    <w:p w14:paraId="659EEB86" w14:textId="2C2A56C1"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Recientemente, el portal web de noticias español </w:t>
      </w:r>
      <w:r w:rsidRPr="00361513">
        <w:rPr>
          <w:rFonts w:ascii="Garamond" w:hAnsi="Garamond" w:cs="Arial"/>
          <w:i/>
          <w:iCs/>
          <w:sz w:val="22"/>
          <w:szCs w:val="22"/>
          <w:lang w:val="es-ES"/>
        </w:rPr>
        <w:t>El Confidencial</w:t>
      </w:r>
      <w:r w:rsidRPr="00361513">
        <w:rPr>
          <w:rFonts w:ascii="Garamond" w:hAnsi="Garamond" w:cs="Arial"/>
          <w:sz w:val="22"/>
          <w:szCs w:val="22"/>
          <w:lang w:val="es-ES"/>
        </w:rPr>
        <w:t xml:space="preserve">, titulaba al hablar de la evolución del modelo de franquicia: </w:t>
      </w:r>
      <w:r w:rsidR="00C20CBB" w:rsidRPr="00361513">
        <w:rPr>
          <w:rFonts w:ascii="Garamond" w:hAnsi="Garamond" w:cs="Arial"/>
          <w:sz w:val="22"/>
          <w:szCs w:val="22"/>
          <w:lang w:val="es-ES"/>
        </w:rPr>
        <w:t>«</w:t>
      </w:r>
      <w:r w:rsidRPr="00361513">
        <w:rPr>
          <w:rFonts w:ascii="Garamond" w:hAnsi="Garamond" w:cs="Arial"/>
          <w:sz w:val="22"/>
          <w:szCs w:val="22"/>
          <w:lang w:val="es-ES"/>
        </w:rPr>
        <w:t>No te vendo un producto, te vendo un negocio</w:t>
      </w:r>
      <w:r w:rsidR="00C20CBB" w:rsidRPr="00361513">
        <w:rPr>
          <w:rFonts w:ascii="Garamond" w:hAnsi="Garamond" w:cs="Arial"/>
          <w:sz w:val="22"/>
          <w:szCs w:val="22"/>
          <w:lang w:val="es-ES"/>
        </w:rPr>
        <w:t>»</w:t>
      </w:r>
      <w:r w:rsidRPr="00361513">
        <w:rPr>
          <w:rFonts w:ascii="Garamond" w:hAnsi="Garamond" w:cs="Arial"/>
          <w:sz w:val="22"/>
          <w:szCs w:val="22"/>
          <w:lang w:val="es-ES"/>
        </w:rPr>
        <w:t>. Esto transmite en buena medida y de forma precisa lo que es un negocio de franquicia en cualquier parte del mundo.</w:t>
      </w:r>
    </w:p>
    <w:p w14:paraId="1CBE5E01" w14:textId="0EC0E1CD"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Sin duda, hace más de 20 años, y ahora también, garantizar ingresos futuros resulta encantador; casi mágico para un inversionista. Históricamente, Latinoamérica se ha caracterizado por economías de alto riesgo, donde la variable política se mueve constantemente entre un péndulo de izquierdas y derechas, es decir, continuamente se cambian las reglas del juego, poniendo a los capitales muchas veces en apuros o a repensarse (</w:t>
      </w:r>
      <w:r w:rsidR="00C20CBB" w:rsidRPr="00361513">
        <w:rPr>
          <w:rFonts w:ascii="Garamond" w:hAnsi="Garamond" w:cs="Arial"/>
          <w:sz w:val="22"/>
          <w:szCs w:val="22"/>
          <w:lang w:val="es-ES"/>
        </w:rPr>
        <w:t>F</w:t>
      </w:r>
      <w:r w:rsidRPr="00361513">
        <w:rPr>
          <w:rFonts w:ascii="Garamond" w:hAnsi="Garamond" w:cs="Arial"/>
          <w:sz w:val="22"/>
          <w:szCs w:val="22"/>
          <w:lang w:val="es-ES"/>
        </w:rPr>
        <w:t>igura 1</w:t>
      </w:r>
      <w:r w:rsidR="00C20CBB" w:rsidRPr="00361513">
        <w:rPr>
          <w:rStyle w:val="Refdenotaalpie"/>
          <w:rFonts w:ascii="Garamond" w:hAnsi="Garamond" w:cs="Arial"/>
          <w:sz w:val="22"/>
          <w:szCs w:val="22"/>
          <w:lang w:val="es-ES"/>
        </w:rPr>
        <w:footnoteReference w:id="1"/>
      </w:r>
      <w:r w:rsidRPr="00361513">
        <w:rPr>
          <w:rFonts w:ascii="Garamond" w:hAnsi="Garamond" w:cs="Arial"/>
          <w:sz w:val="22"/>
          <w:szCs w:val="22"/>
          <w:lang w:val="es-ES"/>
        </w:rPr>
        <w:t xml:space="preserve"> en concordancia con la </w:t>
      </w:r>
      <w:r w:rsidR="00C20CBB" w:rsidRPr="00361513">
        <w:rPr>
          <w:rFonts w:ascii="Garamond" w:hAnsi="Garamond" w:cs="Arial"/>
          <w:sz w:val="22"/>
          <w:szCs w:val="22"/>
          <w:lang w:val="es-ES"/>
        </w:rPr>
        <w:t>F</w:t>
      </w:r>
      <w:r w:rsidRPr="00361513">
        <w:rPr>
          <w:rFonts w:ascii="Garamond" w:hAnsi="Garamond" w:cs="Arial"/>
          <w:sz w:val="22"/>
          <w:szCs w:val="22"/>
          <w:lang w:val="es-ES"/>
        </w:rPr>
        <w:t>igura 2</w:t>
      </w:r>
      <w:r w:rsidR="00C20CBB" w:rsidRPr="00361513">
        <w:rPr>
          <w:rStyle w:val="Refdenotaalpie"/>
          <w:rFonts w:ascii="Garamond" w:hAnsi="Garamond" w:cs="Arial"/>
          <w:sz w:val="22"/>
          <w:szCs w:val="22"/>
          <w:lang w:val="es-ES"/>
        </w:rPr>
        <w:footnoteReference w:id="2"/>
      </w:r>
      <w:r w:rsidRPr="00361513">
        <w:rPr>
          <w:rFonts w:ascii="Garamond" w:hAnsi="Garamond" w:cs="Arial"/>
          <w:sz w:val="22"/>
          <w:szCs w:val="22"/>
          <w:lang w:val="es-ES"/>
        </w:rPr>
        <w:t>).</w:t>
      </w:r>
    </w:p>
    <w:p w14:paraId="4E291C89" w14:textId="64A90F4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Prueba de la movilidad mencionada: para 2019 el contexto había cambiado una vez más. Según Perea (2019) en un artículo de opinión aparecido en </w:t>
      </w:r>
      <w:r w:rsidRPr="00361513">
        <w:rPr>
          <w:rFonts w:ascii="Garamond" w:hAnsi="Garamond" w:cs="Arial"/>
          <w:i/>
          <w:iCs/>
          <w:sz w:val="22"/>
          <w:szCs w:val="22"/>
          <w:lang w:val="es-ES"/>
        </w:rPr>
        <w:t>Semana</w:t>
      </w:r>
      <w:r w:rsidRPr="00361513">
        <w:rPr>
          <w:rFonts w:ascii="Garamond" w:hAnsi="Garamond" w:cs="Arial"/>
          <w:sz w:val="22"/>
          <w:szCs w:val="22"/>
          <w:lang w:val="es-ES"/>
        </w:rPr>
        <w:t xml:space="preserve">, el medio digital colombiano más consultado en el mundo: </w:t>
      </w:r>
      <w:r w:rsidR="00C20CBB" w:rsidRPr="00361513">
        <w:rPr>
          <w:rFonts w:ascii="Garamond" w:hAnsi="Garamond" w:cs="Arial"/>
          <w:sz w:val="22"/>
          <w:szCs w:val="22"/>
          <w:lang w:val="es-ES"/>
        </w:rPr>
        <w:t>«</w:t>
      </w:r>
      <w:r w:rsidRPr="00361513">
        <w:rPr>
          <w:rFonts w:ascii="Garamond" w:hAnsi="Garamond" w:cs="Arial"/>
          <w:sz w:val="22"/>
          <w:szCs w:val="22"/>
          <w:lang w:val="es-ES"/>
        </w:rPr>
        <w:t xml:space="preserve">las opciones conservadoras retomaron su fuerza en el continente, aprovechando el miedo que causaba la crisis venezolana, como estrategia infalible de campaña y mostrándose como la alternativa que </w:t>
      </w:r>
      <w:r w:rsidR="00B81604" w:rsidRPr="00361513">
        <w:rPr>
          <w:rFonts w:ascii="Garamond" w:hAnsi="Garamond" w:cs="Arial"/>
          <w:sz w:val="22"/>
          <w:szCs w:val="22"/>
          <w:lang w:val="es-ES"/>
        </w:rPr>
        <w:t>«</w:t>
      </w:r>
      <w:r w:rsidRPr="00361513">
        <w:rPr>
          <w:rFonts w:ascii="Garamond" w:hAnsi="Garamond" w:cs="Arial"/>
          <w:sz w:val="22"/>
          <w:szCs w:val="22"/>
          <w:lang w:val="es-ES"/>
        </w:rPr>
        <w:t>limpiaría</w:t>
      </w:r>
      <w:r w:rsidR="00B81604" w:rsidRPr="00361513">
        <w:rPr>
          <w:rFonts w:ascii="Garamond" w:hAnsi="Garamond" w:cs="Arial"/>
          <w:sz w:val="22"/>
          <w:szCs w:val="22"/>
          <w:lang w:val="es-ES"/>
        </w:rPr>
        <w:t>»</w:t>
      </w:r>
      <w:r w:rsidRPr="00361513">
        <w:rPr>
          <w:rFonts w:ascii="Garamond" w:hAnsi="Garamond" w:cs="Arial"/>
          <w:sz w:val="22"/>
          <w:szCs w:val="22"/>
          <w:lang w:val="es-ES"/>
        </w:rPr>
        <w:t xml:space="preserve"> la política de la corrupción de los gobiernos de izquierda</w:t>
      </w:r>
      <w:r w:rsidR="00C20CBB" w:rsidRPr="00361513">
        <w:rPr>
          <w:rFonts w:ascii="Garamond" w:hAnsi="Garamond" w:cs="Arial"/>
          <w:sz w:val="22"/>
          <w:szCs w:val="22"/>
          <w:lang w:val="es-ES"/>
        </w:rPr>
        <w:t>»</w:t>
      </w:r>
      <w:r w:rsidRPr="00361513">
        <w:rPr>
          <w:rFonts w:ascii="Garamond" w:hAnsi="Garamond" w:cs="Arial"/>
          <w:sz w:val="22"/>
          <w:szCs w:val="22"/>
          <w:lang w:val="es-ES"/>
        </w:rPr>
        <w:t>.</w:t>
      </w:r>
    </w:p>
    <w:p w14:paraId="1A389B40" w14:textId="11EFA3FA"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Precisamente, en un artículo titulado </w:t>
      </w:r>
      <w:r w:rsidR="007F25DC" w:rsidRPr="00361513">
        <w:rPr>
          <w:rFonts w:ascii="Garamond" w:hAnsi="Garamond"/>
          <w:sz w:val="22"/>
          <w:szCs w:val="22"/>
          <w:lang w:val="es-ES"/>
        </w:rPr>
        <w:t>«</w:t>
      </w:r>
      <w:r w:rsidRPr="00361513">
        <w:rPr>
          <w:rFonts w:ascii="Garamond" w:hAnsi="Garamond" w:cs="Arial"/>
          <w:sz w:val="22"/>
          <w:szCs w:val="22"/>
          <w:lang w:val="es-ES"/>
        </w:rPr>
        <w:t>El péndulo latinoamericano</w:t>
      </w:r>
      <w:r w:rsidR="007F25DC" w:rsidRPr="00361513">
        <w:rPr>
          <w:rFonts w:ascii="Garamond" w:hAnsi="Garamond" w:cs="Arial"/>
          <w:sz w:val="22"/>
          <w:szCs w:val="22"/>
          <w:lang w:val="es-ES"/>
        </w:rPr>
        <w:t>»</w:t>
      </w:r>
      <w:r w:rsidRPr="00361513">
        <w:rPr>
          <w:rFonts w:ascii="Garamond" w:hAnsi="Garamond" w:cs="Arial"/>
          <w:sz w:val="22"/>
          <w:szCs w:val="22"/>
          <w:lang w:val="es-ES"/>
        </w:rPr>
        <w:t xml:space="preserve">, publicado en el medio de comunicación español </w:t>
      </w:r>
      <w:r w:rsidRPr="00361513">
        <w:rPr>
          <w:rFonts w:ascii="Garamond" w:hAnsi="Garamond" w:cs="Arial"/>
          <w:i/>
          <w:iCs/>
          <w:sz w:val="22"/>
          <w:szCs w:val="22"/>
          <w:lang w:val="es-ES"/>
        </w:rPr>
        <w:t>La Vanguardia</w:t>
      </w:r>
      <w:r w:rsidRPr="00361513">
        <w:rPr>
          <w:rFonts w:ascii="Garamond" w:hAnsi="Garamond" w:cs="Arial"/>
          <w:sz w:val="22"/>
          <w:szCs w:val="22"/>
          <w:lang w:val="es-ES"/>
        </w:rPr>
        <w:t xml:space="preserve">, en su versión digital, </w:t>
      </w:r>
      <w:proofErr w:type="spellStart"/>
      <w:r w:rsidRPr="00361513">
        <w:rPr>
          <w:rFonts w:ascii="Garamond" w:hAnsi="Garamond" w:cs="Arial"/>
          <w:sz w:val="22"/>
          <w:szCs w:val="22"/>
          <w:lang w:val="es-ES"/>
        </w:rPr>
        <w:t>Mur</w:t>
      </w:r>
      <w:proofErr w:type="spellEnd"/>
      <w:r w:rsidRPr="00361513">
        <w:rPr>
          <w:rFonts w:ascii="Garamond" w:hAnsi="Garamond" w:cs="Arial"/>
          <w:sz w:val="22"/>
          <w:szCs w:val="22"/>
          <w:lang w:val="es-ES"/>
        </w:rPr>
        <w:t xml:space="preserve"> (2018) dice: </w:t>
      </w:r>
      <w:r w:rsidR="007F25DC" w:rsidRPr="00361513">
        <w:rPr>
          <w:rFonts w:ascii="Garamond" w:hAnsi="Garamond" w:cs="Arial"/>
          <w:sz w:val="22"/>
          <w:szCs w:val="22"/>
          <w:lang w:val="es-ES"/>
        </w:rPr>
        <w:t>«</w:t>
      </w:r>
      <w:r w:rsidRPr="00361513">
        <w:rPr>
          <w:rFonts w:ascii="Garamond" w:hAnsi="Garamond" w:cs="Arial"/>
          <w:sz w:val="22"/>
          <w:szCs w:val="22"/>
          <w:lang w:val="es-ES"/>
        </w:rPr>
        <w:t>En diez años, Latinoamérica ha cambiado de color político. Ha pasado del heterogéneo y generalizado progresismo del 2008 a la tendencia creciente actual al conservadurismo, incluso de tintes populistas</w:t>
      </w:r>
      <w:r w:rsidR="007F25DC" w:rsidRPr="00361513">
        <w:rPr>
          <w:rFonts w:ascii="Garamond" w:hAnsi="Garamond" w:cs="Arial"/>
          <w:sz w:val="22"/>
          <w:szCs w:val="22"/>
          <w:lang w:val="es-ES"/>
        </w:rPr>
        <w:t>»</w:t>
      </w:r>
      <w:r w:rsidRPr="00361513">
        <w:rPr>
          <w:rFonts w:ascii="Garamond" w:hAnsi="Garamond" w:cs="Arial"/>
          <w:sz w:val="22"/>
          <w:szCs w:val="22"/>
          <w:lang w:val="es-ES"/>
        </w:rPr>
        <w:t>.</w:t>
      </w:r>
    </w:p>
    <w:p w14:paraId="43C0CC7C" w14:textId="77777777" w:rsidR="007F25DC" w:rsidRPr="00361513" w:rsidRDefault="00AE4220" w:rsidP="007F25DC">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Esto que se describe varía posteriormente, y para el 2022 el panorama era parecido al imperante en 2008. Aquí </w:t>
      </w:r>
      <w:proofErr w:type="spellStart"/>
      <w:r w:rsidRPr="00361513">
        <w:rPr>
          <w:rFonts w:ascii="Garamond" w:hAnsi="Garamond" w:cs="Arial"/>
          <w:sz w:val="22"/>
          <w:szCs w:val="22"/>
          <w:lang w:val="es-ES"/>
        </w:rPr>
        <w:t>Mur</w:t>
      </w:r>
      <w:proofErr w:type="spellEnd"/>
      <w:r w:rsidRPr="00361513">
        <w:rPr>
          <w:rFonts w:ascii="Garamond" w:hAnsi="Garamond" w:cs="Arial"/>
          <w:sz w:val="22"/>
          <w:szCs w:val="22"/>
          <w:lang w:val="es-ES"/>
        </w:rPr>
        <w:t xml:space="preserve"> se toma la licencia de utilizar eufemismos para izquierda y derecha; los llama progresistas y conservadores. Sin embargo, el dato histórico de lo cambiante del panorama político es ajustado a lo sucedido.</w:t>
      </w:r>
    </w:p>
    <w:p w14:paraId="11343898" w14:textId="347D3E03" w:rsidR="00AE4220" w:rsidRPr="00361513" w:rsidRDefault="00AE4220" w:rsidP="007F25DC">
      <w:pPr>
        <w:pStyle w:val="Lneadeautor-Profesional"/>
        <w:spacing w:before="0" w:after="120" w:line="360" w:lineRule="auto"/>
        <w:ind w:firstLine="284"/>
        <w:jc w:val="both"/>
        <w:rPr>
          <w:rFonts w:ascii="Garamond" w:hAnsi="Garamond" w:cs="Arial"/>
          <w:sz w:val="22"/>
          <w:szCs w:val="22"/>
          <w:lang w:val="es-ES"/>
        </w:rPr>
      </w:pPr>
      <w:proofErr w:type="spellStart"/>
      <w:r w:rsidRPr="00361513">
        <w:rPr>
          <w:rFonts w:ascii="Garamond" w:hAnsi="Garamond" w:cs="Arial"/>
          <w:sz w:val="22"/>
          <w:szCs w:val="22"/>
          <w:lang w:val="es-ES"/>
        </w:rPr>
        <w:lastRenderedPageBreak/>
        <w:t>Pasquali</w:t>
      </w:r>
      <w:proofErr w:type="spellEnd"/>
      <w:r w:rsidRPr="00361513">
        <w:rPr>
          <w:rFonts w:ascii="Garamond" w:hAnsi="Garamond" w:cs="Arial"/>
          <w:sz w:val="22"/>
          <w:szCs w:val="22"/>
          <w:lang w:val="es-ES"/>
        </w:rPr>
        <w:t xml:space="preserve"> (2022) actualiza casi a nuestros días el comportamiento del citado péndulo político/ideológico, retornándolo a un color rojo (Figura 2), referido a progresistas, en algunos casos expresamente autodenominados socialistas.</w:t>
      </w:r>
    </w:p>
    <w:p w14:paraId="1B6BDF36" w14:textId="77777777" w:rsidR="00AE4220" w:rsidRPr="00DB3BE7" w:rsidRDefault="00AE4220" w:rsidP="00AE4220">
      <w:pPr>
        <w:pStyle w:val="Lneadeautor-Profesional"/>
        <w:spacing w:before="0" w:after="240" w:line="240" w:lineRule="auto"/>
        <w:ind w:left="709"/>
        <w:jc w:val="both"/>
        <w:rPr>
          <w:rFonts w:ascii="Garamond" w:hAnsi="Garamond" w:cs="Arial"/>
          <w:sz w:val="20"/>
          <w:lang w:val="es-ES"/>
        </w:rPr>
      </w:pPr>
      <w:r w:rsidRPr="00DB3BE7">
        <w:rPr>
          <w:rFonts w:ascii="Garamond" w:hAnsi="Garamond" w:cs="Arial"/>
          <w:sz w:val="20"/>
          <w:lang w:val="es-ES"/>
        </w:rPr>
        <w:t>El ajustado triunfo de Lula da Silva frente a Jair Bolsonaro en las elecciones presidenciales de Brasil termina de configurar un nuevo mapa político latinoamericano, uno muy diferente del de antes de la pandemia. En 2021 y 2022, los electores de siete países de la región eligieron democráticamente cambiar el signo político de su gobierno nacional. En la mayoría de ellos (un total de cinco Estados), el cambio implicó la salida de una administración con un enfoque más identificado con la derecha y la entrada de un gobierno más progresista o del espectro de la izquierda.</w:t>
      </w:r>
    </w:p>
    <w:p w14:paraId="76DE439F" w14:textId="77777777" w:rsidR="00AE4220" w:rsidRPr="00361513" w:rsidRDefault="00AE4220" w:rsidP="00AE4220">
      <w:pPr>
        <w:pStyle w:val="Lneadeautor-Profesional"/>
        <w:spacing w:before="0" w:after="120" w:line="360" w:lineRule="auto"/>
        <w:jc w:val="both"/>
        <w:rPr>
          <w:rFonts w:ascii="Garamond" w:hAnsi="Garamond" w:cs="Arial"/>
          <w:b/>
          <w:bCs/>
          <w:sz w:val="22"/>
          <w:szCs w:val="22"/>
          <w:lang w:val="es-ES"/>
        </w:rPr>
      </w:pPr>
      <w:r w:rsidRPr="00361513">
        <w:rPr>
          <w:rFonts w:ascii="Garamond" w:hAnsi="Garamond" w:cs="Arial"/>
          <w:b/>
          <w:bCs/>
          <w:sz w:val="22"/>
          <w:szCs w:val="22"/>
          <w:lang w:val="es-ES"/>
        </w:rPr>
        <w:t>EL VENDAVAL ECONÓMICO EN VENEZUELA</w:t>
      </w:r>
    </w:p>
    <w:p w14:paraId="47D534EE" w14:textId="152BE578"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Por muchos años, la economía de franquicias en Venezuela soportó los embates políticos y socio económicos que se presentaron constantemente. Sin embargo, con la aparición del fenómeno de la hiperinflación en 2017, el cual duró cuatro años, las cosas cambiaron sustancialmente. El retroceso del sector se evidencia en las mediciones del 2019 validadas por la Cámara Venezolana de Franquicias, </w:t>
      </w:r>
      <w:proofErr w:type="spellStart"/>
      <w:r w:rsidRPr="00361513">
        <w:rPr>
          <w:rFonts w:ascii="Garamond" w:hAnsi="Garamond" w:cs="Arial"/>
          <w:sz w:val="22"/>
          <w:szCs w:val="22"/>
          <w:lang w:val="es-ES"/>
        </w:rPr>
        <w:t>Profranquicias</w:t>
      </w:r>
      <w:proofErr w:type="spellEnd"/>
      <w:r w:rsidRPr="00361513">
        <w:rPr>
          <w:rFonts w:ascii="Garamond" w:hAnsi="Garamond" w:cs="Arial"/>
          <w:sz w:val="22"/>
          <w:szCs w:val="22"/>
          <w:lang w:val="es-ES"/>
        </w:rPr>
        <w:t xml:space="preserve"> (</w:t>
      </w:r>
      <w:r w:rsidR="00224BAA" w:rsidRPr="00361513">
        <w:rPr>
          <w:rFonts w:ascii="Garamond" w:hAnsi="Garamond" w:cs="Arial"/>
          <w:sz w:val="22"/>
          <w:szCs w:val="22"/>
          <w:lang w:val="es-ES"/>
        </w:rPr>
        <w:t>F</w:t>
      </w:r>
      <w:r w:rsidRPr="00361513">
        <w:rPr>
          <w:rFonts w:ascii="Garamond" w:hAnsi="Garamond" w:cs="Arial"/>
          <w:sz w:val="22"/>
          <w:szCs w:val="22"/>
          <w:lang w:val="es-ES"/>
        </w:rPr>
        <w:t>igura 3</w:t>
      </w:r>
      <w:r w:rsidR="00224BAA" w:rsidRPr="00361513">
        <w:rPr>
          <w:rStyle w:val="Refdenotaalpie"/>
          <w:rFonts w:ascii="Garamond" w:hAnsi="Garamond" w:cs="Arial"/>
          <w:sz w:val="22"/>
          <w:szCs w:val="22"/>
          <w:lang w:val="es-ES"/>
        </w:rPr>
        <w:footnoteReference w:id="3"/>
      </w:r>
      <w:r w:rsidRPr="00361513">
        <w:rPr>
          <w:rFonts w:ascii="Garamond" w:hAnsi="Garamond" w:cs="Arial"/>
          <w:sz w:val="22"/>
          <w:szCs w:val="22"/>
          <w:lang w:val="es-ES"/>
        </w:rPr>
        <w:t>), con una caída del 24</w:t>
      </w:r>
      <w:r w:rsidR="00224BAA" w:rsidRPr="00361513">
        <w:rPr>
          <w:rFonts w:ascii="Garamond" w:hAnsi="Garamond" w:cs="Arial"/>
          <w:sz w:val="22"/>
          <w:szCs w:val="22"/>
          <w:lang w:val="es-ES"/>
        </w:rPr>
        <w:t>,</w:t>
      </w:r>
      <w:r w:rsidRPr="00361513">
        <w:rPr>
          <w:rFonts w:ascii="Garamond" w:hAnsi="Garamond" w:cs="Arial"/>
          <w:sz w:val="22"/>
          <w:szCs w:val="22"/>
          <w:lang w:val="es-ES"/>
        </w:rPr>
        <w:t>59</w:t>
      </w:r>
      <w:r w:rsidR="00224BAA" w:rsidRPr="00361513">
        <w:rPr>
          <w:rFonts w:ascii="Garamond" w:hAnsi="Garamond" w:cs="Arial"/>
          <w:sz w:val="22"/>
          <w:szCs w:val="22"/>
          <w:lang w:val="es-ES"/>
        </w:rPr>
        <w:t> </w:t>
      </w:r>
      <w:r w:rsidRPr="00361513">
        <w:rPr>
          <w:rFonts w:ascii="Garamond" w:hAnsi="Garamond" w:cs="Arial"/>
          <w:sz w:val="22"/>
          <w:szCs w:val="22"/>
          <w:lang w:val="es-ES"/>
        </w:rPr>
        <w:t>% de la cantidad de franquicias/marcas operando en el país versus el año 2016. Sin embargo, el dato más revelador es la caída en el número de establecimientos pertenecientes a las diferentes franquicias/marcas. Si comparamos 2019 vs. 2013, entonces la contracción llega al 57</w:t>
      </w:r>
      <w:r w:rsidR="00224BAA" w:rsidRPr="00361513">
        <w:rPr>
          <w:rFonts w:ascii="Garamond" w:hAnsi="Garamond" w:cs="Arial"/>
          <w:sz w:val="22"/>
          <w:szCs w:val="22"/>
          <w:lang w:val="es-ES"/>
        </w:rPr>
        <w:t>,</w:t>
      </w:r>
      <w:r w:rsidRPr="00361513">
        <w:rPr>
          <w:rFonts w:ascii="Garamond" w:hAnsi="Garamond" w:cs="Arial"/>
          <w:sz w:val="22"/>
          <w:szCs w:val="22"/>
          <w:lang w:val="es-ES"/>
        </w:rPr>
        <w:t>8</w:t>
      </w:r>
      <w:r w:rsidR="00224BAA" w:rsidRPr="00361513">
        <w:rPr>
          <w:rFonts w:ascii="Garamond" w:hAnsi="Garamond" w:cs="Arial"/>
          <w:sz w:val="22"/>
          <w:szCs w:val="22"/>
          <w:lang w:val="es-ES"/>
        </w:rPr>
        <w:t> </w:t>
      </w:r>
      <w:r w:rsidRPr="00361513">
        <w:rPr>
          <w:rFonts w:ascii="Garamond" w:hAnsi="Garamond" w:cs="Arial"/>
          <w:sz w:val="22"/>
          <w:szCs w:val="22"/>
          <w:lang w:val="es-ES"/>
        </w:rPr>
        <w:t>% (</w:t>
      </w:r>
      <w:r w:rsidR="00224BAA" w:rsidRPr="00361513">
        <w:rPr>
          <w:rFonts w:ascii="Garamond" w:hAnsi="Garamond" w:cs="Arial"/>
          <w:sz w:val="22"/>
          <w:szCs w:val="22"/>
          <w:lang w:val="es-ES"/>
        </w:rPr>
        <w:t>F</w:t>
      </w:r>
      <w:r w:rsidRPr="00361513">
        <w:rPr>
          <w:rFonts w:ascii="Garamond" w:hAnsi="Garamond" w:cs="Arial"/>
          <w:sz w:val="22"/>
          <w:szCs w:val="22"/>
          <w:lang w:val="es-ES"/>
        </w:rPr>
        <w:t>igura 4</w:t>
      </w:r>
      <w:r w:rsidR="00224BAA" w:rsidRPr="00361513">
        <w:rPr>
          <w:rStyle w:val="Refdenotaalpie"/>
          <w:rFonts w:ascii="Garamond" w:hAnsi="Garamond" w:cs="Arial"/>
          <w:sz w:val="22"/>
          <w:szCs w:val="22"/>
          <w:lang w:val="es-ES"/>
        </w:rPr>
        <w:footnoteReference w:id="4"/>
      </w:r>
      <w:r w:rsidRPr="00361513">
        <w:rPr>
          <w:rFonts w:ascii="Garamond" w:hAnsi="Garamond" w:cs="Arial"/>
          <w:sz w:val="22"/>
          <w:szCs w:val="22"/>
          <w:lang w:val="es-ES"/>
        </w:rPr>
        <w:t>). Se pasó de 12</w:t>
      </w:r>
      <w:r w:rsidR="009464F1" w:rsidRPr="00361513">
        <w:rPr>
          <w:rFonts w:ascii="Garamond" w:hAnsi="Garamond" w:cs="Arial"/>
          <w:sz w:val="22"/>
          <w:szCs w:val="22"/>
          <w:lang w:val="es-ES"/>
        </w:rPr>
        <w:t> </w:t>
      </w:r>
      <w:r w:rsidRPr="00361513">
        <w:rPr>
          <w:rFonts w:ascii="Garamond" w:hAnsi="Garamond" w:cs="Arial"/>
          <w:sz w:val="22"/>
          <w:szCs w:val="22"/>
          <w:lang w:val="es-ES"/>
        </w:rPr>
        <w:t>500 establecimientos a 5268. Esto se explica porque antes de desaparecer una franquicia/marca, su estrategia inicial es reducir el número de establecimientos como es lógico suponer.</w:t>
      </w:r>
    </w:p>
    <w:p w14:paraId="595C6633" w14:textId="2EB11A32"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Sin embargo, la tormenta parece haber terminado en alguna medida. Según Luján (2022) </w:t>
      </w:r>
      <w:r w:rsidR="005178C2" w:rsidRPr="00361513">
        <w:rPr>
          <w:rFonts w:ascii="Garamond" w:hAnsi="Garamond" w:cs="Arial"/>
          <w:sz w:val="22"/>
          <w:szCs w:val="22"/>
          <w:lang w:val="es-ES"/>
        </w:rPr>
        <w:t>«</w:t>
      </w:r>
      <w:r w:rsidRPr="00361513">
        <w:rPr>
          <w:rFonts w:ascii="Garamond" w:hAnsi="Garamond" w:cs="Arial"/>
          <w:sz w:val="22"/>
          <w:szCs w:val="22"/>
          <w:lang w:val="es-ES"/>
        </w:rPr>
        <w:t xml:space="preserve">El 61% de los afiliados a </w:t>
      </w:r>
      <w:proofErr w:type="spellStart"/>
      <w:r w:rsidRPr="00361513">
        <w:rPr>
          <w:rFonts w:ascii="Garamond" w:hAnsi="Garamond" w:cs="Arial"/>
          <w:sz w:val="22"/>
          <w:szCs w:val="22"/>
          <w:lang w:val="es-ES"/>
        </w:rPr>
        <w:t>Profranquicias</w:t>
      </w:r>
      <w:proofErr w:type="spellEnd"/>
      <w:r w:rsidRPr="00361513">
        <w:rPr>
          <w:rFonts w:ascii="Garamond" w:hAnsi="Garamond" w:cs="Arial"/>
          <w:sz w:val="22"/>
          <w:szCs w:val="22"/>
          <w:lang w:val="es-ES"/>
        </w:rPr>
        <w:t xml:space="preserve"> registró haber frenado el cierre de tiendas, abriendo al menos una unidad nueva de franquicia en el primer cuatrimestre de 2022</w:t>
      </w:r>
      <w:r w:rsidR="005178C2" w:rsidRPr="00361513">
        <w:rPr>
          <w:rFonts w:ascii="Garamond" w:hAnsi="Garamond" w:cs="Arial"/>
          <w:sz w:val="22"/>
          <w:szCs w:val="22"/>
          <w:lang w:val="es-ES"/>
        </w:rPr>
        <w:t>»</w:t>
      </w:r>
      <w:r w:rsidRPr="00361513">
        <w:rPr>
          <w:rFonts w:ascii="Garamond" w:hAnsi="Garamond" w:cs="Arial"/>
          <w:sz w:val="22"/>
          <w:szCs w:val="22"/>
          <w:lang w:val="es-ES"/>
        </w:rPr>
        <w:t>.</w:t>
      </w:r>
    </w:p>
    <w:p w14:paraId="3BF8D7CD" w14:textId="241E524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Según el portal web Economipedia (plataforma de educación financiera en español), técnicamente </w:t>
      </w:r>
      <w:r w:rsidR="00A437A5" w:rsidRPr="00361513">
        <w:rPr>
          <w:rFonts w:ascii="Garamond" w:hAnsi="Garamond" w:cs="Arial"/>
          <w:sz w:val="22"/>
          <w:szCs w:val="22"/>
          <w:lang w:val="es-ES"/>
        </w:rPr>
        <w:t>«</w:t>
      </w:r>
      <w:r w:rsidRPr="00361513">
        <w:rPr>
          <w:rFonts w:ascii="Garamond" w:hAnsi="Garamond" w:cs="Arial"/>
          <w:sz w:val="22"/>
          <w:szCs w:val="22"/>
          <w:lang w:val="es-ES"/>
        </w:rPr>
        <w:t>La hiperinflación es una subida descontrolada de los precios de una economía. Generalmente, se suele considerar hiperinflación cuando la inflación aumenta en cuatro dígitos anuales, es decir, más de 1000%</w:t>
      </w:r>
      <w:r w:rsidR="00A437A5" w:rsidRPr="00361513">
        <w:rPr>
          <w:rFonts w:ascii="Garamond" w:hAnsi="Garamond" w:cs="Arial"/>
          <w:sz w:val="22"/>
          <w:szCs w:val="22"/>
          <w:lang w:val="es-ES"/>
        </w:rPr>
        <w:t>»</w:t>
      </w:r>
      <w:r w:rsidRPr="00361513">
        <w:rPr>
          <w:rStyle w:val="Refdenotaalpie"/>
          <w:rFonts w:ascii="Garamond" w:hAnsi="Garamond" w:cs="Arial"/>
          <w:sz w:val="22"/>
          <w:szCs w:val="22"/>
          <w:lang w:val="es-ES"/>
        </w:rPr>
        <w:footnoteReference w:id="5"/>
      </w:r>
      <w:r w:rsidRPr="00361513">
        <w:rPr>
          <w:rFonts w:ascii="Garamond" w:hAnsi="Garamond" w:cs="Arial"/>
          <w:sz w:val="22"/>
          <w:szCs w:val="22"/>
          <w:lang w:val="es-ES"/>
        </w:rPr>
        <w:t>.</w:t>
      </w:r>
    </w:p>
    <w:p w14:paraId="547BA2E5" w14:textId="310FC40E"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En el caso venezolano (</w:t>
      </w:r>
      <w:r w:rsidR="00A437A5" w:rsidRPr="00361513">
        <w:rPr>
          <w:rFonts w:ascii="Garamond" w:hAnsi="Garamond" w:cs="Arial"/>
          <w:sz w:val="22"/>
          <w:szCs w:val="22"/>
          <w:lang w:val="es-ES"/>
        </w:rPr>
        <w:t>F</w:t>
      </w:r>
      <w:r w:rsidRPr="00361513">
        <w:rPr>
          <w:rFonts w:ascii="Garamond" w:hAnsi="Garamond" w:cs="Arial"/>
          <w:sz w:val="22"/>
          <w:szCs w:val="22"/>
          <w:lang w:val="es-ES"/>
        </w:rPr>
        <w:t>iguras 5</w:t>
      </w:r>
      <w:r w:rsidR="00A437A5" w:rsidRPr="00361513">
        <w:rPr>
          <w:rStyle w:val="Refdenotaalpie"/>
          <w:rFonts w:ascii="Garamond" w:hAnsi="Garamond" w:cs="Arial"/>
          <w:sz w:val="22"/>
          <w:szCs w:val="22"/>
          <w:lang w:val="es-ES"/>
        </w:rPr>
        <w:footnoteReference w:id="6"/>
      </w:r>
      <w:r w:rsidRPr="00361513">
        <w:rPr>
          <w:rFonts w:ascii="Garamond" w:hAnsi="Garamond" w:cs="Arial"/>
          <w:sz w:val="22"/>
          <w:szCs w:val="22"/>
          <w:lang w:val="es-ES"/>
        </w:rPr>
        <w:t>, 6</w:t>
      </w:r>
      <w:r w:rsidR="00A437A5" w:rsidRPr="00361513">
        <w:rPr>
          <w:rStyle w:val="Refdenotaalpie"/>
          <w:rFonts w:ascii="Garamond" w:hAnsi="Garamond" w:cs="Arial"/>
          <w:sz w:val="22"/>
          <w:szCs w:val="22"/>
          <w:lang w:val="es-ES"/>
        </w:rPr>
        <w:footnoteReference w:id="7"/>
      </w:r>
      <w:r w:rsidRPr="00361513">
        <w:rPr>
          <w:rFonts w:ascii="Garamond" w:hAnsi="Garamond" w:cs="Arial"/>
          <w:sz w:val="22"/>
          <w:szCs w:val="22"/>
          <w:lang w:val="es-ES"/>
        </w:rPr>
        <w:t xml:space="preserve"> y 7</w:t>
      </w:r>
      <w:r w:rsidR="00A437A5" w:rsidRPr="00361513">
        <w:rPr>
          <w:rStyle w:val="Refdenotaalpie"/>
          <w:rFonts w:ascii="Garamond" w:hAnsi="Garamond" w:cs="Arial"/>
          <w:sz w:val="22"/>
          <w:szCs w:val="22"/>
          <w:lang w:val="es-ES"/>
        </w:rPr>
        <w:footnoteReference w:id="8"/>
      </w:r>
      <w:r w:rsidRPr="00361513">
        <w:rPr>
          <w:rFonts w:ascii="Garamond" w:hAnsi="Garamond" w:cs="Arial"/>
          <w:sz w:val="22"/>
          <w:szCs w:val="22"/>
          <w:lang w:val="es-ES"/>
        </w:rPr>
        <w:t xml:space="preserve"> muestran inflación, liquidez monetaria y PIB), el fenómeno de la hiperinflación no fue por un periodo corto (37 meses contabilizados por Rodríguez, 2022), y su génesis fue más allá de la impresión descontrolada de dinero por la expansión desproporcionada del gasto público, aunque la misma es desde luego determinante. Según el reconocido economista venezolano Pedro Palma, el descalabro inflacionario </w:t>
      </w:r>
      <w:r w:rsidRPr="00361513">
        <w:rPr>
          <w:rFonts w:ascii="Garamond" w:hAnsi="Garamond" w:cs="Arial"/>
          <w:sz w:val="22"/>
          <w:szCs w:val="22"/>
          <w:lang w:val="es-ES"/>
        </w:rPr>
        <w:lastRenderedPageBreak/>
        <w:t>descansa en la monetización del variado déficit público a través de préstamos del Banco Central de Venezuela (BCV) que terminan básicamente creando dinero sin respaldo.</w:t>
      </w:r>
    </w:p>
    <w:p w14:paraId="262519B6" w14:textId="77777777" w:rsidR="00AE4220" w:rsidRPr="00DB3BE7" w:rsidRDefault="00AE4220" w:rsidP="00A437A5">
      <w:pPr>
        <w:spacing w:after="240"/>
        <w:ind w:left="720"/>
        <w:jc w:val="both"/>
        <w:rPr>
          <w:rFonts w:ascii="Garamond" w:hAnsi="Garamond"/>
          <w:sz w:val="20"/>
          <w:szCs w:val="20"/>
          <w:lang w:val="es-VE"/>
        </w:rPr>
      </w:pPr>
      <w:r w:rsidRPr="00DB3BE7">
        <w:rPr>
          <w:rFonts w:ascii="Garamond" w:hAnsi="Garamond"/>
          <w:sz w:val="20"/>
          <w:szCs w:val="20"/>
          <w:lang w:val="es-VE"/>
        </w:rPr>
        <w:t xml:space="preserve">Una de las principales causas de este descalabro, quizá la más significativa, ha sido la monetización de los enormes déficits públicos. Dadas las limitaciones de ingresos gubernamentales, debido a la mermada renta petrolera y al mantenimiento de tipos de cambio oficiales absurdos, un organismo como </w:t>
      </w:r>
      <w:proofErr w:type="spellStart"/>
      <w:r w:rsidRPr="00DB3BE7">
        <w:rPr>
          <w:rFonts w:ascii="Garamond" w:hAnsi="Garamond"/>
          <w:sz w:val="20"/>
          <w:szCs w:val="20"/>
          <w:lang w:val="es-VE"/>
        </w:rPr>
        <w:t>Pdvsa</w:t>
      </w:r>
      <w:proofErr w:type="spellEnd"/>
      <w:r w:rsidRPr="00DB3BE7">
        <w:rPr>
          <w:rFonts w:ascii="Garamond" w:hAnsi="Garamond"/>
          <w:sz w:val="20"/>
          <w:szCs w:val="20"/>
          <w:lang w:val="es-VE"/>
        </w:rPr>
        <w:t>, la petrolera estatal, ha tenido que endeudarse masivamente para financiar los déficits en que incurre, dados los elevados desembolsos que le ha impuesto el gobierno para cubrir programas sociales ajenos a su actividad medular, siendo el Banco Central de Venezuela (BCV) su gran prestamista. Eso se ha traducido en una creación masiva de dinero sin respaldo por parte del BCV, adentrándose esa institución en la más perversa y dañina práctica de política monetaria, que se aplicó en otras economías latinoamericanas en décadas pasadas, generando estragos inflacionarios devastadores. (Palma, 2018).</w:t>
      </w:r>
    </w:p>
    <w:p w14:paraId="6DDC86E9" w14:textId="6DCA829A" w:rsidR="00AE4220" w:rsidRPr="00361513" w:rsidRDefault="00AE4220" w:rsidP="00A437A5">
      <w:pPr>
        <w:pStyle w:val="Lneadeautor-Profesional"/>
        <w:spacing w:before="0" w:after="120" w:line="360" w:lineRule="auto"/>
        <w:ind w:firstLine="284"/>
        <w:jc w:val="both"/>
        <w:rPr>
          <w:rFonts w:ascii="Garamond" w:hAnsi="Garamond" w:cs="Arial"/>
          <w:sz w:val="22"/>
          <w:szCs w:val="22"/>
          <w:lang w:val="es-VE"/>
        </w:rPr>
      </w:pPr>
      <w:r w:rsidRPr="00361513">
        <w:rPr>
          <w:rFonts w:ascii="Garamond" w:hAnsi="Garamond" w:cs="Arial"/>
          <w:sz w:val="22"/>
          <w:szCs w:val="22"/>
          <w:lang w:val="es-VE"/>
        </w:rPr>
        <w:t xml:space="preserve">En el portal web </w:t>
      </w:r>
      <w:proofErr w:type="spellStart"/>
      <w:r w:rsidRPr="00361513">
        <w:rPr>
          <w:rFonts w:ascii="Garamond" w:hAnsi="Garamond" w:cs="Arial"/>
          <w:sz w:val="22"/>
          <w:szCs w:val="22"/>
          <w:lang w:val="es-VE"/>
        </w:rPr>
        <w:t>Prodavinci</w:t>
      </w:r>
      <w:proofErr w:type="spellEnd"/>
      <w:r w:rsidRPr="00361513">
        <w:rPr>
          <w:rFonts w:ascii="Garamond" w:hAnsi="Garamond" w:cs="Arial"/>
          <w:sz w:val="22"/>
          <w:szCs w:val="22"/>
          <w:lang w:val="es-VE"/>
        </w:rPr>
        <w:t xml:space="preserve">, considerado un espacio para las ideas, las conversaciones y los debates, en un artículo de actualidad económica, </w:t>
      </w:r>
      <w:proofErr w:type="spellStart"/>
      <w:r w:rsidRPr="00361513">
        <w:rPr>
          <w:rFonts w:ascii="Garamond" w:hAnsi="Garamond" w:cs="Arial"/>
          <w:sz w:val="22"/>
          <w:szCs w:val="22"/>
          <w:lang w:val="es-VE"/>
        </w:rPr>
        <w:t>Abadi</w:t>
      </w:r>
      <w:proofErr w:type="spellEnd"/>
      <w:r w:rsidRPr="00361513">
        <w:rPr>
          <w:rFonts w:ascii="Garamond" w:hAnsi="Garamond" w:cs="Arial"/>
          <w:sz w:val="22"/>
          <w:szCs w:val="22"/>
          <w:lang w:val="es-VE"/>
        </w:rPr>
        <w:t xml:space="preserve"> y García (2018) puntualizan:</w:t>
      </w:r>
    </w:p>
    <w:p w14:paraId="40309806" w14:textId="77777777" w:rsidR="00AE4220" w:rsidRPr="00DB3BE7" w:rsidRDefault="00AE4220" w:rsidP="00AE4220">
      <w:pPr>
        <w:spacing w:after="240"/>
        <w:ind w:left="720"/>
        <w:jc w:val="both"/>
        <w:rPr>
          <w:rFonts w:ascii="Garamond" w:hAnsi="Garamond"/>
          <w:sz w:val="20"/>
          <w:szCs w:val="20"/>
          <w:lang w:val="es-VE"/>
        </w:rPr>
      </w:pPr>
      <w:r w:rsidRPr="00DB3BE7">
        <w:rPr>
          <w:rFonts w:ascii="Garamond" w:hAnsi="Garamond"/>
          <w:sz w:val="20"/>
          <w:szCs w:val="20"/>
          <w:lang w:val="es-VE"/>
        </w:rPr>
        <w:t>Aunque fue particularmente alarmante el recrudecimiento de la inflación y la escasez en 2017, la realidad es que ambos son producto de distorsiones económicas que se han mantenido por tres quinquenios. Los intensos controles que el Gobierno Central ha impuesto sobre el aparato productivo nacional –resaltando los controles de cambio y de precios- no sólo han provocado inflación, sino que también han generado importantes niveles de escasez.</w:t>
      </w:r>
    </w:p>
    <w:p w14:paraId="2344EFEE" w14:textId="49E03AE2"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VE"/>
        </w:rPr>
      </w:pPr>
      <w:r w:rsidRPr="00361513">
        <w:rPr>
          <w:rFonts w:ascii="Garamond" w:hAnsi="Garamond" w:cs="Arial"/>
          <w:sz w:val="22"/>
          <w:szCs w:val="22"/>
          <w:lang w:val="es-VE"/>
        </w:rPr>
        <w:t xml:space="preserve">Otro aspecto muy pernicioso para el desenvolvimiento de la economía fue el sucedido bajo el marco de una Ley Habilitante. El 23 de enero de 2014 se deroga la Ley de Costos y Precios Justos mediante el Decreto-Ley </w:t>
      </w:r>
      <w:r w:rsidR="00533B50" w:rsidRPr="00361513">
        <w:rPr>
          <w:rFonts w:ascii="Garamond" w:hAnsi="Garamond" w:cs="Arial"/>
          <w:sz w:val="22"/>
          <w:szCs w:val="22"/>
          <w:lang w:val="es-VE"/>
        </w:rPr>
        <w:t xml:space="preserve">n.º </w:t>
      </w:r>
      <w:r w:rsidRPr="00361513">
        <w:rPr>
          <w:rFonts w:ascii="Garamond" w:hAnsi="Garamond" w:cs="Arial"/>
          <w:sz w:val="22"/>
          <w:szCs w:val="22"/>
          <w:lang w:val="es-VE"/>
        </w:rPr>
        <w:t xml:space="preserve">600 que dictó Ley Orgánica de Precios Justos (Gaceta Oficial </w:t>
      </w:r>
      <w:r w:rsidR="00533B50" w:rsidRPr="00361513">
        <w:rPr>
          <w:rFonts w:ascii="Garamond" w:hAnsi="Garamond" w:cs="Arial"/>
          <w:sz w:val="22"/>
          <w:szCs w:val="22"/>
          <w:lang w:val="es-VE"/>
        </w:rPr>
        <w:t>n</w:t>
      </w:r>
      <w:r w:rsidRPr="00361513">
        <w:rPr>
          <w:rFonts w:ascii="Garamond" w:hAnsi="Garamond" w:cs="Arial"/>
          <w:sz w:val="22"/>
          <w:szCs w:val="22"/>
          <w:lang w:val="es-VE"/>
        </w:rPr>
        <w:t>.</w:t>
      </w:r>
      <w:r w:rsidR="00533B50" w:rsidRPr="00361513">
        <w:rPr>
          <w:rFonts w:ascii="Garamond" w:hAnsi="Garamond" w:cs="Arial"/>
          <w:sz w:val="22"/>
          <w:szCs w:val="22"/>
          <w:lang w:val="es-VE"/>
        </w:rPr>
        <w:t>º</w:t>
      </w:r>
      <w:r w:rsidRPr="00361513">
        <w:rPr>
          <w:rFonts w:ascii="Garamond" w:hAnsi="Garamond" w:cs="Arial"/>
          <w:sz w:val="22"/>
          <w:szCs w:val="22"/>
          <w:lang w:val="es-VE"/>
        </w:rPr>
        <w:t xml:space="preserve"> 40.340 de 23 de enero de 2014). La Ley Orgánica de Precios Justos estableció un margen máximo de ganancia de 30</w:t>
      </w:r>
      <w:r w:rsidR="00533B50" w:rsidRPr="00361513">
        <w:rPr>
          <w:rFonts w:ascii="Garamond" w:hAnsi="Garamond" w:cs="Arial"/>
          <w:sz w:val="22"/>
          <w:szCs w:val="22"/>
          <w:lang w:val="es-VE"/>
        </w:rPr>
        <w:t> </w:t>
      </w:r>
      <w:r w:rsidRPr="00361513">
        <w:rPr>
          <w:rFonts w:ascii="Garamond" w:hAnsi="Garamond" w:cs="Arial"/>
          <w:sz w:val="22"/>
          <w:szCs w:val="22"/>
          <w:lang w:val="es-VE"/>
        </w:rPr>
        <w:t>% para cualquier actor de la cadena de comercialización.</w:t>
      </w:r>
    </w:p>
    <w:p w14:paraId="26B53775" w14:textId="6F4FDC25"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VE"/>
        </w:rPr>
      </w:pPr>
      <w:r w:rsidRPr="00361513">
        <w:rPr>
          <w:rFonts w:ascii="Garamond" w:hAnsi="Garamond" w:cs="Arial"/>
          <w:sz w:val="22"/>
          <w:szCs w:val="22"/>
          <w:lang w:val="es-VE"/>
        </w:rPr>
        <w:t xml:space="preserve">Ya para el año 2018 se reportaban las consecuencias de rezagar artificialmente los precios con respecto a la realidad económica del mercado. </w:t>
      </w:r>
      <w:proofErr w:type="spellStart"/>
      <w:r w:rsidRPr="00361513">
        <w:rPr>
          <w:rFonts w:ascii="Garamond" w:hAnsi="Garamond" w:cs="Arial"/>
          <w:sz w:val="22"/>
          <w:szCs w:val="22"/>
          <w:lang w:val="es-VE"/>
        </w:rPr>
        <w:t>Abadi</w:t>
      </w:r>
      <w:proofErr w:type="spellEnd"/>
      <w:r w:rsidRPr="00361513">
        <w:rPr>
          <w:rFonts w:ascii="Garamond" w:hAnsi="Garamond" w:cs="Arial"/>
          <w:sz w:val="22"/>
          <w:szCs w:val="22"/>
          <w:lang w:val="es-VE"/>
        </w:rPr>
        <w:t xml:space="preserve"> y García (2018) señalaron que </w:t>
      </w:r>
      <w:r w:rsidR="00533B50" w:rsidRPr="00361513">
        <w:rPr>
          <w:rFonts w:ascii="Garamond" w:hAnsi="Garamond" w:cs="Arial"/>
          <w:sz w:val="22"/>
          <w:szCs w:val="22"/>
          <w:lang w:val="es-VE"/>
        </w:rPr>
        <w:t>«</w:t>
      </w:r>
      <w:r w:rsidRPr="00361513">
        <w:rPr>
          <w:rFonts w:ascii="Garamond" w:hAnsi="Garamond" w:cs="Arial"/>
          <w:sz w:val="22"/>
          <w:szCs w:val="22"/>
          <w:lang w:val="es-VE"/>
        </w:rPr>
        <w:t>el control de precios ha tenido efectos negativos sobre la producción, el abastecimiento, la calidad y la variedad de los productos, así como sobre el poder adquisitivo de los consumidores</w:t>
      </w:r>
      <w:r w:rsidR="00533B50" w:rsidRPr="00361513">
        <w:rPr>
          <w:rFonts w:ascii="Garamond" w:hAnsi="Garamond" w:cs="Arial"/>
          <w:sz w:val="22"/>
          <w:szCs w:val="22"/>
          <w:lang w:val="es-VE"/>
        </w:rPr>
        <w:t>»</w:t>
      </w:r>
      <w:r w:rsidRPr="00361513">
        <w:rPr>
          <w:rFonts w:ascii="Garamond" w:hAnsi="Garamond" w:cs="Arial"/>
          <w:sz w:val="22"/>
          <w:szCs w:val="22"/>
          <w:lang w:val="es-VE"/>
        </w:rPr>
        <w:t>.</w:t>
      </w:r>
    </w:p>
    <w:p w14:paraId="111D4D9C" w14:textId="091ADC06"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VE"/>
        </w:rPr>
      </w:pPr>
      <w:r w:rsidRPr="00361513">
        <w:rPr>
          <w:rFonts w:ascii="Garamond" w:hAnsi="Garamond" w:cs="Arial"/>
          <w:sz w:val="22"/>
          <w:szCs w:val="22"/>
          <w:lang w:val="es-VE"/>
        </w:rPr>
        <w:t xml:space="preserve">Otro impacto que recibió el negocio de franquicias en Venezuela fue la prohibición de la repatriación de capitales que se dio de forma coincidente con la instauración del control cambiario en enero 2003. Dicho control en teoría fue una medida temporal para enfrentar la crisis económica proveniente de la huelga general de empresarios y trabajadores de la época. Sin embargo, la prohibición de repatriación de capitales se mantuvo vigente hasta agosto de 2018, cuando el </w:t>
      </w:r>
      <w:r w:rsidR="00533B50" w:rsidRPr="00361513">
        <w:rPr>
          <w:rFonts w:ascii="Garamond" w:hAnsi="Garamond" w:cs="Arial"/>
          <w:sz w:val="22"/>
          <w:szCs w:val="22"/>
          <w:lang w:val="es-VE"/>
        </w:rPr>
        <w:t>G</w:t>
      </w:r>
      <w:r w:rsidRPr="00361513">
        <w:rPr>
          <w:rFonts w:ascii="Garamond" w:hAnsi="Garamond" w:cs="Arial"/>
          <w:sz w:val="22"/>
          <w:szCs w:val="22"/>
          <w:lang w:val="es-VE"/>
        </w:rPr>
        <w:t xml:space="preserve">obierno anunció su flexibilización </w:t>
      </w:r>
      <w:r w:rsidR="00533B50" w:rsidRPr="00361513">
        <w:rPr>
          <w:rFonts w:ascii="Garamond" w:hAnsi="Garamond" w:cs="Arial"/>
          <w:sz w:val="22"/>
          <w:szCs w:val="22"/>
          <w:lang w:val="es-VE"/>
        </w:rPr>
        <w:t>(</w:t>
      </w:r>
      <w:r w:rsidRPr="00361513">
        <w:rPr>
          <w:rFonts w:ascii="Garamond" w:hAnsi="Garamond" w:cs="Arial"/>
          <w:sz w:val="22"/>
          <w:szCs w:val="22"/>
          <w:lang w:val="es-VE"/>
        </w:rPr>
        <w:t>Microsoft</w:t>
      </w:r>
      <w:r w:rsidR="00533B50" w:rsidRPr="00361513">
        <w:rPr>
          <w:rFonts w:ascii="Garamond" w:hAnsi="Garamond" w:cs="Arial"/>
          <w:sz w:val="22"/>
          <w:szCs w:val="22"/>
          <w:lang w:val="es-VE"/>
        </w:rPr>
        <w:t xml:space="preserve">, </w:t>
      </w:r>
      <w:r w:rsidRPr="00361513">
        <w:rPr>
          <w:rFonts w:ascii="Garamond" w:hAnsi="Garamond" w:cs="Arial"/>
          <w:sz w:val="22"/>
          <w:szCs w:val="22"/>
          <w:lang w:val="es-VE"/>
        </w:rPr>
        <w:t>2023).</w:t>
      </w:r>
    </w:p>
    <w:p w14:paraId="2C3725CD" w14:textId="0FAC76C6"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VE"/>
        </w:rPr>
      </w:pPr>
      <w:r w:rsidRPr="00361513">
        <w:rPr>
          <w:rFonts w:ascii="Garamond" w:hAnsi="Garamond" w:cs="Arial"/>
          <w:sz w:val="22"/>
          <w:szCs w:val="22"/>
          <w:lang w:val="es-VE"/>
        </w:rPr>
        <w:t>Desde luego, las franquicias más afectadas por la implementación inicial de la medida fueron las extranjeras, las cuales sistemáticamente han perdido protagonismo en el mercado local (</w:t>
      </w:r>
      <w:r w:rsidR="00533B50" w:rsidRPr="00361513">
        <w:rPr>
          <w:rFonts w:ascii="Garamond" w:hAnsi="Garamond" w:cs="Arial"/>
          <w:sz w:val="22"/>
          <w:szCs w:val="22"/>
          <w:lang w:val="es-VE"/>
        </w:rPr>
        <w:t>F</w:t>
      </w:r>
      <w:r w:rsidRPr="00361513">
        <w:rPr>
          <w:rFonts w:ascii="Garamond" w:hAnsi="Garamond" w:cs="Arial"/>
          <w:sz w:val="22"/>
          <w:szCs w:val="22"/>
          <w:lang w:val="es-VE"/>
        </w:rPr>
        <w:t>igura 8</w:t>
      </w:r>
      <w:r w:rsidR="00533B50" w:rsidRPr="00361513">
        <w:rPr>
          <w:rStyle w:val="Refdenotaalpie"/>
          <w:rFonts w:ascii="Garamond" w:hAnsi="Garamond" w:cs="Arial"/>
          <w:sz w:val="22"/>
          <w:szCs w:val="22"/>
          <w:lang w:val="es-VE"/>
        </w:rPr>
        <w:footnoteReference w:id="9"/>
      </w:r>
      <w:r w:rsidRPr="00361513">
        <w:rPr>
          <w:rFonts w:ascii="Garamond" w:hAnsi="Garamond" w:cs="Arial"/>
          <w:sz w:val="22"/>
          <w:szCs w:val="22"/>
          <w:lang w:val="es-VE"/>
        </w:rPr>
        <w:t>).</w:t>
      </w:r>
    </w:p>
    <w:p w14:paraId="5B3DE546"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La prohibición de repatriación de capitales, al examinar el repositorio sobre el tema utilizando los parámetros de la </w:t>
      </w:r>
      <w:r w:rsidRPr="00361513">
        <w:rPr>
          <w:rFonts w:ascii="Garamond" w:hAnsi="Garamond" w:cs="Arial"/>
          <w:sz w:val="22"/>
          <w:szCs w:val="22"/>
          <w:lang w:val="es-VE"/>
        </w:rPr>
        <w:t>inteligencia</w:t>
      </w:r>
      <w:r w:rsidRPr="00361513">
        <w:rPr>
          <w:rFonts w:ascii="Garamond" w:hAnsi="Garamond" w:cs="Arial"/>
          <w:sz w:val="22"/>
          <w:szCs w:val="22"/>
          <w:lang w:val="es-ES"/>
        </w:rPr>
        <w:t xml:space="preserve"> artificial (Bing), resume así la situación, entre otras cosas de afectación a la inversión extranjera y sus consecuencias negativas para la economía, Microsoft (2023):</w:t>
      </w:r>
    </w:p>
    <w:p w14:paraId="70918DA9"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lastRenderedPageBreak/>
        <w:t>La prohibición de repatriación de capitales en Venezuela se inició en febrero de 2003, junto con el control de cambios, como una medida temporal para enfrentar la crisis económica derivada de la huelga general de empresarios y trabajadores de diciembre de 2002 y enero de 2003. Sin embargo, la prohibición de repatriación de capitales se mantuvo vigente hasta agosto de 2018, cuando el gobierno anunció su flexibilización y derogación de la ley que lo regula.</w:t>
      </w:r>
    </w:p>
    <w:p w14:paraId="1AF4876E"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La prohibición de repatriación de capitales ha afectado a diversos sectores económicos, especialmente a los relacionados con la inversión extranjera, el comercio exterior, el turismo y las remesas. El objetivo de la prohibición de repatriación de capitales era supuestamente evitar la fuga de divisas, proteger las reservas internacionales y fortalecer la moneda nacional. Sin embargo, la prohibición de repatriación de capitales ha tenido efectos negativos sobre la producción, el abastecimiento, la competitividad, la innovación y el desarrollo de los sectores afectados.</w:t>
      </w:r>
    </w:p>
    <w:p w14:paraId="31FC4454" w14:textId="77777777" w:rsidR="00AE4220" w:rsidRPr="00DB3BE7" w:rsidRDefault="00AE4220" w:rsidP="00AE4220">
      <w:pPr>
        <w:spacing w:after="240"/>
        <w:ind w:left="720"/>
        <w:jc w:val="both"/>
        <w:rPr>
          <w:rFonts w:ascii="Garamond" w:hAnsi="Garamond"/>
          <w:sz w:val="20"/>
          <w:szCs w:val="20"/>
          <w:lang w:val="es-VE"/>
        </w:rPr>
      </w:pPr>
      <w:r w:rsidRPr="00DB3BE7">
        <w:rPr>
          <w:rFonts w:ascii="Garamond" w:hAnsi="Garamond"/>
          <w:sz w:val="20"/>
          <w:szCs w:val="20"/>
          <w:lang w:val="es-VE"/>
        </w:rPr>
        <w:t>(…) Algunos estudios han estimado que desde el inicio de la prohibición de repatriación de capitales en 2003 hasta 2015, la inversión extranjera directa acumuló una caída de 90%, el comercio exterior acumuló una contracción de 70%, el turismo acumuló una pérdida de 80% y las remesas acumularon una reducción de 95%, según cifras del Banco Central de Venezuela y de la Comisión Económica para América Latina y el Caribe. Estos datos muestran que la prohibición de repatriación de capitales no ha logrado proteger la economía, sino que ha contribuido a su deterioro.</w:t>
      </w:r>
    </w:p>
    <w:p w14:paraId="2E1E3D4F" w14:textId="5A62A0F8" w:rsidR="00D8062C" w:rsidRPr="00361513" w:rsidRDefault="00AE4220" w:rsidP="00D8062C">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En definitiva y como recuento de todo lo anterior, Venezuela durante en este siglo ha estado sometida a una serie de medidas y situaciones (</w:t>
      </w:r>
      <w:r w:rsidR="00D8062C" w:rsidRPr="00361513">
        <w:rPr>
          <w:rFonts w:ascii="Garamond" w:hAnsi="Garamond" w:cs="Arial"/>
          <w:sz w:val="22"/>
          <w:szCs w:val="22"/>
          <w:lang w:val="es-ES"/>
        </w:rPr>
        <w:t>Figura 9</w:t>
      </w:r>
      <w:r w:rsidR="00D8062C" w:rsidRPr="00361513">
        <w:rPr>
          <w:rStyle w:val="Refdenotaalpie"/>
          <w:rFonts w:ascii="Garamond" w:hAnsi="Garamond" w:cs="Arial"/>
          <w:sz w:val="22"/>
          <w:szCs w:val="22"/>
          <w:lang w:val="es-ES"/>
        </w:rPr>
        <w:footnoteReference w:id="10"/>
      </w:r>
      <w:r w:rsidR="00D8062C" w:rsidRPr="00361513">
        <w:rPr>
          <w:rFonts w:ascii="Garamond" w:hAnsi="Garamond" w:cs="Arial"/>
          <w:sz w:val="22"/>
          <w:szCs w:val="22"/>
          <w:lang w:val="es-ES"/>
        </w:rPr>
        <w:t xml:space="preserve"> y T</w:t>
      </w:r>
      <w:r w:rsidRPr="00361513">
        <w:rPr>
          <w:rFonts w:ascii="Garamond" w:hAnsi="Garamond" w:cs="Arial"/>
          <w:sz w:val="22"/>
          <w:szCs w:val="22"/>
          <w:lang w:val="es-ES"/>
        </w:rPr>
        <w:t>abla 1</w:t>
      </w:r>
      <w:r w:rsidR="00D8062C" w:rsidRPr="00361513">
        <w:rPr>
          <w:rStyle w:val="Refdenotaalpie"/>
          <w:rFonts w:ascii="Garamond" w:hAnsi="Garamond" w:cs="Arial"/>
          <w:sz w:val="22"/>
          <w:szCs w:val="22"/>
          <w:lang w:val="es-ES"/>
        </w:rPr>
        <w:footnoteReference w:id="11"/>
      </w:r>
      <w:r w:rsidRPr="00361513">
        <w:rPr>
          <w:rFonts w:ascii="Garamond" w:hAnsi="Garamond" w:cs="Arial"/>
          <w:sz w:val="22"/>
          <w:szCs w:val="22"/>
          <w:lang w:val="es-ES"/>
        </w:rPr>
        <w:t>) que terminaron por afectar de manera significativa el desempeño de su economía en líneas generales.</w:t>
      </w:r>
    </w:p>
    <w:p w14:paraId="060BF20B" w14:textId="0E4EF103"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Las consecuencias vistas consolidadamente de todos estos factores se evidencian en el comportamiento del </w:t>
      </w:r>
      <w:r w:rsidR="002546CC" w:rsidRPr="00361513">
        <w:rPr>
          <w:rFonts w:ascii="Garamond" w:hAnsi="Garamond" w:cs="Arial"/>
          <w:sz w:val="22"/>
          <w:szCs w:val="22"/>
          <w:lang w:val="es-ES"/>
        </w:rPr>
        <w:t xml:space="preserve">producto interno bruto </w:t>
      </w:r>
      <w:r w:rsidRPr="00361513">
        <w:rPr>
          <w:rFonts w:ascii="Garamond" w:hAnsi="Garamond" w:cs="Arial"/>
          <w:sz w:val="22"/>
          <w:szCs w:val="22"/>
          <w:lang w:val="es-ES"/>
        </w:rPr>
        <w:t>(PIB) del país, el cual se desplomó entre el 2014 y 2019 (</w:t>
      </w:r>
      <w:r w:rsidR="002546CC" w:rsidRPr="00361513">
        <w:rPr>
          <w:rFonts w:ascii="Garamond" w:hAnsi="Garamond" w:cs="Arial"/>
          <w:sz w:val="22"/>
          <w:szCs w:val="22"/>
          <w:lang w:val="es-ES"/>
        </w:rPr>
        <w:t>F</w:t>
      </w:r>
      <w:r w:rsidRPr="00361513">
        <w:rPr>
          <w:rFonts w:ascii="Garamond" w:hAnsi="Garamond" w:cs="Arial"/>
          <w:sz w:val="22"/>
          <w:szCs w:val="22"/>
          <w:lang w:val="es-ES"/>
        </w:rPr>
        <w:t>iguras 10</w:t>
      </w:r>
      <w:r w:rsidR="002546CC" w:rsidRPr="00361513">
        <w:rPr>
          <w:rStyle w:val="Refdenotaalpie"/>
          <w:rFonts w:ascii="Garamond" w:hAnsi="Garamond" w:cs="Arial"/>
          <w:sz w:val="22"/>
          <w:szCs w:val="22"/>
          <w:lang w:val="es-ES"/>
        </w:rPr>
        <w:footnoteReference w:id="12"/>
      </w:r>
      <w:r w:rsidRPr="00361513">
        <w:rPr>
          <w:rFonts w:ascii="Garamond" w:hAnsi="Garamond" w:cs="Arial"/>
          <w:sz w:val="22"/>
          <w:szCs w:val="22"/>
          <w:lang w:val="es-ES"/>
        </w:rPr>
        <w:t xml:space="preserve"> y 11</w:t>
      </w:r>
      <w:r w:rsidR="002546CC" w:rsidRPr="00361513">
        <w:rPr>
          <w:rStyle w:val="Refdenotaalpie"/>
          <w:rFonts w:ascii="Garamond" w:hAnsi="Garamond" w:cs="Arial"/>
          <w:sz w:val="22"/>
          <w:szCs w:val="22"/>
          <w:lang w:val="es-ES"/>
        </w:rPr>
        <w:footnoteReference w:id="13"/>
      </w:r>
      <w:r w:rsidRPr="00361513">
        <w:rPr>
          <w:rFonts w:ascii="Garamond" w:hAnsi="Garamond" w:cs="Arial"/>
          <w:sz w:val="22"/>
          <w:szCs w:val="22"/>
          <w:lang w:val="es-ES"/>
        </w:rPr>
        <w:t xml:space="preserve">). Para Krugman y Obstfeld (2001, p. 311) el PIB es un indicador para valorar la actividad económica nacional. El PIB </w:t>
      </w:r>
      <w:r w:rsidR="002546CC" w:rsidRPr="00361513">
        <w:rPr>
          <w:rFonts w:ascii="Garamond" w:hAnsi="Garamond" w:cs="Arial"/>
          <w:sz w:val="22"/>
          <w:szCs w:val="22"/>
          <w:lang w:val="es-ES"/>
        </w:rPr>
        <w:t>«</w:t>
      </w:r>
      <w:r w:rsidRPr="00361513">
        <w:rPr>
          <w:rFonts w:ascii="Garamond" w:hAnsi="Garamond" w:cs="Arial"/>
          <w:sz w:val="22"/>
          <w:szCs w:val="22"/>
          <w:lang w:val="es-ES"/>
        </w:rPr>
        <w:t>mide el volumen de producción realizado dentro de las fronteras de un país</w:t>
      </w:r>
      <w:r w:rsidR="002546CC" w:rsidRPr="00361513">
        <w:rPr>
          <w:rFonts w:ascii="Garamond" w:hAnsi="Garamond" w:cs="Arial"/>
          <w:sz w:val="22"/>
          <w:szCs w:val="22"/>
          <w:lang w:val="es-ES"/>
        </w:rPr>
        <w:t>»</w:t>
      </w:r>
      <w:r w:rsidRPr="00361513">
        <w:rPr>
          <w:rFonts w:ascii="Garamond" w:hAnsi="Garamond" w:cs="Arial"/>
          <w:sz w:val="22"/>
          <w:szCs w:val="22"/>
          <w:lang w:val="es-ES"/>
        </w:rPr>
        <w:t>.</w:t>
      </w:r>
    </w:p>
    <w:p w14:paraId="0A5AC11E"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Como ejercicio, se les preguntó a las inteligencias artificiales generales más utilizadas en el mundo en este momento lo siguiente:</w:t>
      </w:r>
    </w:p>
    <w:p w14:paraId="56AF5B96" w14:textId="49A4BE03"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proofErr w:type="spellStart"/>
      <w:r w:rsidRPr="00361513">
        <w:rPr>
          <w:rFonts w:ascii="Garamond" w:hAnsi="Garamond" w:cs="Arial"/>
          <w:i/>
          <w:iCs/>
          <w:sz w:val="22"/>
          <w:szCs w:val="22"/>
          <w:lang w:val="es-MX"/>
        </w:rPr>
        <w:t>Prompt</w:t>
      </w:r>
      <w:proofErr w:type="spellEnd"/>
      <w:r w:rsidRPr="00361513">
        <w:rPr>
          <w:rFonts w:ascii="Garamond" w:hAnsi="Garamond" w:cs="Arial"/>
          <w:sz w:val="22"/>
          <w:szCs w:val="22"/>
          <w:lang w:val="es-MX"/>
        </w:rPr>
        <w:t xml:space="preserve"> </w:t>
      </w:r>
      <w:r w:rsidR="002546CC" w:rsidRPr="00361513">
        <w:rPr>
          <w:rFonts w:ascii="Garamond" w:hAnsi="Garamond" w:cs="Arial"/>
          <w:sz w:val="22"/>
          <w:szCs w:val="22"/>
          <w:lang w:val="es-MX"/>
        </w:rPr>
        <w:t>(</w:t>
      </w:r>
      <w:r w:rsidRPr="00361513">
        <w:rPr>
          <w:rFonts w:ascii="Garamond" w:hAnsi="Garamond" w:cs="Arial"/>
          <w:sz w:val="22"/>
          <w:szCs w:val="22"/>
          <w:lang w:val="es-MX"/>
        </w:rPr>
        <w:t>instrucción o texto que se le da a un modelo de lenguaje o a un sistema de inteligencia artificial (IA) para que genere una respuesta</w:t>
      </w:r>
      <w:r w:rsidR="002546CC" w:rsidRPr="00361513">
        <w:rPr>
          <w:rFonts w:ascii="Garamond" w:hAnsi="Garamond" w:cs="Arial"/>
          <w:sz w:val="22"/>
          <w:szCs w:val="22"/>
          <w:lang w:val="es-MX"/>
        </w:rPr>
        <w:t>)</w:t>
      </w:r>
      <w:r w:rsidRPr="00361513">
        <w:rPr>
          <w:rFonts w:ascii="Garamond" w:hAnsi="Garamond" w:cs="Arial"/>
          <w:sz w:val="22"/>
          <w:szCs w:val="22"/>
          <w:lang w:val="es-MX"/>
        </w:rPr>
        <w:t xml:space="preserve">: </w:t>
      </w:r>
      <w:r w:rsidR="002546CC" w:rsidRPr="00361513">
        <w:rPr>
          <w:rFonts w:ascii="Garamond" w:hAnsi="Garamond" w:cs="Arial"/>
          <w:sz w:val="22"/>
          <w:szCs w:val="22"/>
          <w:lang w:val="es-MX"/>
        </w:rPr>
        <w:t>«</w:t>
      </w:r>
      <w:r w:rsidRPr="00361513">
        <w:rPr>
          <w:rFonts w:ascii="Garamond" w:hAnsi="Garamond" w:cs="Arial"/>
          <w:sz w:val="22"/>
          <w:szCs w:val="22"/>
          <w:lang w:val="es-MX"/>
        </w:rPr>
        <w:t>Entre estos cinco factores: 1) control cambiario, 2) control de precios, 3) prohibición de repatriación de capitales, 4) limite a las ganancias, 5) hiperinflación. ¿Cuál fue el que afectó más a las empresas de Venezuela durante este siglo?</w:t>
      </w:r>
      <w:r w:rsidR="002546CC" w:rsidRPr="00361513">
        <w:rPr>
          <w:rFonts w:ascii="Garamond" w:hAnsi="Garamond" w:cs="Arial"/>
          <w:sz w:val="22"/>
          <w:szCs w:val="22"/>
          <w:lang w:val="es-MX"/>
        </w:rPr>
        <w:t>»</w:t>
      </w:r>
    </w:p>
    <w:p w14:paraId="20597278"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Desde luego todos los factores tuvieron consecuencias negativas en la economía. El peso de cada uno depende de la naturaleza de la empresa. Sin embargo, por impacto general y duración es la hiperinflación el más gravoso de todos, dado que anula el valor de la moneda generando distorsiones transversales en la toda la economía.</w:t>
      </w:r>
    </w:p>
    <w:p w14:paraId="22892B6E"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Respuesta de Bing (Microsoft, 2023):</w:t>
      </w:r>
    </w:p>
    <w:p w14:paraId="0353D988"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 xml:space="preserve">(…) los cinco factores que mencionas han afectado negativamente a las empresas de Venezuela, pero no todos en la misma medida ni en el mismo momento. Es difícil establecer una jerarquía definitiva, ya que cada factor tiene sus propias implicaciones y consecuencias, y depende también del tipo de empresa, el sector, el tamaño, el mercado y la capacidad </w:t>
      </w:r>
      <w:r w:rsidRPr="00DB3BE7">
        <w:rPr>
          <w:rFonts w:ascii="Garamond" w:hAnsi="Garamond"/>
          <w:sz w:val="20"/>
          <w:szCs w:val="20"/>
          <w:lang w:val="es-VE"/>
        </w:rPr>
        <w:lastRenderedPageBreak/>
        <w:t>de adaptación. Sin embargo, basándome en los resultados que he encontrado, voy a intentar dar una respuesta aproximada, teniendo en cuenta el impacto general y la duración de cada factor.</w:t>
      </w:r>
    </w:p>
    <w:p w14:paraId="42CCDD38"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El factor que más ha afectado a las empresas de Venezuela, según mi criterio, es la **hiperinflación**, que comenzó en noviembre de 2017 y se mantuvo hasta diciembre de 2021. La hiperinflación ha erosionado el poder adquisitivo de los consumidores, ha disparado los costos de producción y operación, ha dificultado la planificación y la inversión, ha generado escasez, desabastecimiento, contrabando, corrupción y distorsiones en el mercado. La hiperinflación ha provocado el cierre de miles de empresas, la reducción de la oferta, la pérdida de competitividad, la caída de la calidad y la innovación, y el empobrecimiento de la población.</w:t>
      </w:r>
    </w:p>
    <w:p w14:paraId="484F8AA2"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El segundo factor que más ha afectado a las empresas de Venezuela, según mi criterio, es el **control cambiario**, que se inició en febrero de 2003 y se flexibilizó en agosto de 2018. El control cambiario ha limitado el acceso a las divisas, ha restringido las importaciones y las exportaciones, ha generado una brecha entre el tipo de cambio oficial y el paralelo, ha fomentado la especulación, la usura y el acaparamiento, ha afectado la producción, el abastecimiento, la competitividad, la innovación y el desarrollo de los sectores económicos, y ha contribuido a la aceleración de la inflación.</w:t>
      </w:r>
    </w:p>
    <w:p w14:paraId="2E8638CD"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El tercer factor que más ha afectado a las empresas de Venezuela, según mi criterio, es el **control de precios**, que se inició en febrero de 2003 y se mantiene hasta la actualidad, con algunas modificaciones y ampliaciones. El control de precios ha fijado los precios y márgenes de ganancia de los bienes y servicios considerados de primera necesidad, sin considerar la estructura de costos ni la rentabilidad de los productores y comerciantes. El control de precios ha generado escasez, desabastecimiento, inflación, contrabando, corrupción y distorsiones en el mercado. Muchas empresas no han podido cubrir sus costos ni obtener una rentabilidad razonable, por lo que se han visto obligadas a cerrar, reducir su oferta o vender en el mercado negro.</w:t>
      </w:r>
    </w:p>
    <w:p w14:paraId="6E3DE30B"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El cuarto factor que más ha afectado a las empresas de Venezuela, según mi criterio, es la **prohibición de repatriación de capitales**, que se inició en febrero de 2003 y se flexibilizó en agosto de 2018. La prohibición de repatriación de capitales ha impedido que las empresas con inversión extranjera puedan enviar sus ganancias a sus países de origen, lo que ha desincentivado la inversión extranjera directa, ha afectado la producción, el abastecimiento, la competitividad, la innovación y el desarrollo de los sectores económicos, y ha contribuido al deterioro de la economía.</w:t>
      </w:r>
    </w:p>
    <w:p w14:paraId="573BFD47" w14:textId="77777777" w:rsidR="00AE4220" w:rsidRPr="00DB3BE7" w:rsidRDefault="00AE4220" w:rsidP="00AE4220">
      <w:pPr>
        <w:spacing w:after="240"/>
        <w:ind w:left="720"/>
        <w:jc w:val="both"/>
        <w:rPr>
          <w:rFonts w:ascii="Garamond" w:hAnsi="Garamond"/>
          <w:sz w:val="20"/>
          <w:szCs w:val="20"/>
          <w:lang w:val="es-VE"/>
        </w:rPr>
      </w:pPr>
      <w:r w:rsidRPr="00DB3BE7">
        <w:rPr>
          <w:rFonts w:ascii="Garamond" w:hAnsi="Garamond"/>
          <w:sz w:val="20"/>
          <w:szCs w:val="20"/>
          <w:lang w:val="es-VE"/>
        </w:rPr>
        <w:t>El quinto factor que más ha afectado a las empresas de Venezuela, según mi criterio, es el **límite a las ganancias**, que se inició en enero de 2014 y se flexibilizó en agosto de 2018. El límite a las ganancias ha establecido que el margen de ganancia de cada actor de la cadena de comercialización no podía exceder de 30% de la estructura de costos del bien o servicio, sin considerar la estructura de costos ni la rentabilidad de los productores y comerciantes. El límite a las ganancias ha generado escasez, desabastecimiento, inflación, contrabando, corrupción y distorsiones en el mercado. Muchas empresas no han podido cubrir sus costos ni obtener una rentabilidad razonable, por lo que se han visto obligadas a cerrar, reducir su oferta o vender en el mercado negro.</w:t>
      </w:r>
    </w:p>
    <w:p w14:paraId="3370765E"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Respuesta de </w:t>
      </w:r>
      <w:proofErr w:type="spellStart"/>
      <w:r w:rsidRPr="00361513">
        <w:rPr>
          <w:rFonts w:ascii="Garamond" w:hAnsi="Garamond" w:cs="Arial"/>
          <w:sz w:val="22"/>
          <w:szCs w:val="22"/>
          <w:lang w:val="es-MX"/>
        </w:rPr>
        <w:t>Bard</w:t>
      </w:r>
      <w:proofErr w:type="spellEnd"/>
      <w:r w:rsidRPr="00361513">
        <w:rPr>
          <w:rFonts w:ascii="Garamond" w:hAnsi="Garamond" w:cs="Arial"/>
          <w:sz w:val="22"/>
          <w:szCs w:val="22"/>
          <w:lang w:val="es-MX"/>
        </w:rPr>
        <w:t xml:space="preserve"> (IA Google, 2023):</w:t>
      </w:r>
    </w:p>
    <w:p w14:paraId="7C79CB5D"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MX"/>
        </w:rPr>
        <w:t xml:space="preserve">El factor que más afectó a las empresas de Venezuela durante este siglo fue la hiperinflación. La inflación es una disminución del valor de la moneda, lo que significa que los bienes y servicios cuestan más dinero. En Venezuela, la inflación ha alcanzado niveles extremos, con una tasa </w:t>
      </w:r>
      <w:r w:rsidRPr="00DB3BE7">
        <w:rPr>
          <w:rFonts w:ascii="Garamond" w:hAnsi="Garamond"/>
          <w:sz w:val="20"/>
          <w:szCs w:val="20"/>
          <w:lang w:val="es-VE"/>
        </w:rPr>
        <w:t>anualizada de más de 2.000.000% en 2018. Esto ha hecho que sea muy difícil para las empresas planificar sus presupuestos y operaciones.</w:t>
      </w:r>
    </w:p>
    <w:p w14:paraId="677B991B"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Los otros factores también han tenido un impacto negativo en las empresas venezolanas, pero la hiperinflación ha sido el factor más determinante. El control cambiario ha hecho que sea difícil para las empresas importar insumos y exportar productos. El control de precios ha reducido los márgenes de ganancia de las empresas. La prohibición de repatriación de capitales ha impedido que las empresas recuperen sus inversiones. Y el límite a las ganancias ha restringido el crecimiento de las empresas.</w:t>
      </w:r>
    </w:p>
    <w:p w14:paraId="0BAD976C"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En particular, la hiperinflación ha tenido un impacto negativo en las empresas venezolanas de las siguientes maneras:</w:t>
      </w:r>
    </w:p>
    <w:p w14:paraId="1D96D251"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Ha reducido el poder adquisitivo de los consumidores. Esto ha llevado a una disminución de la demanda de productos y servicios, lo que ha afectado a las ventas y los ingresos de las empresas.</w:t>
      </w:r>
    </w:p>
    <w:p w14:paraId="3E0F3D3A"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Ha aumentado los costos de producción. Las empresas han tenido que pagar más por los insumos, lo que ha reducido sus márgenes de ganancia.</w:t>
      </w:r>
    </w:p>
    <w:p w14:paraId="69AC9EB4" w14:textId="77777777" w:rsidR="00AE4220" w:rsidRPr="00DB3BE7" w:rsidRDefault="00AE4220" w:rsidP="00AE4220">
      <w:pPr>
        <w:spacing w:after="120"/>
        <w:ind w:left="720"/>
        <w:jc w:val="both"/>
        <w:rPr>
          <w:rFonts w:ascii="Garamond" w:hAnsi="Garamond"/>
          <w:sz w:val="20"/>
          <w:szCs w:val="20"/>
          <w:lang w:val="es-VE"/>
        </w:rPr>
      </w:pPr>
      <w:r w:rsidRPr="00DB3BE7">
        <w:rPr>
          <w:rFonts w:ascii="Garamond" w:hAnsi="Garamond"/>
          <w:sz w:val="20"/>
          <w:szCs w:val="20"/>
          <w:lang w:val="es-VE"/>
        </w:rPr>
        <w:t>Ha aumentado la incertidumbre. Las empresas no saben cuánto valdrá su moneda mañana, lo que dificulta la planificación y la toma de decisiones.</w:t>
      </w:r>
    </w:p>
    <w:p w14:paraId="1E5147EB" w14:textId="77777777" w:rsidR="00AE4220" w:rsidRPr="00DB3BE7" w:rsidRDefault="00AE4220" w:rsidP="00AE4220">
      <w:pPr>
        <w:spacing w:after="240"/>
        <w:ind w:left="720"/>
        <w:jc w:val="both"/>
        <w:rPr>
          <w:rFonts w:ascii="Garamond" w:hAnsi="Garamond"/>
          <w:sz w:val="20"/>
          <w:szCs w:val="20"/>
          <w:lang w:val="es-MX"/>
        </w:rPr>
      </w:pPr>
      <w:r w:rsidRPr="00DB3BE7">
        <w:rPr>
          <w:rFonts w:ascii="Garamond" w:hAnsi="Garamond"/>
          <w:sz w:val="20"/>
          <w:szCs w:val="20"/>
          <w:lang w:val="es-VE"/>
        </w:rPr>
        <w:lastRenderedPageBreak/>
        <w:t>La hiperinflación ha sido un factor clave en la crisis económica de Venezuela. Ha llevado a la quiebra de muchas</w:t>
      </w:r>
      <w:r w:rsidRPr="00DB3BE7">
        <w:rPr>
          <w:rFonts w:ascii="Garamond" w:hAnsi="Garamond"/>
          <w:sz w:val="20"/>
          <w:szCs w:val="20"/>
          <w:lang w:val="es-MX"/>
        </w:rPr>
        <w:t xml:space="preserve"> empresas, ha provocado el desempleo y ha empeorado la pobreza.</w:t>
      </w:r>
    </w:p>
    <w:p w14:paraId="2F40C4C2" w14:textId="77777777" w:rsidR="00AE4220" w:rsidRPr="00361513" w:rsidRDefault="00AE4220" w:rsidP="00AE4220">
      <w:pPr>
        <w:pStyle w:val="Lneadeautor-Profesional"/>
        <w:spacing w:before="0" w:after="120" w:line="360" w:lineRule="auto"/>
        <w:jc w:val="both"/>
        <w:rPr>
          <w:rFonts w:ascii="Garamond" w:hAnsi="Garamond" w:cs="Arial"/>
          <w:b/>
          <w:bCs/>
          <w:sz w:val="22"/>
          <w:szCs w:val="22"/>
          <w:lang w:val="es-MX"/>
        </w:rPr>
      </w:pPr>
      <w:r w:rsidRPr="00361513">
        <w:rPr>
          <w:rFonts w:ascii="Garamond" w:hAnsi="Garamond" w:cs="Arial"/>
          <w:b/>
          <w:bCs/>
          <w:sz w:val="22"/>
          <w:szCs w:val="22"/>
          <w:lang w:val="es-MX"/>
        </w:rPr>
        <w:t>REALIDADES, PASADO Y PRESENTE</w:t>
      </w:r>
    </w:p>
    <w:p w14:paraId="62C91DC4" w14:textId="0B90E2B8"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Hace 20 años en Venezuela proliferaban las publicaciones, exposiciones, posgrados, cursos, simposios y charlas sobre la novedosa actividad de las franquicias. Una realidad económica impregnada en el fondo de expectativas mayoritariamente favorables por los cambios políticos que se llegaron a avizorar y que tuvieron un primer desenlace a finales del siglo pasado, y el fenómeno globalizador, rector máximo en este tercer milenio donde las fronteras son realmente virtuales, impulsaron de manera sostenida el tema de las franquicias en el país.</w:t>
      </w:r>
    </w:p>
    <w:p w14:paraId="5887D97E"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Existía un sector pujante, dinámico, que irrumpía en la economía codeándose desde el punto de vista de sus indicadores de crecimiento nada menos que con las actividades vinculadas a las telecomunicaciones y la banca, prácticamente las únicas en transitar positivamente el vendaval económico y político vivido entre el año 1998 y 2003.</w:t>
      </w:r>
    </w:p>
    <w:p w14:paraId="6EAFA930" w14:textId="50566A22"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Así, las franquicias fueron tema de conversación en círculos académicos y sobre todo en el ámbito empresarial por las oportunidades que ofrecían. Incluso se hablaba con bombos y platillos del tercer mercado de mayor importancia en el continente después de Brasil y México. Según informaciones de </w:t>
      </w:r>
      <w:proofErr w:type="spellStart"/>
      <w:r w:rsidRPr="00361513">
        <w:rPr>
          <w:rFonts w:ascii="Garamond" w:hAnsi="Garamond" w:cs="Arial"/>
          <w:sz w:val="22"/>
          <w:szCs w:val="22"/>
          <w:lang w:val="es-MX"/>
        </w:rPr>
        <w:t>Profranquicias</w:t>
      </w:r>
      <w:proofErr w:type="spellEnd"/>
      <w:r w:rsidRPr="00361513">
        <w:rPr>
          <w:rStyle w:val="Refdenotaalpie"/>
          <w:rFonts w:ascii="Garamond" w:hAnsi="Garamond" w:cs="Arial"/>
          <w:sz w:val="22"/>
          <w:szCs w:val="22"/>
          <w:lang w:val="es-MX"/>
        </w:rPr>
        <w:footnoteReference w:id="14"/>
      </w:r>
      <w:r w:rsidRPr="00361513">
        <w:rPr>
          <w:rFonts w:ascii="Garamond" w:hAnsi="Garamond" w:cs="Arial"/>
          <w:sz w:val="22"/>
          <w:szCs w:val="22"/>
          <w:lang w:val="es-MX"/>
        </w:rPr>
        <w:t>, desde el año de 1998 se verificó un crecimiento sostenido de un 20</w:t>
      </w:r>
      <w:r w:rsidR="00C146D0" w:rsidRPr="00361513">
        <w:rPr>
          <w:rFonts w:ascii="Garamond" w:hAnsi="Garamond" w:cs="Arial"/>
          <w:sz w:val="22"/>
          <w:szCs w:val="22"/>
          <w:lang w:val="es-MX"/>
        </w:rPr>
        <w:t> </w:t>
      </w:r>
      <w:r w:rsidRPr="00361513">
        <w:rPr>
          <w:rFonts w:ascii="Garamond" w:hAnsi="Garamond" w:cs="Arial"/>
          <w:sz w:val="22"/>
          <w:szCs w:val="22"/>
          <w:lang w:val="es-MX"/>
        </w:rPr>
        <w:t>% (hasta mediados del 2002) para esta forma de hacer negocios, y las proyecciones llegaron a vaticinar un alargamiento de esta promisoria realidad por varios años más.</w:t>
      </w:r>
    </w:p>
    <w:p w14:paraId="63FA7E49" w14:textId="5101A042"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En ese pasado ya algo distante, las franquicias fundamentalmente se nutrían a grandes rasgos de tres situaciones: 1) </w:t>
      </w:r>
      <w:r w:rsidR="00C146D0" w:rsidRPr="00361513">
        <w:rPr>
          <w:rFonts w:ascii="Garamond" w:hAnsi="Garamond" w:cs="Arial"/>
          <w:sz w:val="22"/>
          <w:szCs w:val="22"/>
          <w:lang w:val="es-MX"/>
        </w:rPr>
        <w:t>i</w:t>
      </w:r>
      <w:r w:rsidRPr="00361513">
        <w:rPr>
          <w:rFonts w:ascii="Garamond" w:hAnsi="Garamond" w:cs="Arial"/>
          <w:sz w:val="22"/>
          <w:szCs w:val="22"/>
          <w:lang w:val="es-MX"/>
        </w:rPr>
        <w:t xml:space="preserve">nversión extranjera indirecta y repatriación de capitales por parte de nacionales debido a los beneficios que otorgaba una economía con </w:t>
      </w:r>
      <w:r w:rsidR="00C146D0" w:rsidRPr="00361513">
        <w:rPr>
          <w:rFonts w:ascii="Garamond" w:hAnsi="Garamond" w:cs="Arial"/>
          <w:sz w:val="22"/>
          <w:szCs w:val="22"/>
          <w:lang w:val="es-MX"/>
        </w:rPr>
        <w:t>«</w:t>
      </w:r>
      <w:r w:rsidRPr="00361513">
        <w:rPr>
          <w:rFonts w:ascii="Garamond" w:hAnsi="Garamond" w:cs="Arial"/>
          <w:sz w:val="22"/>
          <w:szCs w:val="22"/>
          <w:lang w:val="es-MX"/>
        </w:rPr>
        <w:t>tolerables</w:t>
      </w:r>
      <w:r w:rsidR="00C146D0" w:rsidRPr="00361513">
        <w:rPr>
          <w:rFonts w:ascii="Garamond" w:hAnsi="Garamond" w:cs="Arial"/>
          <w:sz w:val="22"/>
          <w:szCs w:val="22"/>
          <w:lang w:val="es-MX"/>
        </w:rPr>
        <w:t>»</w:t>
      </w:r>
      <w:r w:rsidRPr="00361513">
        <w:rPr>
          <w:rFonts w:ascii="Garamond" w:hAnsi="Garamond" w:cs="Arial"/>
          <w:sz w:val="22"/>
          <w:szCs w:val="22"/>
          <w:lang w:val="es-MX"/>
        </w:rPr>
        <w:t xml:space="preserve"> niveles de riesgo (esquema de libre convertibilidad, mano de obra a bajo costo y dólar barato); 2) </w:t>
      </w:r>
      <w:r w:rsidR="00C146D0" w:rsidRPr="00361513">
        <w:rPr>
          <w:rFonts w:ascii="Garamond" w:hAnsi="Garamond" w:cs="Arial"/>
          <w:sz w:val="22"/>
          <w:szCs w:val="22"/>
          <w:lang w:val="es-MX"/>
        </w:rPr>
        <w:t>n</w:t>
      </w:r>
      <w:r w:rsidRPr="00361513">
        <w:rPr>
          <w:rFonts w:ascii="Garamond" w:hAnsi="Garamond" w:cs="Arial"/>
          <w:sz w:val="22"/>
          <w:szCs w:val="22"/>
          <w:lang w:val="es-MX"/>
        </w:rPr>
        <w:t xml:space="preserve">ecesidad latente en el público consumidor de acceder a bienes y servicios con niveles estandarizados de calidad y; 3) </w:t>
      </w:r>
      <w:r w:rsidR="00C146D0" w:rsidRPr="00361513">
        <w:rPr>
          <w:rFonts w:ascii="Garamond" w:hAnsi="Garamond" w:cs="Arial"/>
          <w:sz w:val="22"/>
          <w:szCs w:val="22"/>
          <w:lang w:val="es-MX"/>
        </w:rPr>
        <w:t>l</w:t>
      </w:r>
      <w:r w:rsidRPr="00361513">
        <w:rPr>
          <w:rFonts w:ascii="Garamond" w:hAnsi="Garamond" w:cs="Arial"/>
          <w:sz w:val="22"/>
          <w:szCs w:val="22"/>
          <w:lang w:val="es-MX"/>
        </w:rPr>
        <w:t>a incorporación al rubro de desempleados de una gran cantidad de profesionales producto de los recortes de nómina efectuados por las grandes empresas, y sobre quienes es bueno acotar que contaron con cierto nivel de capital proveniente de sus liquidaciones laborales, una suerte de capital ocioso que con la devaluación sostenida del bolívar era necesario invertir rápidamente en alguna actividad productiva.</w:t>
      </w:r>
    </w:p>
    <w:p w14:paraId="1BCBAD6F" w14:textId="4396ED26"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Para mediados del año 2003 era obvio que estos abrevaderos de los cuales se estaba surtiendo la actividad </w:t>
      </w:r>
      <w:proofErr w:type="spellStart"/>
      <w:r w:rsidRPr="00361513">
        <w:rPr>
          <w:rFonts w:ascii="Garamond" w:hAnsi="Garamond" w:cs="Arial"/>
          <w:sz w:val="22"/>
          <w:szCs w:val="22"/>
          <w:lang w:val="es-MX"/>
        </w:rPr>
        <w:t>franquiciaria</w:t>
      </w:r>
      <w:proofErr w:type="spellEnd"/>
      <w:r w:rsidRPr="00361513">
        <w:rPr>
          <w:rFonts w:ascii="Garamond" w:hAnsi="Garamond" w:cs="Arial"/>
          <w:sz w:val="22"/>
          <w:szCs w:val="22"/>
          <w:lang w:val="es-MX"/>
        </w:rPr>
        <w:t xml:space="preserve"> en Venezuela se habían secado. Por un lado, la inestabilidad política se había disparado a niveles impensables un año atrás, y por otro, el manejo errático de la economía por parte del </w:t>
      </w:r>
      <w:r w:rsidR="00D80DE5" w:rsidRPr="00361513">
        <w:rPr>
          <w:rFonts w:ascii="Garamond" w:hAnsi="Garamond" w:cs="Arial"/>
          <w:sz w:val="22"/>
          <w:szCs w:val="22"/>
          <w:lang w:val="es-MX"/>
        </w:rPr>
        <w:t>G</w:t>
      </w:r>
      <w:r w:rsidRPr="00361513">
        <w:rPr>
          <w:rFonts w:ascii="Garamond" w:hAnsi="Garamond" w:cs="Arial"/>
          <w:sz w:val="22"/>
          <w:szCs w:val="22"/>
          <w:lang w:val="es-MX"/>
        </w:rPr>
        <w:t>obierno, que entre otras cosas había implementado un control cambiario inefectivo y absolutamente discrecional, el cual cerró el acceso eficiente a materias primas y servicios de generación foránea. Todo esto dentro de un país eminentemente importador, contribuyó a crear una barrera sólida para la inversión tanto nacional como extranjera.</w:t>
      </w:r>
    </w:p>
    <w:p w14:paraId="6FC938EA"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lastRenderedPageBreak/>
        <w:t>Adicionalmente, diversos analistas previeron acertadamente la salida durante todo el año 2003 de varias centenas de miles de venezolanos, primordialmente profesionales provenientes de las clases medias, precisamente quienes venían siendo parte del espectro de franquiciados en el país. Estos, ante la realidad desoladora que se vislumbraba en términos socioeconómicos y la percepción clara que existía (según algunos estudios de opinión) vinculada a la imposibilidad o dificultad de que a corto y mediano plazo ocurrirían cambios políticos de relevancia en Venezuela, optaron por dirigir sus ya mermados niveles de capital hacia el establecimiento de algún puente que les permitan emigrar básicamente a Europa y los Estados Unidos. Era previsible que las consultoras en materia de franquicias que funcionaban en Venezuela tuvieran un interés marcado por parte del mercado local de potenciales franquiciados, pero ahora orientado hacia el exterior por la realidad que se acaba de mencionar.</w:t>
      </w:r>
    </w:p>
    <w:p w14:paraId="2792567D" w14:textId="4E724055" w:rsidR="00AE4220" w:rsidRPr="00361513" w:rsidRDefault="00AE4220" w:rsidP="008831CA">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MX"/>
        </w:rPr>
        <w:t>Esto que se vislumbraba hace dos décadas hoy en día se ha concretado. Venezolanos han exportado sus marcas de franquicias a los países a los que mayormente han emigrado (</w:t>
      </w:r>
      <w:r w:rsidR="008831CA" w:rsidRPr="00361513">
        <w:rPr>
          <w:rFonts w:ascii="Garamond" w:hAnsi="Garamond" w:cs="Arial"/>
          <w:sz w:val="22"/>
          <w:szCs w:val="22"/>
          <w:lang w:val="es-MX"/>
        </w:rPr>
        <w:t>F</w:t>
      </w:r>
      <w:r w:rsidRPr="00361513">
        <w:rPr>
          <w:rFonts w:ascii="Garamond" w:hAnsi="Garamond" w:cs="Arial"/>
          <w:sz w:val="22"/>
          <w:szCs w:val="22"/>
          <w:lang w:val="es-MX"/>
        </w:rPr>
        <w:t>igura 12</w:t>
      </w:r>
      <w:r w:rsidR="008831CA" w:rsidRPr="00361513">
        <w:rPr>
          <w:rStyle w:val="Refdenotaalpie"/>
          <w:rFonts w:ascii="Garamond" w:hAnsi="Garamond" w:cs="Arial"/>
          <w:sz w:val="22"/>
          <w:szCs w:val="22"/>
          <w:lang w:val="es-MX"/>
        </w:rPr>
        <w:footnoteReference w:id="15"/>
      </w:r>
      <w:r w:rsidRPr="00361513">
        <w:rPr>
          <w:rFonts w:ascii="Garamond" w:hAnsi="Garamond" w:cs="Arial"/>
          <w:sz w:val="22"/>
          <w:szCs w:val="22"/>
          <w:lang w:val="es-MX"/>
        </w:rPr>
        <w:t>).</w:t>
      </w:r>
    </w:p>
    <w:p w14:paraId="340CBAC0" w14:textId="1A9CCF4E"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¿Expectativas hace 20 años? El panorama </w:t>
      </w:r>
      <w:r w:rsidR="008831CA" w:rsidRPr="00361513">
        <w:rPr>
          <w:rFonts w:ascii="Garamond" w:hAnsi="Garamond" w:cs="Arial"/>
          <w:sz w:val="22"/>
          <w:szCs w:val="22"/>
          <w:lang w:val="es-MX"/>
        </w:rPr>
        <w:t>macroeconómico</w:t>
      </w:r>
      <w:r w:rsidRPr="00361513">
        <w:rPr>
          <w:rFonts w:ascii="Garamond" w:hAnsi="Garamond" w:cs="Arial"/>
          <w:sz w:val="22"/>
          <w:szCs w:val="22"/>
          <w:lang w:val="es-MX"/>
        </w:rPr>
        <w:t xml:space="preserve"> según connotados analistas exhibiría devastadores indicadores que se consolidarían en la realidad a finales del 2003, lo cual sucedió parcialmente. Se proyectó una caída del PIB cercana al 15</w:t>
      </w:r>
      <w:r w:rsidR="009E5924" w:rsidRPr="00361513">
        <w:rPr>
          <w:rFonts w:ascii="Garamond" w:hAnsi="Garamond" w:cs="Arial"/>
          <w:sz w:val="22"/>
          <w:szCs w:val="22"/>
          <w:lang w:val="es-MX"/>
        </w:rPr>
        <w:t> </w:t>
      </w:r>
      <w:r w:rsidRPr="00361513">
        <w:rPr>
          <w:rFonts w:ascii="Garamond" w:hAnsi="Garamond" w:cs="Arial"/>
          <w:sz w:val="22"/>
          <w:szCs w:val="22"/>
          <w:lang w:val="es-MX"/>
        </w:rPr>
        <w:t>%, una inflación que se aproximaría al 45</w:t>
      </w:r>
      <w:r w:rsidR="009E5924" w:rsidRPr="00361513">
        <w:rPr>
          <w:rFonts w:ascii="Garamond" w:hAnsi="Garamond" w:cs="Arial"/>
          <w:sz w:val="22"/>
          <w:szCs w:val="22"/>
          <w:lang w:val="es-MX"/>
        </w:rPr>
        <w:t> </w:t>
      </w:r>
      <w:r w:rsidRPr="00361513">
        <w:rPr>
          <w:rFonts w:ascii="Garamond" w:hAnsi="Garamond" w:cs="Arial"/>
          <w:sz w:val="22"/>
          <w:szCs w:val="22"/>
          <w:lang w:val="es-MX"/>
        </w:rPr>
        <w:t>% y una tasa de desempleo de más o menos el 25</w:t>
      </w:r>
      <w:r w:rsidR="009E5924" w:rsidRPr="00361513">
        <w:rPr>
          <w:rFonts w:ascii="Garamond" w:hAnsi="Garamond" w:cs="Arial"/>
          <w:sz w:val="22"/>
          <w:szCs w:val="22"/>
          <w:lang w:val="es-MX"/>
        </w:rPr>
        <w:t> </w:t>
      </w:r>
      <w:r w:rsidRPr="00361513">
        <w:rPr>
          <w:rFonts w:ascii="Garamond" w:hAnsi="Garamond" w:cs="Arial"/>
          <w:sz w:val="22"/>
          <w:szCs w:val="22"/>
          <w:lang w:val="es-MX"/>
        </w:rPr>
        <w:t>%, a la cual había que adosar una informalidad que bordearía el 52</w:t>
      </w:r>
      <w:r w:rsidR="009E5924" w:rsidRPr="00361513">
        <w:rPr>
          <w:rFonts w:ascii="Garamond" w:hAnsi="Garamond" w:cs="Arial"/>
          <w:sz w:val="22"/>
          <w:szCs w:val="22"/>
          <w:lang w:val="es-MX"/>
        </w:rPr>
        <w:t> </w:t>
      </w:r>
      <w:r w:rsidRPr="00361513">
        <w:rPr>
          <w:rFonts w:ascii="Garamond" w:hAnsi="Garamond" w:cs="Arial"/>
          <w:sz w:val="22"/>
          <w:szCs w:val="22"/>
          <w:lang w:val="es-MX"/>
        </w:rPr>
        <w:t>%. Finalmente, la Comisión Económica para América Latina y el Caribe (CEPAL) en su Estudio Económico de América Latina y el Caribe 2003-2004, comunicó cifras más precisas: caída de 9,4</w:t>
      </w:r>
      <w:r w:rsidR="009E5924" w:rsidRPr="00361513">
        <w:rPr>
          <w:rFonts w:ascii="Garamond" w:hAnsi="Garamond" w:cs="Arial"/>
          <w:sz w:val="22"/>
          <w:szCs w:val="22"/>
          <w:lang w:val="es-MX"/>
        </w:rPr>
        <w:t> </w:t>
      </w:r>
      <w:r w:rsidRPr="00361513">
        <w:rPr>
          <w:rFonts w:ascii="Garamond" w:hAnsi="Garamond" w:cs="Arial"/>
          <w:sz w:val="22"/>
          <w:szCs w:val="22"/>
          <w:lang w:val="es-MX"/>
        </w:rPr>
        <w:t>% del PIB, inflación anual de 27,1</w:t>
      </w:r>
      <w:r w:rsidR="009E5924" w:rsidRPr="00361513">
        <w:rPr>
          <w:rFonts w:ascii="Garamond" w:hAnsi="Garamond" w:cs="Arial"/>
          <w:sz w:val="22"/>
          <w:szCs w:val="22"/>
          <w:lang w:val="es-MX"/>
        </w:rPr>
        <w:t> </w:t>
      </w:r>
      <w:r w:rsidRPr="00361513">
        <w:rPr>
          <w:rFonts w:ascii="Garamond" w:hAnsi="Garamond" w:cs="Arial"/>
          <w:sz w:val="22"/>
          <w:szCs w:val="22"/>
          <w:lang w:val="es-MX"/>
        </w:rPr>
        <w:t>%, tasa de desempleo de 15,4</w:t>
      </w:r>
      <w:r w:rsidR="009E5924" w:rsidRPr="00361513">
        <w:rPr>
          <w:rFonts w:ascii="Garamond" w:hAnsi="Garamond" w:cs="Arial"/>
          <w:sz w:val="22"/>
          <w:szCs w:val="22"/>
          <w:lang w:val="es-MX"/>
        </w:rPr>
        <w:t> </w:t>
      </w:r>
      <w:r w:rsidRPr="00361513">
        <w:rPr>
          <w:rFonts w:ascii="Garamond" w:hAnsi="Garamond" w:cs="Arial"/>
          <w:sz w:val="22"/>
          <w:szCs w:val="22"/>
          <w:lang w:val="es-MX"/>
        </w:rPr>
        <w:t>% y de informalidad de 52,6</w:t>
      </w:r>
      <w:r w:rsidR="009E5924" w:rsidRPr="00361513">
        <w:rPr>
          <w:rFonts w:ascii="Garamond" w:hAnsi="Garamond" w:cs="Arial"/>
          <w:sz w:val="22"/>
          <w:szCs w:val="22"/>
          <w:lang w:val="es-MX"/>
        </w:rPr>
        <w:t> </w:t>
      </w:r>
      <w:r w:rsidRPr="00361513">
        <w:rPr>
          <w:rFonts w:ascii="Garamond" w:hAnsi="Garamond" w:cs="Arial"/>
          <w:sz w:val="22"/>
          <w:szCs w:val="22"/>
          <w:lang w:val="es-MX"/>
        </w:rPr>
        <w:t>%.</w:t>
      </w:r>
    </w:p>
    <w:p w14:paraId="67651A36" w14:textId="2CB41AD9"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De estos indicadores el más relevante es el conocido por las siglas PIB (</w:t>
      </w:r>
      <w:r w:rsidR="009E5924" w:rsidRPr="00361513">
        <w:rPr>
          <w:rFonts w:ascii="Garamond" w:hAnsi="Garamond" w:cs="Arial"/>
          <w:sz w:val="22"/>
          <w:szCs w:val="22"/>
          <w:lang w:val="es-MX"/>
        </w:rPr>
        <w:t>producto interno bruto</w:t>
      </w:r>
      <w:r w:rsidRPr="00361513">
        <w:rPr>
          <w:rFonts w:ascii="Garamond" w:hAnsi="Garamond" w:cs="Arial"/>
          <w:sz w:val="22"/>
          <w:szCs w:val="22"/>
          <w:lang w:val="es-MX"/>
        </w:rPr>
        <w:t>). Sobre el mismo es importante comprender su significado ya que nos refiere de manera clara el cuadro de fluctuaciones y tendencias que imperan en la economía.</w:t>
      </w:r>
    </w:p>
    <w:p w14:paraId="2CAB67E1" w14:textId="60F81675"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El PIB técnicamente representa el valor de la producción total de bienes y servicios en una economía durante un per</w:t>
      </w:r>
      <w:r w:rsidR="009E5924" w:rsidRPr="00361513">
        <w:rPr>
          <w:rFonts w:ascii="Garamond" w:hAnsi="Garamond" w:cs="Arial"/>
          <w:sz w:val="22"/>
          <w:szCs w:val="22"/>
          <w:lang w:val="es-MX"/>
        </w:rPr>
        <w:t>i</w:t>
      </w:r>
      <w:r w:rsidRPr="00361513">
        <w:rPr>
          <w:rFonts w:ascii="Garamond" w:hAnsi="Garamond" w:cs="Arial"/>
          <w:sz w:val="22"/>
          <w:szCs w:val="22"/>
          <w:lang w:val="es-MX"/>
        </w:rPr>
        <w:t xml:space="preserve">odo económico de un año. Concretamente se hace referencia a la producción física de bienes y servicios (petróleo, telecomunicaciones, etc.). En síntesis, esta cifra expresada en </w:t>
      </w:r>
      <w:r w:rsidR="009E5924" w:rsidRPr="00361513">
        <w:rPr>
          <w:rFonts w:ascii="Garamond" w:hAnsi="Garamond" w:cs="Arial"/>
          <w:sz w:val="22"/>
          <w:szCs w:val="22"/>
          <w:lang w:val="es-MX"/>
        </w:rPr>
        <w:t>porcentaje</w:t>
      </w:r>
      <w:r w:rsidRPr="00361513">
        <w:rPr>
          <w:rFonts w:ascii="Garamond" w:hAnsi="Garamond" w:cs="Arial"/>
          <w:sz w:val="22"/>
          <w:szCs w:val="22"/>
          <w:lang w:val="es-MX"/>
        </w:rPr>
        <w:t xml:space="preserve"> nos permite saber si una economía crece o decrece, se expande o se contrae, todo dentro de un </w:t>
      </w:r>
      <w:r w:rsidR="009E5924" w:rsidRPr="00361513">
        <w:rPr>
          <w:rFonts w:ascii="Garamond" w:hAnsi="Garamond" w:cs="Arial"/>
          <w:sz w:val="22"/>
          <w:szCs w:val="22"/>
          <w:lang w:val="es-MX"/>
        </w:rPr>
        <w:t>lapso</w:t>
      </w:r>
      <w:r w:rsidRPr="00361513">
        <w:rPr>
          <w:rFonts w:ascii="Garamond" w:hAnsi="Garamond" w:cs="Arial"/>
          <w:sz w:val="22"/>
          <w:szCs w:val="22"/>
          <w:lang w:val="es-MX"/>
        </w:rPr>
        <w:t>.</w:t>
      </w:r>
    </w:p>
    <w:p w14:paraId="46BCE98C" w14:textId="444A1340"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S</w:t>
      </w:r>
      <w:r w:rsidR="009E5924" w:rsidRPr="00361513">
        <w:rPr>
          <w:rFonts w:ascii="Garamond" w:hAnsi="Garamond" w:cs="Arial"/>
          <w:sz w:val="22"/>
          <w:szCs w:val="22"/>
          <w:lang w:val="es-MX"/>
        </w:rPr>
        <w:t>o</w:t>
      </w:r>
      <w:r w:rsidRPr="00361513">
        <w:rPr>
          <w:rFonts w:ascii="Garamond" w:hAnsi="Garamond" w:cs="Arial"/>
          <w:sz w:val="22"/>
          <w:szCs w:val="22"/>
          <w:lang w:val="es-MX"/>
        </w:rPr>
        <w:t>lo a manera referencial, en el 2003 se decía que en los últimos cinco años la caída del PIB según cifras del propio Banco Central de Venezuela rondaba el 25</w:t>
      </w:r>
      <w:r w:rsidR="009E5924" w:rsidRPr="00361513">
        <w:rPr>
          <w:rFonts w:ascii="Garamond" w:hAnsi="Garamond" w:cs="Arial"/>
          <w:sz w:val="22"/>
          <w:szCs w:val="22"/>
          <w:lang w:val="es-MX"/>
        </w:rPr>
        <w:t> </w:t>
      </w:r>
      <w:r w:rsidRPr="00361513">
        <w:rPr>
          <w:rFonts w:ascii="Garamond" w:hAnsi="Garamond" w:cs="Arial"/>
          <w:sz w:val="22"/>
          <w:szCs w:val="22"/>
          <w:lang w:val="es-MX"/>
        </w:rPr>
        <w:t xml:space="preserve">%, lo cual quiere decir en términos llanos que </w:t>
      </w:r>
      <w:r w:rsidR="009E5924" w:rsidRPr="00361513">
        <w:rPr>
          <w:rFonts w:ascii="Garamond" w:hAnsi="Garamond" w:cs="Arial"/>
          <w:sz w:val="22"/>
          <w:szCs w:val="22"/>
          <w:lang w:val="es-MX"/>
        </w:rPr>
        <w:t>un cuarto</w:t>
      </w:r>
      <w:r w:rsidRPr="00361513">
        <w:rPr>
          <w:rFonts w:ascii="Garamond" w:hAnsi="Garamond" w:cs="Arial"/>
          <w:sz w:val="22"/>
          <w:szCs w:val="22"/>
          <w:lang w:val="es-MX"/>
        </w:rPr>
        <w:t xml:space="preserve"> de la economía</w:t>
      </w:r>
      <w:r w:rsidR="009E5924" w:rsidRPr="00361513">
        <w:rPr>
          <w:rFonts w:ascii="Garamond" w:hAnsi="Garamond" w:cs="Arial"/>
          <w:sz w:val="22"/>
          <w:szCs w:val="22"/>
          <w:lang w:val="es-MX"/>
        </w:rPr>
        <w:t>,</w:t>
      </w:r>
      <w:r w:rsidRPr="00361513">
        <w:rPr>
          <w:rFonts w:ascii="Garamond" w:hAnsi="Garamond" w:cs="Arial"/>
          <w:sz w:val="22"/>
          <w:szCs w:val="22"/>
          <w:lang w:val="es-MX"/>
        </w:rPr>
        <w:t xml:space="preserve"> tomando como punto de inflexión el mes de enero de 1999, no existía ya. Tal realidad se tradujo entre otras cosas en la quiebra generalizada de empresas, fuga de capitales, anulación de la inversión nacional y extranjera, y el retroceso en la calidad de los servicios tanto públicos como privados que se prestaban en el país.</w:t>
      </w:r>
    </w:p>
    <w:p w14:paraId="58586C49" w14:textId="7394BA04"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En ese momento cabía preguntarse cómo era que el mercado de franquicias (según las cifras que se disponían) lograba mantener un crecimiento sostenido hasta cierto momento. Bueno, </w:t>
      </w:r>
      <w:r w:rsidR="009E5924" w:rsidRPr="00361513">
        <w:rPr>
          <w:rFonts w:ascii="Garamond" w:hAnsi="Garamond" w:cs="Arial"/>
          <w:i/>
          <w:iCs/>
          <w:sz w:val="22"/>
          <w:szCs w:val="22"/>
          <w:lang w:val="es-MX"/>
        </w:rPr>
        <w:t>grosso modo</w:t>
      </w:r>
      <w:r w:rsidR="009E5924" w:rsidRPr="00361513">
        <w:rPr>
          <w:rFonts w:ascii="Garamond" w:hAnsi="Garamond" w:cs="Arial"/>
          <w:sz w:val="22"/>
          <w:szCs w:val="22"/>
          <w:lang w:val="es-MX"/>
        </w:rPr>
        <w:t>,</w:t>
      </w:r>
      <w:r w:rsidRPr="00361513">
        <w:rPr>
          <w:rFonts w:ascii="Garamond" w:hAnsi="Garamond" w:cs="Arial"/>
          <w:sz w:val="22"/>
          <w:szCs w:val="22"/>
          <w:lang w:val="es-MX"/>
        </w:rPr>
        <w:t xml:space="preserve"> las razones ya fueron esbozadas. </w:t>
      </w:r>
      <w:r w:rsidRPr="00361513">
        <w:rPr>
          <w:rFonts w:ascii="Garamond" w:hAnsi="Garamond" w:cs="Arial"/>
          <w:sz w:val="22"/>
          <w:szCs w:val="22"/>
          <w:lang w:val="es-MX"/>
        </w:rPr>
        <w:lastRenderedPageBreak/>
        <w:t>Independientemente de que la oferta general de bienes y servicios venía en franco declive en esos años, las franquicias llenaban un nicho dentro de la economía que aún no se había explotado adecuadamente, y existían ciertas condiciones que permitían su florecimiento. Desde luego, algunas de esas condiciones desaparecieron por lo menos temporalmente ocasionando gran ruido en el mercado de franquicias local.</w:t>
      </w:r>
    </w:p>
    <w:p w14:paraId="533F10D9" w14:textId="62C5DE5E"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Luego del año 2003 vino la cadena de eventos que fue suficientemente comentada en el primer punto de este trabajo. Solo basta con ir a la </w:t>
      </w:r>
      <w:r w:rsidR="008F1516" w:rsidRPr="00361513">
        <w:rPr>
          <w:rFonts w:ascii="Garamond" w:hAnsi="Garamond" w:cs="Arial"/>
          <w:sz w:val="22"/>
          <w:szCs w:val="22"/>
          <w:lang w:val="es-MX"/>
        </w:rPr>
        <w:t>T</w:t>
      </w:r>
      <w:r w:rsidRPr="00361513">
        <w:rPr>
          <w:rFonts w:ascii="Garamond" w:hAnsi="Garamond" w:cs="Arial"/>
          <w:sz w:val="22"/>
          <w:szCs w:val="22"/>
          <w:lang w:val="es-MX"/>
        </w:rPr>
        <w:t>abla 1 sobre la cronología de las variables de la tormenta perfecta que envolvió al negocio de las franquicias, para clarificar el contexto que afectó a la economía venezolana por dos décadas, sin aún haber podido recuperarse del todo.</w:t>
      </w:r>
    </w:p>
    <w:p w14:paraId="357636FD"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El panorama para finales de 2024 luce un tanto mejor y permite pensar en una recuperación local más consistente del negocio de las franquicias, aunque las cuestionadas elecciones presidenciales del 28 de julio de 2024 han introducido un ruido significativo en el acontecer del país, que se podría traducir en una agreste situación económica como producto del agravamiento de las sanciones que sufre Venezuela, la perdida de inversión y la aceleración del proceso de migración hacia el exterior de millones de personas.</w:t>
      </w:r>
    </w:p>
    <w:p w14:paraId="13285FCE"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No se profundizará sobre escenarios futuros producto de esta situación porque apenas han transcurrido pocas semanas. Sin embargo, es necesario hacer un inciso y también expresar que la posibilidad de que ocurriera lo que finalmente sucedió era ampliamente adelantada por muchas instituciones, países y analistas.</w:t>
      </w:r>
    </w:p>
    <w:p w14:paraId="0EF017CA" w14:textId="2B028BAC"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El portal de noticias </w:t>
      </w:r>
      <w:r w:rsidRPr="00361513">
        <w:rPr>
          <w:rFonts w:ascii="Garamond" w:hAnsi="Garamond" w:cs="Arial"/>
          <w:i/>
          <w:iCs/>
          <w:sz w:val="22"/>
          <w:szCs w:val="22"/>
          <w:lang w:val="es-MX"/>
        </w:rPr>
        <w:t>Crónica Uno</w:t>
      </w:r>
      <w:r w:rsidRPr="00361513">
        <w:rPr>
          <w:rFonts w:ascii="Garamond" w:hAnsi="Garamond" w:cs="Arial"/>
          <w:sz w:val="22"/>
          <w:szCs w:val="22"/>
          <w:lang w:val="es-MX"/>
        </w:rPr>
        <w:t xml:space="preserve">, en un artículo del 16 de agosto de 2024, titulado </w:t>
      </w:r>
      <w:r w:rsidR="008F1516" w:rsidRPr="00361513">
        <w:rPr>
          <w:rFonts w:ascii="Garamond" w:hAnsi="Garamond" w:cs="Arial"/>
          <w:sz w:val="22"/>
          <w:szCs w:val="22"/>
          <w:lang w:val="es-MX"/>
        </w:rPr>
        <w:t>«</w:t>
      </w:r>
      <w:r w:rsidRPr="00361513">
        <w:rPr>
          <w:rFonts w:ascii="Garamond" w:hAnsi="Garamond" w:cs="Arial"/>
          <w:sz w:val="22"/>
          <w:szCs w:val="22"/>
          <w:lang w:val="es-MX"/>
        </w:rPr>
        <w:t>Incertidumbre postelectoral dificulta escenarios de cierre de año con estabilidad económica</w:t>
      </w:r>
      <w:r w:rsidR="008F1516" w:rsidRPr="00361513">
        <w:rPr>
          <w:rFonts w:ascii="Garamond" w:hAnsi="Garamond" w:cs="Arial"/>
          <w:sz w:val="22"/>
          <w:szCs w:val="22"/>
          <w:lang w:val="es-MX"/>
        </w:rPr>
        <w:t>»</w:t>
      </w:r>
      <w:r w:rsidRPr="00361513">
        <w:rPr>
          <w:rFonts w:ascii="Garamond" w:hAnsi="Garamond" w:cs="Arial"/>
          <w:sz w:val="22"/>
          <w:szCs w:val="22"/>
          <w:lang w:val="es-MX"/>
        </w:rPr>
        <w:t xml:space="preserve">, señala </w:t>
      </w:r>
      <w:r w:rsidR="008F1516" w:rsidRPr="00361513">
        <w:rPr>
          <w:rFonts w:ascii="Garamond" w:hAnsi="Garamond" w:cs="Arial"/>
          <w:sz w:val="22"/>
          <w:szCs w:val="22"/>
          <w:lang w:val="es-MX"/>
        </w:rPr>
        <w:t>«</w:t>
      </w:r>
      <w:r w:rsidRPr="00361513">
        <w:rPr>
          <w:rFonts w:ascii="Garamond" w:hAnsi="Garamond" w:cs="Arial"/>
          <w:sz w:val="22"/>
          <w:szCs w:val="22"/>
          <w:lang w:val="es-MX"/>
        </w:rPr>
        <w:t xml:space="preserve">La falta de claridad sobre los resultados anunciados por el </w:t>
      </w:r>
      <w:r w:rsidR="008F1516" w:rsidRPr="00361513">
        <w:rPr>
          <w:rFonts w:ascii="Garamond" w:hAnsi="Garamond" w:cs="Arial"/>
          <w:sz w:val="22"/>
          <w:szCs w:val="22"/>
          <w:lang w:val="es-MX"/>
        </w:rPr>
        <w:t>CNE</w:t>
      </w:r>
      <w:r w:rsidRPr="00361513">
        <w:rPr>
          <w:rFonts w:ascii="Garamond" w:hAnsi="Garamond" w:cs="Arial"/>
          <w:sz w:val="22"/>
          <w:szCs w:val="22"/>
          <w:lang w:val="es-MX"/>
        </w:rPr>
        <w:t xml:space="preserve"> amenazan con llevar a Venezuela a una nueva etapa de aislamiento internacional que puede impactar en indicadores como la inflación, el tipo de cambio y el crecimiento económico</w:t>
      </w:r>
      <w:r w:rsidR="008F1516" w:rsidRPr="00361513">
        <w:rPr>
          <w:rFonts w:ascii="Garamond" w:hAnsi="Garamond" w:cs="Arial"/>
          <w:sz w:val="22"/>
          <w:szCs w:val="22"/>
          <w:lang w:val="es-MX"/>
        </w:rPr>
        <w:t>»</w:t>
      </w:r>
      <w:r w:rsidRPr="00361513">
        <w:rPr>
          <w:rStyle w:val="Refdenotaalpie"/>
          <w:rFonts w:ascii="Garamond" w:hAnsi="Garamond" w:cs="Arial"/>
          <w:sz w:val="22"/>
          <w:szCs w:val="22"/>
          <w:lang w:val="es-MX"/>
        </w:rPr>
        <w:footnoteReference w:id="16"/>
      </w:r>
      <w:r w:rsidRPr="00361513">
        <w:rPr>
          <w:rFonts w:ascii="Garamond" w:hAnsi="Garamond" w:cs="Arial"/>
          <w:sz w:val="22"/>
          <w:szCs w:val="22"/>
          <w:lang w:val="es-MX"/>
        </w:rPr>
        <w:t>.</w:t>
      </w:r>
    </w:p>
    <w:p w14:paraId="2BCD4B78" w14:textId="089CDC69"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Este artículo recoge las opiniones de un foro realizado por el Observatorio Venezolano de Finanzas (</w:t>
      </w:r>
      <w:proofErr w:type="spellStart"/>
      <w:r w:rsidRPr="00361513">
        <w:rPr>
          <w:rFonts w:ascii="Garamond" w:hAnsi="Garamond" w:cs="Arial"/>
          <w:sz w:val="22"/>
          <w:szCs w:val="22"/>
          <w:lang w:val="es-MX"/>
        </w:rPr>
        <w:t>OVF</w:t>
      </w:r>
      <w:proofErr w:type="spellEnd"/>
      <w:r w:rsidRPr="00361513">
        <w:rPr>
          <w:rFonts w:ascii="Garamond" w:hAnsi="Garamond" w:cs="Arial"/>
          <w:sz w:val="22"/>
          <w:szCs w:val="22"/>
          <w:lang w:val="es-MX"/>
        </w:rPr>
        <w:t>) en el cual el economista e investigador del Instituto de Investigación Económicas y Sociales de la UCAB, Luis Zambrano-</w:t>
      </w:r>
      <w:proofErr w:type="spellStart"/>
      <w:r w:rsidRPr="00361513">
        <w:rPr>
          <w:rFonts w:ascii="Garamond" w:hAnsi="Garamond" w:cs="Arial"/>
          <w:sz w:val="22"/>
          <w:szCs w:val="22"/>
          <w:lang w:val="es-MX"/>
        </w:rPr>
        <w:t>Sequ</w:t>
      </w:r>
      <w:r w:rsidR="0048534D" w:rsidRPr="00361513">
        <w:rPr>
          <w:rFonts w:ascii="Garamond" w:hAnsi="Garamond" w:cs="Arial"/>
          <w:sz w:val="22"/>
          <w:szCs w:val="22"/>
          <w:lang w:val="es-MX"/>
        </w:rPr>
        <w:t>í</w:t>
      </w:r>
      <w:r w:rsidRPr="00361513">
        <w:rPr>
          <w:rFonts w:ascii="Garamond" w:hAnsi="Garamond" w:cs="Arial"/>
          <w:sz w:val="22"/>
          <w:szCs w:val="22"/>
          <w:lang w:val="es-MX"/>
        </w:rPr>
        <w:t>n</w:t>
      </w:r>
      <w:proofErr w:type="spellEnd"/>
      <w:r w:rsidRPr="00361513">
        <w:rPr>
          <w:rFonts w:ascii="Garamond" w:hAnsi="Garamond" w:cs="Arial"/>
          <w:sz w:val="22"/>
          <w:szCs w:val="22"/>
          <w:lang w:val="es-MX"/>
        </w:rPr>
        <w:t xml:space="preserve">, expresa que las proyecciones económicas para Venezuela han cambiado: </w:t>
      </w:r>
    </w:p>
    <w:p w14:paraId="6F4A7CDA" w14:textId="77777777" w:rsidR="00AE4220" w:rsidRPr="00FA2741" w:rsidRDefault="00AE4220" w:rsidP="00AE4220">
      <w:pPr>
        <w:pStyle w:val="Tindependiente-Profesional"/>
        <w:spacing w:after="240" w:line="240" w:lineRule="auto"/>
        <w:ind w:left="708"/>
        <w:jc w:val="both"/>
        <w:rPr>
          <w:rFonts w:ascii="Garamond" w:hAnsi="Garamond" w:cs="Arial"/>
          <w:lang w:val="es-ES"/>
        </w:rPr>
      </w:pPr>
      <w:r w:rsidRPr="00FA2741">
        <w:rPr>
          <w:rFonts w:ascii="Garamond" w:hAnsi="Garamond" w:cs="Arial"/>
          <w:lang w:val="es-ES"/>
        </w:rPr>
        <w:t>de mantenerse la incertidumbre y no avanzar con rapidez en un proceso de transición hacia un gobierno democrático y con libertades, se prevé un escenario con restablecimiento e incluso incremento de las sanciones económicas y mayor aislamiento internacional, lo que reduce las posibilidades de que en el segundo semestre se consoliden las cifras que economistas y firmas preveían para este año.</w:t>
      </w:r>
    </w:p>
    <w:p w14:paraId="17A4A844"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MX"/>
        </w:rPr>
        <w:t>Además</w:t>
      </w:r>
      <w:r w:rsidRPr="00361513">
        <w:rPr>
          <w:rFonts w:ascii="Garamond" w:hAnsi="Garamond" w:cs="Arial"/>
          <w:sz w:val="22"/>
          <w:szCs w:val="22"/>
          <w:lang w:val="es-ES"/>
        </w:rPr>
        <w:t>, el artículo puntualiza:</w:t>
      </w:r>
    </w:p>
    <w:p w14:paraId="22D7EFED" w14:textId="16D648DD" w:rsidR="00AE4220" w:rsidRPr="00FA2741" w:rsidRDefault="00AE4220" w:rsidP="00AE4220">
      <w:pPr>
        <w:pStyle w:val="Tindependiente-Profesional"/>
        <w:spacing w:line="240" w:lineRule="auto"/>
        <w:ind w:left="709"/>
        <w:jc w:val="both"/>
        <w:rPr>
          <w:rFonts w:ascii="Garamond" w:hAnsi="Garamond" w:cs="Arial"/>
          <w:lang w:val="es-ES"/>
        </w:rPr>
      </w:pPr>
      <w:r w:rsidRPr="00FA2741">
        <w:rPr>
          <w:rFonts w:ascii="Garamond" w:hAnsi="Garamond" w:cs="Arial"/>
          <w:lang w:val="es-ES"/>
        </w:rPr>
        <w:t xml:space="preserve">De acuerdo con la última Encuesta de Expectativas Económicas publicada por el </w:t>
      </w:r>
      <w:proofErr w:type="spellStart"/>
      <w:r w:rsidRPr="00FA2741">
        <w:rPr>
          <w:rFonts w:ascii="Garamond" w:hAnsi="Garamond" w:cs="Arial"/>
          <w:lang w:val="es-ES"/>
        </w:rPr>
        <w:t>OVF</w:t>
      </w:r>
      <w:proofErr w:type="spellEnd"/>
      <w:r w:rsidRPr="00FA2741">
        <w:rPr>
          <w:rFonts w:ascii="Garamond" w:hAnsi="Garamond" w:cs="Arial"/>
          <w:lang w:val="es-ES"/>
        </w:rPr>
        <w:t xml:space="preserve">, basada en proyecciones de especialistas en economía y finanzas, </w:t>
      </w:r>
      <w:r w:rsidR="0048534D" w:rsidRPr="00FA2741">
        <w:rPr>
          <w:rFonts w:ascii="Garamond" w:hAnsi="Garamond" w:cs="Arial"/>
          <w:lang w:val="es-ES"/>
        </w:rPr>
        <w:t>«</w:t>
      </w:r>
      <w:r w:rsidRPr="00FA2741">
        <w:rPr>
          <w:rFonts w:ascii="Garamond" w:hAnsi="Garamond" w:cs="Arial"/>
          <w:lang w:val="es-ES"/>
        </w:rPr>
        <w:t>la crisis política en la que se encuentra Venezuela después de la elección del 28J y la ausencia de resultados oficiales desagregados</w:t>
      </w:r>
      <w:r w:rsidR="0048534D" w:rsidRPr="00FA2741">
        <w:rPr>
          <w:rFonts w:ascii="Garamond" w:hAnsi="Garamond" w:cs="Arial"/>
          <w:lang w:val="es-ES"/>
        </w:rPr>
        <w:t>»</w:t>
      </w:r>
      <w:r w:rsidRPr="00FA2741">
        <w:rPr>
          <w:rFonts w:ascii="Garamond" w:hAnsi="Garamond" w:cs="Arial"/>
          <w:lang w:val="es-ES"/>
        </w:rPr>
        <w:t xml:space="preserve"> produjo cambios en los pronósticos de actividad económica, tipo de cambio e inflación.</w:t>
      </w:r>
    </w:p>
    <w:p w14:paraId="511C2BEA" w14:textId="50FA4235" w:rsidR="00AE4220" w:rsidRPr="00FA2741" w:rsidRDefault="0048534D" w:rsidP="00AE4220">
      <w:pPr>
        <w:pStyle w:val="Tindependiente-Profesional"/>
        <w:spacing w:after="240" w:line="240" w:lineRule="auto"/>
        <w:ind w:left="708"/>
        <w:jc w:val="both"/>
        <w:rPr>
          <w:rFonts w:ascii="Garamond" w:hAnsi="Garamond" w:cs="Arial"/>
          <w:lang w:val="es-ES"/>
        </w:rPr>
      </w:pPr>
      <w:r w:rsidRPr="00FA2741">
        <w:rPr>
          <w:rFonts w:ascii="Garamond" w:hAnsi="Garamond" w:cs="Arial"/>
          <w:lang w:val="es-ES"/>
        </w:rPr>
        <w:lastRenderedPageBreak/>
        <w:t>«</w:t>
      </w:r>
      <w:r w:rsidR="00AE4220" w:rsidRPr="00FA2741">
        <w:rPr>
          <w:rFonts w:ascii="Garamond" w:hAnsi="Garamond" w:cs="Arial"/>
          <w:lang w:val="es-ES"/>
        </w:rPr>
        <w:t>Los agentes aumentaron de manera importante las expectativas inflacionarias (de 40 % en julio a 55 % en agosto) y de devaluación para el cierre del año (de Bs./$ 45 a Bs./$ 50) debido a posibles choques en los ingresos petroleros por un mayor aislamiento en el que puede sumergirse el país</w:t>
      </w:r>
      <w:r w:rsidRPr="00FA2741">
        <w:rPr>
          <w:rFonts w:ascii="Garamond" w:hAnsi="Garamond" w:cs="Arial"/>
          <w:lang w:val="es-ES"/>
        </w:rPr>
        <w:t>»</w:t>
      </w:r>
      <w:r w:rsidR="00AE4220" w:rsidRPr="00FA2741">
        <w:rPr>
          <w:rFonts w:ascii="Garamond" w:hAnsi="Garamond" w:cs="Arial"/>
          <w:lang w:val="es-ES"/>
        </w:rPr>
        <w:t>, señala la organización.</w:t>
      </w:r>
    </w:p>
    <w:p w14:paraId="40CDA186" w14:textId="3098E66A"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Terminado el inciso anterior sobre las elecciones del 28 de julio, se prosigue con el recuento histórico: </w:t>
      </w:r>
      <w:r w:rsidR="0048534D" w:rsidRPr="00361513">
        <w:rPr>
          <w:rFonts w:ascii="Garamond" w:hAnsi="Garamond" w:cs="Arial"/>
          <w:sz w:val="22"/>
          <w:szCs w:val="22"/>
          <w:lang w:val="es-ES"/>
        </w:rPr>
        <w:t>e</w:t>
      </w:r>
      <w:r w:rsidRPr="00361513">
        <w:rPr>
          <w:rFonts w:ascii="Garamond" w:hAnsi="Garamond" w:cs="Arial"/>
          <w:sz w:val="22"/>
          <w:szCs w:val="22"/>
          <w:lang w:val="es-ES"/>
        </w:rPr>
        <w:t>l país abandonó la hiperinflación oficialmente a finales del 2021. El gasto público (impresión de dinero inorgánico) dejó de ser una práctica dominante para financiar el gasto público. Se permitió una dolarización informal de la economía. Se desaplicaron vía flexibilización o derogación el control cambiario y el control de precios. La producción petrolera ha venido aumentando (</w:t>
      </w:r>
      <w:r w:rsidR="000638C8" w:rsidRPr="00361513">
        <w:rPr>
          <w:rFonts w:ascii="Garamond" w:hAnsi="Garamond" w:cs="Arial"/>
          <w:sz w:val="22"/>
          <w:szCs w:val="22"/>
          <w:lang w:val="es-ES"/>
        </w:rPr>
        <w:t>F</w:t>
      </w:r>
      <w:r w:rsidRPr="00361513">
        <w:rPr>
          <w:rFonts w:ascii="Garamond" w:hAnsi="Garamond" w:cs="Arial"/>
          <w:sz w:val="22"/>
          <w:szCs w:val="22"/>
          <w:lang w:val="es-ES"/>
        </w:rPr>
        <w:t>iguras 13</w:t>
      </w:r>
      <w:r w:rsidR="000638C8" w:rsidRPr="00361513">
        <w:rPr>
          <w:rStyle w:val="Refdenotaalpie"/>
          <w:rFonts w:ascii="Garamond" w:hAnsi="Garamond" w:cs="Arial"/>
          <w:sz w:val="22"/>
          <w:szCs w:val="22"/>
          <w:lang w:val="es-ES"/>
        </w:rPr>
        <w:footnoteReference w:id="17"/>
      </w:r>
      <w:r w:rsidRPr="00361513">
        <w:rPr>
          <w:rFonts w:ascii="Garamond" w:hAnsi="Garamond" w:cs="Arial"/>
          <w:sz w:val="22"/>
          <w:szCs w:val="22"/>
          <w:lang w:val="es-ES"/>
        </w:rPr>
        <w:t>, 14</w:t>
      </w:r>
      <w:r w:rsidR="000638C8" w:rsidRPr="00361513">
        <w:rPr>
          <w:rStyle w:val="Refdenotaalpie"/>
          <w:rFonts w:ascii="Garamond" w:hAnsi="Garamond" w:cs="Arial"/>
          <w:sz w:val="22"/>
          <w:szCs w:val="22"/>
          <w:lang w:val="es-ES"/>
        </w:rPr>
        <w:footnoteReference w:id="18"/>
      </w:r>
      <w:r w:rsidRPr="00361513">
        <w:rPr>
          <w:rFonts w:ascii="Garamond" w:hAnsi="Garamond" w:cs="Arial"/>
          <w:sz w:val="22"/>
          <w:szCs w:val="22"/>
          <w:lang w:val="es-ES"/>
        </w:rPr>
        <w:t xml:space="preserve"> y 15</w:t>
      </w:r>
      <w:r w:rsidR="000638C8" w:rsidRPr="00361513">
        <w:rPr>
          <w:rStyle w:val="Refdenotaalpie"/>
          <w:rFonts w:ascii="Garamond" w:hAnsi="Garamond" w:cs="Arial"/>
          <w:sz w:val="22"/>
          <w:szCs w:val="22"/>
          <w:lang w:val="es-ES"/>
        </w:rPr>
        <w:footnoteReference w:id="19"/>
      </w:r>
      <w:r w:rsidRPr="00361513">
        <w:rPr>
          <w:rFonts w:ascii="Garamond" w:hAnsi="Garamond" w:cs="Arial"/>
          <w:sz w:val="22"/>
          <w:szCs w:val="22"/>
          <w:lang w:val="es-ES"/>
        </w:rPr>
        <w:t xml:space="preserve">) y la demanda de energía a nivel mundial está creciendo por diversos conflictos y realidades. Y, el elemento más importante: el </w:t>
      </w:r>
      <w:r w:rsidR="000638C8" w:rsidRPr="00361513">
        <w:rPr>
          <w:rFonts w:ascii="Garamond" w:hAnsi="Garamond" w:cs="Arial"/>
          <w:sz w:val="22"/>
          <w:szCs w:val="22"/>
          <w:lang w:val="es-ES"/>
        </w:rPr>
        <w:t>G</w:t>
      </w:r>
      <w:r w:rsidRPr="00361513">
        <w:rPr>
          <w:rFonts w:ascii="Garamond" w:hAnsi="Garamond" w:cs="Arial"/>
          <w:sz w:val="22"/>
          <w:szCs w:val="22"/>
          <w:lang w:val="es-ES"/>
        </w:rPr>
        <w:t xml:space="preserve">obierno de EE. UU. levantó temporalmente las sanciones al negocio petrolero y gasífero de Venezuela. Sobre esto, un artículo aparecido en el portal web de </w:t>
      </w:r>
      <w:r w:rsidR="000638C8" w:rsidRPr="00361513">
        <w:rPr>
          <w:rFonts w:ascii="Garamond" w:hAnsi="Garamond" w:cs="Arial"/>
          <w:i/>
          <w:iCs/>
          <w:sz w:val="22"/>
          <w:szCs w:val="22"/>
          <w:lang w:val="es-ES"/>
        </w:rPr>
        <w:t>El Economista</w:t>
      </w:r>
      <w:r w:rsidRPr="00361513">
        <w:rPr>
          <w:rFonts w:ascii="Garamond" w:hAnsi="Garamond" w:cs="Arial"/>
          <w:sz w:val="22"/>
          <w:szCs w:val="22"/>
          <w:lang w:val="es-ES"/>
        </w:rPr>
        <w:t>, Moreno (2023) escribe:</w:t>
      </w:r>
    </w:p>
    <w:p w14:paraId="2BBA72A3" w14:textId="77777777" w:rsidR="00AE4220" w:rsidRPr="003E19EB" w:rsidRDefault="00AE4220" w:rsidP="00AE4220">
      <w:pPr>
        <w:pStyle w:val="Tindependiente-Profesional"/>
        <w:spacing w:after="240" w:line="240" w:lineRule="auto"/>
        <w:ind w:left="708"/>
        <w:jc w:val="both"/>
        <w:rPr>
          <w:rFonts w:ascii="Garamond" w:hAnsi="Garamond" w:cs="Arial"/>
          <w:lang w:val="es-ES"/>
        </w:rPr>
      </w:pPr>
      <w:r w:rsidRPr="003E19EB">
        <w:rPr>
          <w:rFonts w:ascii="Garamond" w:hAnsi="Garamond" w:cs="Arial"/>
          <w:lang w:val="es-ES"/>
        </w:rPr>
        <w:t>Estados Unidos tomó esta decisión en un momento de incertidumbre para el 'oro negro'. El combustible se encuentra subiendo desde que la OPEP y, particularmente, un acuerdo externo de Arabia Saudí y Rusia elevará el precio del barril hasta amenazar los 95 dólares. Cuando parecía que el impulso del cártel se desvanecía, un nuevo conflicto en Oriente Medio, con el ataque de Hamás a la frontera de Israel y la posterior escalada en las tensiones ha vuelto a empujar el precio del oro negro. Ahora, con el movimiento de Estados Unidos, durante seis meses se podrán realizar en dólares todo tipo de transacciones relacionadas con el crudo y gas venezolano.</w:t>
      </w:r>
    </w:p>
    <w:p w14:paraId="2ACCB2B4"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En un artículo en el portal web de noticias de </w:t>
      </w:r>
      <w:r w:rsidRPr="00361513">
        <w:rPr>
          <w:rFonts w:ascii="Garamond" w:hAnsi="Garamond" w:cs="Arial"/>
          <w:i/>
          <w:iCs/>
          <w:sz w:val="22"/>
          <w:szCs w:val="22"/>
          <w:lang w:val="es-ES"/>
        </w:rPr>
        <w:t>Bloomberg</w:t>
      </w:r>
      <w:r w:rsidRPr="00361513">
        <w:rPr>
          <w:rFonts w:ascii="Garamond" w:hAnsi="Garamond" w:cs="Arial"/>
          <w:sz w:val="22"/>
          <w:szCs w:val="22"/>
          <w:lang w:val="es-ES"/>
        </w:rPr>
        <w:t>, Luján (2023) recoge de una entrevista a un economista especializado en temas del país:</w:t>
      </w:r>
    </w:p>
    <w:p w14:paraId="09F074EB" w14:textId="14D9C06B" w:rsidR="00AE4220" w:rsidRPr="003E19EB" w:rsidRDefault="00AE4220" w:rsidP="00AE4220">
      <w:pPr>
        <w:pStyle w:val="Tindependiente-Profesional"/>
        <w:spacing w:after="240" w:line="240" w:lineRule="auto"/>
        <w:ind w:left="708"/>
        <w:jc w:val="both"/>
        <w:rPr>
          <w:rFonts w:ascii="Garamond" w:hAnsi="Garamond" w:cs="Arial"/>
          <w:lang w:val="es-ES"/>
        </w:rPr>
      </w:pPr>
      <w:r w:rsidRPr="003E19EB">
        <w:rPr>
          <w:rFonts w:ascii="Garamond" w:hAnsi="Garamond" w:cs="Arial"/>
          <w:lang w:val="es-ES"/>
        </w:rPr>
        <w:t xml:space="preserve">El levantamiento de sanciones petroleras, gasíferas y mineras a Venezuela ha impulsado nuevas y mejoradas expectativas para el comportamiento económico del país suramericano el próximo año. (…) Con la caída del consumo y la actividad comercial este año, las estimaciones para el 2024 resultaban poco optimistas. Analistas y organismos internacionales habían estado proyectando un escaso crecimiento de 5%, frente al 1,4% previsto para el cierre de 2023. Esto antes del anuncio del Departamento del Tesoro. El director de </w:t>
      </w:r>
      <w:proofErr w:type="spellStart"/>
      <w:r w:rsidRPr="003E19EB">
        <w:rPr>
          <w:rFonts w:ascii="Garamond" w:hAnsi="Garamond" w:cs="Arial"/>
          <w:lang w:val="es-ES"/>
        </w:rPr>
        <w:t>Ecoanalítica</w:t>
      </w:r>
      <w:proofErr w:type="spellEnd"/>
      <w:r w:rsidRPr="003E19EB">
        <w:rPr>
          <w:rFonts w:ascii="Garamond" w:hAnsi="Garamond" w:cs="Arial"/>
          <w:lang w:val="es-ES"/>
        </w:rPr>
        <w:t xml:space="preserve">, Asdrúbal Oliveros dijo en una entrevista radial que la medida impulsada por la administración de Joe </w:t>
      </w:r>
      <w:proofErr w:type="spellStart"/>
      <w:r w:rsidRPr="003E19EB">
        <w:rPr>
          <w:rFonts w:ascii="Garamond" w:hAnsi="Garamond" w:cs="Arial"/>
          <w:lang w:val="es-ES"/>
        </w:rPr>
        <w:t>Biden</w:t>
      </w:r>
      <w:proofErr w:type="spellEnd"/>
      <w:r w:rsidRPr="003E19EB">
        <w:rPr>
          <w:rFonts w:ascii="Garamond" w:hAnsi="Garamond" w:cs="Arial"/>
          <w:lang w:val="es-ES"/>
        </w:rPr>
        <w:t xml:space="preserve"> podría reflejar un escenario diferente. </w:t>
      </w:r>
      <w:r w:rsidR="000638C8" w:rsidRPr="003E19EB">
        <w:rPr>
          <w:rFonts w:ascii="Garamond" w:hAnsi="Garamond" w:cs="Arial"/>
          <w:lang w:val="es-ES"/>
        </w:rPr>
        <w:t>«</w:t>
      </w:r>
      <w:r w:rsidRPr="003E19EB">
        <w:rPr>
          <w:rFonts w:ascii="Garamond" w:hAnsi="Garamond" w:cs="Arial"/>
          <w:lang w:val="es-ES"/>
        </w:rPr>
        <w:t>Para bien o para mal, el petróleo, que es el corazón de las sanciones, genera un efecto multiplicador en toda la economía</w:t>
      </w:r>
      <w:r w:rsidR="000638C8" w:rsidRPr="003E19EB">
        <w:rPr>
          <w:rFonts w:ascii="Garamond" w:hAnsi="Garamond" w:cs="Arial"/>
          <w:lang w:val="es-ES"/>
        </w:rPr>
        <w:t>»</w:t>
      </w:r>
      <w:r w:rsidRPr="003E19EB">
        <w:rPr>
          <w:rFonts w:ascii="Garamond" w:hAnsi="Garamond" w:cs="Arial"/>
          <w:lang w:val="es-ES"/>
        </w:rPr>
        <w:t>.</w:t>
      </w:r>
    </w:p>
    <w:p w14:paraId="68C20075"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El pronóstico positivo de </w:t>
      </w:r>
      <w:proofErr w:type="spellStart"/>
      <w:r w:rsidRPr="00361513">
        <w:rPr>
          <w:rFonts w:ascii="Garamond" w:hAnsi="Garamond" w:cs="Arial"/>
          <w:sz w:val="22"/>
          <w:szCs w:val="22"/>
          <w:lang w:val="es-ES"/>
        </w:rPr>
        <w:t>Ecoanalítica</w:t>
      </w:r>
      <w:proofErr w:type="spellEnd"/>
      <w:r w:rsidRPr="00361513">
        <w:rPr>
          <w:rFonts w:ascii="Garamond" w:hAnsi="Garamond" w:cs="Arial"/>
          <w:sz w:val="22"/>
          <w:szCs w:val="22"/>
          <w:lang w:val="es-ES"/>
        </w:rPr>
        <w:t xml:space="preserve"> acerca del comportamiento del PIB fue referenciado por el portal web informativo en materia de energía </w:t>
      </w:r>
      <w:proofErr w:type="spellStart"/>
      <w:r w:rsidRPr="00361513">
        <w:rPr>
          <w:rFonts w:ascii="Garamond" w:hAnsi="Garamond" w:cs="Arial"/>
          <w:i/>
          <w:iCs/>
          <w:sz w:val="22"/>
          <w:szCs w:val="22"/>
          <w:lang w:val="es-ES"/>
        </w:rPr>
        <w:t>Petroguía</w:t>
      </w:r>
      <w:proofErr w:type="spellEnd"/>
      <w:r w:rsidRPr="00361513">
        <w:rPr>
          <w:rFonts w:ascii="Garamond" w:hAnsi="Garamond" w:cs="Arial"/>
          <w:sz w:val="22"/>
          <w:szCs w:val="22"/>
          <w:lang w:val="es-ES"/>
        </w:rPr>
        <w:t xml:space="preserve"> (2023):</w:t>
      </w:r>
    </w:p>
    <w:p w14:paraId="75988555" w14:textId="77777777" w:rsidR="00AE4220" w:rsidRPr="003E19EB" w:rsidRDefault="00AE4220" w:rsidP="00AE4220">
      <w:pPr>
        <w:pStyle w:val="Tindependiente-Profesional"/>
        <w:spacing w:line="240" w:lineRule="auto"/>
        <w:ind w:left="709"/>
        <w:jc w:val="both"/>
        <w:rPr>
          <w:rFonts w:ascii="Garamond" w:hAnsi="Garamond" w:cs="Arial"/>
          <w:lang w:val="es-ES"/>
        </w:rPr>
      </w:pPr>
      <w:r w:rsidRPr="003E19EB">
        <w:rPr>
          <w:rFonts w:ascii="Garamond" w:hAnsi="Garamond" w:cs="Arial"/>
          <w:lang w:val="es-ES"/>
        </w:rPr>
        <w:t xml:space="preserve">Los pronósticos de la firma consultora </w:t>
      </w:r>
      <w:proofErr w:type="spellStart"/>
      <w:r w:rsidRPr="003E19EB">
        <w:rPr>
          <w:rFonts w:ascii="Garamond" w:hAnsi="Garamond" w:cs="Arial"/>
          <w:lang w:val="es-ES"/>
        </w:rPr>
        <w:t>Ecoanalítica</w:t>
      </w:r>
      <w:proofErr w:type="spellEnd"/>
      <w:r w:rsidRPr="003E19EB">
        <w:rPr>
          <w:rFonts w:ascii="Garamond" w:hAnsi="Garamond" w:cs="Arial"/>
          <w:lang w:val="es-ES"/>
        </w:rPr>
        <w:t xml:space="preserve"> para el cierre de 2023 y 2024 tuvieron que ser revisados luego que el pasado 18 de octubre el gobierno de los Estados Unidos, a través de la Oficina de Control de Activos Extranjeros del Departamento del Tesoro (</w:t>
      </w:r>
      <w:proofErr w:type="spellStart"/>
      <w:r w:rsidRPr="003E19EB">
        <w:rPr>
          <w:rFonts w:ascii="Garamond" w:hAnsi="Garamond" w:cs="Arial"/>
          <w:lang w:val="es-ES"/>
        </w:rPr>
        <w:t>OFAC</w:t>
      </w:r>
      <w:proofErr w:type="spellEnd"/>
      <w:r w:rsidRPr="003E19EB">
        <w:rPr>
          <w:rFonts w:ascii="Garamond" w:hAnsi="Garamond" w:cs="Arial"/>
          <w:lang w:val="es-ES"/>
        </w:rPr>
        <w:t xml:space="preserve">), aprobó la Licencia General </w:t>
      </w:r>
      <w:proofErr w:type="spellStart"/>
      <w:r w:rsidRPr="003E19EB">
        <w:rPr>
          <w:rFonts w:ascii="Garamond" w:hAnsi="Garamond" w:cs="Arial"/>
          <w:lang w:val="es-ES"/>
        </w:rPr>
        <w:t>Nº</w:t>
      </w:r>
      <w:proofErr w:type="spellEnd"/>
      <w:r w:rsidRPr="003E19EB">
        <w:rPr>
          <w:rFonts w:ascii="Garamond" w:hAnsi="Garamond" w:cs="Arial"/>
          <w:lang w:val="es-ES"/>
        </w:rPr>
        <w:t xml:space="preserve"> 44. Esta resolución flexibilizó las sanciones que desde inicios de 2019 pesaban sobre el sector de los hidrocarburos venezolano y que le impedían toda actividad comercial de Petróleos de Venezuela (PDVSA) hacia su principal mercado como por más de 100 años ha sido el norteamericano.</w:t>
      </w:r>
    </w:p>
    <w:p w14:paraId="773FFF3E" w14:textId="77777777" w:rsidR="00AE4220" w:rsidRPr="003E19EB" w:rsidRDefault="00AE4220" w:rsidP="00AE4220">
      <w:pPr>
        <w:pStyle w:val="Tindependiente-Profesional"/>
        <w:spacing w:after="240" w:line="240" w:lineRule="auto"/>
        <w:ind w:left="708"/>
        <w:jc w:val="both"/>
        <w:rPr>
          <w:rFonts w:ascii="Garamond" w:hAnsi="Garamond" w:cs="Arial"/>
          <w:lang w:val="es-ES"/>
        </w:rPr>
      </w:pPr>
      <w:r w:rsidRPr="003E19EB">
        <w:rPr>
          <w:rFonts w:ascii="Garamond" w:hAnsi="Garamond" w:cs="Arial"/>
          <w:lang w:val="es-ES"/>
        </w:rPr>
        <w:t>Si bien esta firma es del criterio que el producto interno bruto (PIB) del país se contraerá 0,7% al cierre de 2023, el PIB petrolero tendrá una variación de 6% durante este año. La situación para 2024 apunta a un crecimiento global de la economía de 9,7% y de 8,1% en el PIB petrolero.</w:t>
      </w:r>
    </w:p>
    <w:p w14:paraId="6D2FE6FB"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lastRenderedPageBreak/>
        <w:t xml:space="preserve">El panorama mundial es analizado en un reportaje de </w:t>
      </w:r>
      <w:r w:rsidRPr="00361513">
        <w:rPr>
          <w:rFonts w:ascii="Garamond" w:hAnsi="Garamond" w:cs="Arial"/>
          <w:i/>
          <w:iCs/>
          <w:sz w:val="22"/>
          <w:szCs w:val="22"/>
          <w:lang w:val="es-MX"/>
        </w:rPr>
        <w:t>El País</w:t>
      </w:r>
      <w:r w:rsidRPr="00361513">
        <w:rPr>
          <w:rFonts w:ascii="Garamond" w:hAnsi="Garamond" w:cs="Arial"/>
          <w:sz w:val="22"/>
          <w:szCs w:val="22"/>
          <w:lang w:val="es-MX"/>
        </w:rPr>
        <w:t xml:space="preserve"> en su sección de petróleo en el portal web. Lomba (2023) señala:</w:t>
      </w:r>
    </w:p>
    <w:p w14:paraId="61BD15F4" w14:textId="77777777" w:rsidR="00AE4220" w:rsidRPr="003E19EB" w:rsidRDefault="00AE4220" w:rsidP="00AE4220">
      <w:pPr>
        <w:pStyle w:val="Tindependiente-Profesional"/>
        <w:spacing w:line="240" w:lineRule="auto"/>
        <w:ind w:left="709"/>
        <w:jc w:val="both"/>
        <w:rPr>
          <w:rFonts w:ascii="Garamond" w:hAnsi="Garamond" w:cs="Arial"/>
          <w:lang w:val="es-ES"/>
        </w:rPr>
      </w:pPr>
      <w:r w:rsidRPr="003E19EB">
        <w:rPr>
          <w:rFonts w:ascii="Garamond" w:hAnsi="Garamond" w:cs="Arial"/>
          <w:lang w:val="es-ES"/>
        </w:rPr>
        <w:t>La Organización de Países Exportadores de Petróleo (OPEP, liderada por Arabia Saudí) ha publicado sus perspectivas de consumo, donde prevé que la demanda mundial de crudo no dejará de aumentar hasta al menos 2045, y pide aumentar la inversión en el sector en 14 billones de dólares.</w:t>
      </w:r>
    </w:p>
    <w:p w14:paraId="2E002BB3" w14:textId="77777777" w:rsidR="00AE4220" w:rsidRPr="003E19EB" w:rsidRDefault="00AE4220" w:rsidP="00AE4220">
      <w:pPr>
        <w:pStyle w:val="Tindependiente-Profesional"/>
        <w:spacing w:after="240" w:line="240" w:lineRule="auto"/>
        <w:ind w:left="708"/>
        <w:jc w:val="both"/>
        <w:rPr>
          <w:rFonts w:ascii="Garamond" w:hAnsi="Garamond" w:cs="Arial"/>
          <w:lang w:val="es-ES"/>
        </w:rPr>
      </w:pPr>
      <w:r w:rsidRPr="003E19EB">
        <w:rPr>
          <w:rFonts w:ascii="Garamond" w:hAnsi="Garamond" w:cs="Arial"/>
          <w:lang w:val="es-ES"/>
        </w:rPr>
        <w:t>La postura expuesta por los principales productores de petróleo choca frontalmente con la esgrimida por la Agencia Internacional de la Energía (</w:t>
      </w:r>
      <w:proofErr w:type="spellStart"/>
      <w:r w:rsidRPr="003E19EB">
        <w:rPr>
          <w:rFonts w:ascii="Garamond" w:hAnsi="Garamond" w:cs="Arial"/>
          <w:lang w:val="es-ES"/>
        </w:rPr>
        <w:t>AIE</w:t>
      </w:r>
      <w:proofErr w:type="spellEnd"/>
      <w:r w:rsidRPr="003E19EB">
        <w:rPr>
          <w:rFonts w:ascii="Garamond" w:hAnsi="Garamond" w:cs="Arial"/>
          <w:lang w:val="es-ES"/>
        </w:rPr>
        <w:t>), que no considera necesarias inversiones en nuevas explotaciones y que, a pesar de recoger una demanda récord para 2023 en sus previsiones, espera que ésta alcance un pico en 2030.</w:t>
      </w:r>
    </w:p>
    <w:p w14:paraId="579947BF" w14:textId="797F27C1"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El medio de comunicación digital </w:t>
      </w:r>
      <w:r w:rsidRPr="00361513">
        <w:rPr>
          <w:rFonts w:ascii="Garamond" w:hAnsi="Garamond" w:cs="Arial"/>
          <w:i/>
          <w:iCs/>
          <w:sz w:val="22"/>
          <w:szCs w:val="22"/>
          <w:lang w:val="es-MX"/>
        </w:rPr>
        <w:t>El Español</w:t>
      </w:r>
      <w:r w:rsidRPr="00361513">
        <w:rPr>
          <w:rFonts w:ascii="Garamond" w:hAnsi="Garamond" w:cs="Arial"/>
          <w:sz w:val="22"/>
          <w:szCs w:val="22"/>
          <w:lang w:val="es-MX"/>
        </w:rPr>
        <w:t xml:space="preserve"> en su sección de energía, reporta mediante un trabajo de Ojea (2022) que la demanda mundial de petróleo por lo menos hasta el año 2030 estará por encima de la oferta porque </w:t>
      </w:r>
      <w:r w:rsidR="0004714E" w:rsidRPr="00361513">
        <w:rPr>
          <w:rFonts w:ascii="Garamond" w:hAnsi="Garamond" w:cs="Arial"/>
          <w:sz w:val="22"/>
          <w:szCs w:val="22"/>
          <w:lang w:val="es-MX"/>
        </w:rPr>
        <w:t>«</w:t>
      </w:r>
      <w:r w:rsidRPr="00361513">
        <w:rPr>
          <w:rFonts w:ascii="Garamond" w:hAnsi="Garamond" w:cs="Arial"/>
          <w:sz w:val="22"/>
          <w:szCs w:val="22"/>
          <w:lang w:val="es-MX"/>
        </w:rPr>
        <w:t>la transición energética no va al ritmo deseable</w:t>
      </w:r>
      <w:r w:rsidR="0004714E" w:rsidRPr="00361513">
        <w:rPr>
          <w:rFonts w:ascii="Garamond" w:hAnsi="Garamond" w:cs="Arial"/>
          <w:sz w:val="22"/>
          <w:szCs w:val="22"/>
          <w:lang w:val="es-MX"/>
        </w:rPr>
        <w:t>»</w:t>
      </w:r>
      <w:r w:rsidRPr="00361513">
        <w:rPr>
          <w:rFonts w:ascii="Garamond" w:hAnsi="Garamond" w:cs="Arial"/>
          <w:sz w:val="22"/>
          <w:szCs w:val="22"/>
          <w:lang w:val="es-MX"/>
        </w:rPr>
        <w:t>; lo cual sin duda constituye una buena noticia para los países productores de hidrocarburos.</w:t>
      </w:r>
    </w:p>
    <w:p w14:paraId="2E623C6F" w14:textId="671BD965" w:rsidR="00AE4220" w:rsidRPr="003E19EB" w:rsidRDefault="00AE4220" w:rsidP="00AE4220">
      <w:pPr>
        <w:pStyle w:val="Tindependiente-Profesional"/>
        <w:spacing w:line="240" w:lineRule="auto"/>
        <w:ind w:left="709"/>
        <w:jc w:val="both"/>
        <w:rPr>
          <w:rFonts w:ascii="Garamond" w:hAnsi="Garamond" w:cs="Arial"/>
          <w:lang w:val="es-ES"/>
        </w:rPr>
      </w:pPr>
      <w:r w:rsidRPr="003E19EB">
        <w:rPr>
          <w:rFonts w:ascii="Garamond" w:hAnsi="Garamond" w:cs="Arial"/>
          <w:lang w:val="es-ES"/>
        </w:rPr>
        <w:t>El Consejo Mundial de Petróleo (</w:t>
      </w:r>
      <w:proofErr w:type="spellStart"/>
      <w:r w:rsidRPr="003E19EB">
        <w:rPr>
          <w:rFonts w:ascii="Garamond" w:hAnsi="Garamond" w:cs="Arial"/>
          <w:lang w:val="es-ES"/>
        </w:rPr>
        <w:t>World</w:t>
      </w:r>
      <w:proofErr w:type="spellEnd"/>
      <w:r w:rsidRPr="003E19EB">
        <w:rPr>
          <w:rFonts w:ascii="Garamond" w:hAnsi="Garamond" w:cs="Arial"/>
          <w:lang w:val="es-ES"/>
        </w:rPr>
        <w:t xml:space="preserve"> </w:t>
      </w:r>
      <w:proofErr w:type="spellStart"/>
      <w:r w:rsidRPr="003E19EB">
        <w:rPr>
          <w:rFonts w:ascii="Garamond" w:hAnsi="Garamond" w:cs="Arial"/>
          <w:lang w:val="es-ES"/>
        </w:rPr>
        <w:t>Petroleum</w:t>
      </w:r>
      <w:proofErr w:type="spellEnd"/>
      <w:r w:rsidRPr="003E19EB">
        <w:rPr>
          <w:rFonts w:ascii="Garamond" w:hAnsi="Garamond" w:cs="Arial"/>
          <w:lang w:val="es-ES"/>
        </w:rPr>
        <w:t xml:space="preserve"> Council) augura un futuro inquietante sobre los precios de la energía y el aumento de la dependencia de los combustibles fósiles hasta 2030. En el evento anual del comité español, que ha contado con el patrocinio de Repsol, el analista independiente Neil Atkinson ha sido contundente: </w:t>
      </w:r>
      <w:r w:rsidR="009D31AD" w:rsidRPr="003E19EB">
        <w:rPr>
          <w:rFonts w:ascii="Garamond" w:hAnsi="Garamond" w:cs="Arial"/>
          <w:lang w:val="es-ES"/>
        </w:rPr>
        <w:t>«</w:t>
      </w:r>
      <w:r w:rsidRPr="003E19EB">
        <w:rPr>
          <w:rFonts w:ascii="Garamond" w:hAnsi="Garamond" w:cs="Arial"/>
          <w:lang w:val="es-ES"/>
        </w:rPr>
        <w:t>El panorama geopolítico es malo y podría volverse desastroso</w:t>
      </w:r>
      <w:r w:rsidR="009D31AD" w:rsidRPr="003E19EB">
        <w:rPr>
          <w:rFonts w:ascii="Garamond" w:hAnsi="Garamond" w:cs="Arial"/>
          <w:lang w:val="es-ES"/>
        </w:rPr>
        <w:t>»</w:t>
      </w:r>
      <w:r w:rsidRPr="003E19EB">
        <w:rPr>
          <w:rFonts w:ascii="Garamond" w:hAnsi="Garamond" w:cs="Arial"/>
          <w:lang w:val="es-ES"/>
        </w:rPr>
        <w:t xml:space="preserve">. </w:t>
      </w:r>
    </w:p>
    <w:p w14:paraId="09B54432" w14:textId="09A8D684" w:rsidR="00AE4220" w:rsidRPr="003E19EB" w:rsidRDefault="00C85968" w:rsidP="00AE4220">
      <w:pPr>
        <w:pStyle w:val="Tindependiente-Profesional"/>
        <w:spacing w:after="240" w:line="240" w:lineRule="auto"/>
        <w:ind w:left="709"/>
        <w:jc w:val="both"/>
        <w:rPr>
          <w:rFonts w:ascii="Garamond" w:hAnsi="Garamond" w:cs="Arial"/>
          <w:lang w:val="es-ES"/>
        </w:rPr>
      </w:pPr>
      <w:r w:rsidRPr="003E19EB">
        <w:rPr>
          <w:rFonts w:ascii="Garamond" w:hAnsi="Garamond" w:cs="Arial"/>
          <w:lang w:val="es-ES"/>
        </w:rPr>
        <w:t>«</w:t>
      </w:r>
      <w:r w:rsidR="00AE4220" w:rsidRPr="003E19EB">
        <w:rPr>
          <w:rFonts w:ascii="Garamond" w:hAnsi="Garamond" w:cs="Arial"/>
          <w:lang w:val="es-ES"/>
        </w:rPr>
        <w:t>A pesar del alto porcentaje de crecimiento de las ventas de vehículos eléctricos, los carburantes líquidos seguirán dominando el sector del automóvil. Y aún más lo será en camiones, barcos y aviones</w:t>
      </w:r>
      <w:r w:rsidRPr="003E19EB">
        <w:rPr>
          <w:rFonts w:ascii="Garamond" w:hAnsi="Garamond" w:cs="Arial"/>
          <w:lang w:val="es-ES"/>
        </w:rPr>
        <w:t>»</w:t>
      </w:r>
      <w:r w:rsidR="00AE4220" w:rsidRPr="003E19EB">
        <w:rPr>
          <w:rFonts w:ascii="Garamond" w:hAnsi="Garamond" w:cs="Arial"/>
          <w:lang w:val="es-ES"/>
        </w:rPr>
        <w:t xml:space="preserve">, añade Atkinson. En concreto, </w:t>
      </w:r>
      <w:r w:rsidRPr="003E19EB">
        <w:rPr>
          <w:rFonts w:ascii="Garamond" w:hAnsi="Garamond" w:cs="Arial"/>
          <w:lang w:val="es-ES"/>
        </w:rPr>
        <w:t>«</w:t>
      </w:r>
      <w:r w:rsidR="00AE4220" w:rsidRPr="003E19EB">
        <w:rPr>
          <w:rFonts w:ascii="Garamond" w:hAnsi="Garamond" w:cs="Arial"/>
          <w:lang w:val="es-ES"/>
        </w:rPr>
        <w:t>estos dos últimos sectores, en 2030 seguirán consumiendo combustible fósil en un 90%</w:t>
      </w:r>
      <w:r w:rsidRPr="003E19EB">
        <w:rPr>
          <w:rFonts w:ascii="Garamond" w:hAnsi="Garamond" w:cs="Arial"/>
          <w:lang w:val="es-ES"/>
        </w:rPr>
        <w:t>»</w:t>
      </w:r>
      <w:r w:rsidR="00AE4220" w:rsidRPr="003E19EB">
        <w:rPr>
          <w:rFonts w:ascii="Garamond" w:hAnsi="Garamond" w:cs="Arial"/>
          <w:lang w:val="es-ES"/>
        </w:rPr>
        <w:t xml:space="preserve">. Y ha recordado que </w:t>
      </w:r>
      <w:r w:rsidRPr="003E19EB">
        <w:rPr>
          <w:rFonts w:ascii="Garamond" w:hAnsi="Garamond" w:cs="Arial"/>
          <w:lang w:val="es-ES"/>
        </w:rPr>
        <w:t>«</w:t>
      </w:r>
      <w:r w:rsidR="00AE4220" w:rsidRPr="003E19EB">
        <w:rPr>
          <w:rFonts w:ascii="Garamond" w:hAnsi="Garamond" w:cs="Arial"/>
          <w:lang w:val="es-ES"/>
        </w:rPr>
        <w:t>solo el 0,3% de los camiones que circulan por las carreteras de todo el mundo son eléctricos</w:t>
      </w:r>
      <w:r w:rsidRPr="003E19EB">
        <w:rPr>
          <w:rFonts w:ascii="Garamond" w:hAnsi="Garamond" w:cs="Arial"/>
          <w:lang w:val="es-ES"/>
        </w:rPr>
        <w:t>»</w:t>
      </w:r>
      <w:r w:rsidR="00AE4220" w:rsidRPr="003E19EB">
        <w:rPr>
          <w:rFonts w:ascii="Garamond" w:hAnsi="Garamond" w:cs="Arial"/>
          <w:lang w:val="es-ES"/>
        </w:rPr>
        <w:t>.</w:t>
      </w:r>
    </w:p>
    <w:p w14:paraId="24D9E853" w14:textId="5F99051B"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La economía de Venezuela históricamente se ha entendido y se entiende a través del petróleo. Como señalaba la expresidenta del Banco Central de Venezuela (BCV) de </w:t>
      </w:r>
      <w:proofErr w:type="spellStart"/>
      <w:r w:rsidRPr="00361513">
        <w:rPr>
          <w:rFonts w:ascii="Garamond" w:hAnsi="Garamond" w:cs="Arial"/>
          <w:sz w:val="22"/>
          <w:szCs w:val="22"/>
          <w:lang w:val="es-MX"/>
        </w:rPr>
        <w:t>Krivoy</w:t>
      </w:r>
      <w:proofErr w:type="spellEnd"/>
      <w:r w:rsidRPr="00361513">
        <w:rPr>
          <w:rFonts w:ascii="Garamond" w:hAnsi="Garamond" w:cs="Arial"/>
          <w:sz w:val="22"/>
          <w:szCs w:val="22"/>
          <w:lang w:val="es-MX"/>
        </w:rPr>
        <w:t xml:space="preserve"> (2001) </w:t>
      </w:r>
      <w:r w:rsidR="00C85968" w:rsidRPr="00361513">
        <w:rPr>
          <w:rFonts w:ascii="Garamond" w:hAnsi="Garamond" w:cs="Arial"/>
          <w:sz w:val="22"/>
          <w:szCs w:val="22"/>
          <w:lang w:val="es-MX"/>
        </w:rPr>
        <w:t>«</w:t>
      </w:r>
      <w:r w:rsidRPr="00361513">
        <w:rPr>
          <w:rFonts w:ascii="Garamond" w:hAnsi="Garamond" w:cs="Arial"/>
          <w:sz w:val="22"/>
          <w:szCs w:val="22"/>
          <w:lang w:val="es-MX"/>
        </w:rPr>
        <w:t>La fuerte dependencia del petróleo es el inevitable punto de partida en cualquier análisis de la economía venezolana</w:t>
      </w:r>
      <w:r w:rsidR="00C85968" w:rsidRPr="00361513">
        <w:rPr>
          <w:rFonts w:ascii="Garamond" w:hAnsi="Garamond" w:cs="Arial"/>
          <w:sz w:val="22"/>
          <w:szCs w:val="22"/>
          <w:lang w:val="es-MX"/>
        </w:rPr>
        <w:t>»</w:t>
      </w:r>
      <w:r w:rsidRPr="00361513">
        <w:rPr>
          <w:rFonts w:ascii="Garamond" w:hAnsi="Garamond" w:cs="Arial"/>
          <w:sz w:val="22"/>
          <w:szCs w:val="22"/>
          <w:lang w:val="es-MX"/>
        </w:rPr>
        <w:t>:</w:t>
      </w:r>
    </w:p>
    <w:p w14:paraId="56B270F2" w14:textId="63DB9811" w:rsidR="00AE4220" w:rsidRPr="003E19EB" w:rsidRDefault="00AE4220" w:rsidP="00AE4220">
      <w:pPr>
        <w:pStyle w:val="Tindependiente-Profesional"/>
        <w:spacing w:after="0" w:line="240" w:lineRule="auto"/>
        <w:ind w:left="708"/>
        <w:jc w:val="both"/>
        <w:rPr>
          <w:rFonts w:ascii="Garamond" w:hAnsi="Garamond" w:cs="Arial"/>
          <w:lang w:val="es-ES"/>
        </w:rPr>
      </w:pPr>
      <w:r w:rsidRPr="003E19EB">
        <w:rPr>
          <w:rFonts w:ascii="Garamond" w:hAnsi="Garamond" w:cs="Arial"/>
          <w:lang w:val="es-ES"/>
        </w:rPr>
        <w:t>El petróleo es el recurso más importante de la nación y su más valioso producto de exportación. El sector petrolero representa alrededor de una cuarta parte del PIB, el 50% de los ingresos fiscales ordinarios y el 75% de los ingresos por exportación provienen de la venta del petróleo. En consecuencia, los resultados de la actividad petrolera tienen una influencia determinante en el desempeño de dos elementos clave en el devenir de la economía</w:t>
      </w:r>
      <w:r w:rsidR="00C85968" w:rsidRPr="003E19EB">
        <w:rPr>
          <w:rFonts w:ascii="Garamond" w:hAnsi="Garamond" w:cs="Arial"/>
          <w:lang w:val="es-ES"/>
        </w:rPr>
        <w:t>.</w:t>
      </w:r>
    </w:p>
    <w:p w14:paraId="16A3E7FB" w14:textId="77777777" w:rsidR="00AE4220" w:rsidRPr="00361513" w:rsidRDefault="00AE4220" w:rsidP="00AE4220">
      <w:pPr>
        <w:pStyle w:val="Tindependiente-Profesional"/>
        <w:spacing w:after="0" w:line="240" w:lineRule="auto"/>
        <w:jc w:val="both"/>
        <w:rPr>
          <w:rFonts w:ascii="Garamond" w:hAnsi="Garamond" w:cs="Arial"/>
          <w:sz w:val="22"/>
          <w:szCs w:val="22"/>
          <w:lang w:val="es-MX"/>
        </w:rPr>
      </w:pPr>
    </w:p>
    <w:p w14:paraId="29074986" w14:textId="357F820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Según un informe de la Comisión Económica para América Latina y el Caribe (CEPAL), el petróleo representaba el 46,9</w:t>
      </w:r>
      <w:r w:rsidR="00C85968" w:rsidRPr="00361513">
        <w:rPr>
          <w:rFonts w:ascii="Garamond" w:hAnsi="Garamond" w:cs="Arial"/>
          <w:sz w:val="22"/>
          <w:szCs w:val="22"/>
          <w:lang w:val="es-MX"/>
        </w:rPr>
        <w:t> </w:t>
      </w:r>
      <w:r w:rsidRPr="00361513">
        <w:rPr>
          <w:rFonts w:ascii="Garamond" w:hAnsi="Garamond" w:cs="Arial"/>
          <w:sz w:val="22"/>
          <w:szCs w:val="22"/>
          <w:lang w:val="es-MX"/>
        </w:rPr>
        <w:t>% de los ingresos fiscales ordinarios en 2014, el 25,1</w:t>
      </w:r>
      <w:r w:rsidR="00C85968" w:rsidRPr="00361513">
        <w:rPr>
          <w:rFonts w:ascii="Garamond" w:hAnsi="Garamond" w:cs="Arial"/>
          <w:sz w:val="22"/>
          <w:szCs w:val="22"/>
          <w:lang w:val="es-MX"/>
        </w:rPr>
        <w:t> </w:t>
      </w:r>
      <w:r w:rsidRPr="00361513">
        <w:rPr>
          <w:rFonts w:ascii="Garamond" w:hAnsi="Garamond" w:cs="Arial"/>
          <w:sz w:val="22"/>
          <w:szCs w:val="22"/>
          <w:lang w:val="es-MX"/>
        </w:rPr>
        <w:t>% en 2016, el 19,5</w:t>
      </w:r>
      <w:r w:rsidR="00C85968" w:rsidRPr="00361513">
        <w:rPr>
          <w:rFonts w:ascii="Garamond" w:hAnsi="Garamond" w:cs="Arial"/>
          <w:sz w:val="22"/>
          <w:szCs w:val="22"/>
          <w:lang w:val="es-MX"/>
        </w:rPr>
        <w:t> </w:t>
      </w:r>
      <w:r w:rsidRPr="00361513">
        <w:rPr>
          <w:rFonts w:ascii="Garamond" w:hAnsi="Garamond" w:cs="Arial"/>
          <w:sz w:val="22"/>
          <w:szCs w:val="22"/>
          <w:lang w:val="es-MX"/>
        </w:rPr>
        <w:t>% en 2018 y el 22,2</w:t>
      </w:r>
      <w:r w:rsidR="00C85968" w:rsidRPr="00361513">
        <w:rPr>
          <w:rFonts w:ascii="Garamond" w:hAnsi="Garamond" w:cs="Arial"/>
          <w:sz w:val="22"/>
          <w:szCs w:val="22"/>
          <w:lang w:val="es-MX"/>
        </w:rPr>
        <w:t> </w:t>
      </w:r>
      <w:r w:rsidRPr="00361513">
        <w:rPr>
          <w:rFonts w:ascii="Garamond" w:hAnsi="Garamond" w:cs="Arial"/>
          <w:sz w:val="22"/>
          <w:szCs w:val="22"/>
          <w:lang w:val="es-MX"/>
        </w:rPr>
        <w:t xml:space="preserve">% en 2020 </w:t>
      </w:r>
      <w:r w:rsidR="00C85968" w:rsidRPr="00361513">
        <w:rPr>
          <w:rFonts w:ascii="Garamond" w:hAnsi="Garamond" w:cs="Arial"/>
          <w:sz w:val="22"/>
          <w:szCs w:val="22"/>
          <w:lang w:val="es-MX"/>
        </w:rPr>
        <w:t>(</w:t>
      </w:r>
      <w:proofErr w:type="spellStart"/>
      <w:r w:rsidRPr="00361513">
        <w:rPr>
          <w:rFonts w:ascii="Garamond" w:hAnsi="Garamond" w:cs="Arial"/>
          <w:sz w:val="22"/>
          <w:szCs w:val="22"/>
          <w:lang w:val="es-MX"/>
        </w:rPr>
        <w:t>OECD</w:t>
      </w:r>
      <w:proofErr w:type="spellEnd"/>
      <w:r w:rsidRPr="00361513">
        <w:rPr>
          <w:rFonts w:ascii="Garamond" w:hAnsi="Garamond" w:cs="Arial"/>
          <w:sz w:val="22"/>
          <w:szCs w:val="22"/>
          <w:lang w:val="es-MX"/>
        </w:rPr>
        <w:t xml:space="preserve"> </w:t>
      </w:r>
      <w:r w:rsidRPr="00361513">
        <w:rPr>
          <w:rFonts w:ascii="Garamond" w:hAnsi="Garamond" w:cs="Arial"/>
          <w:i/>
          <w:iCs/>
          <w:sz w:val="22"/>
          <w:szCs w:val="22"/>
          <w:lang w:val="es-MX"/>
        </w:rPr>
        <w:t>et al</w:t>
      </w:r>
      <w:r w:rsidRPr="00361513">
        <w:rPr>
          <w:rFonts w:ascii="Garamond" w:hAnsi="Garamond" w:cs="Arial"/>
          <w:sz w:val="22"/>
          <w:szCs w:val="22"/>
          <w:lang w:val="es-MX"/>
        </w:rPr>
        <w:t>.</w:t>
      </w:r>
      <w:r w:rsidR="00C85968" w:rsidRPr="00361513">
        <w:rPr>
          <w:rFonts w:ascii="Garamond" w:hAnsi="Garamond" w:cs="Arial"/>
          <w:sz w:val="22"/>
          <w:szCs w:val="22"/>
          <w:lang w:val="es-MX"/>
        </w:rPr>
        <w:t>,</w:t>
      </w:r>
      <w:r w:rsidRPr="00361513">
        <w:rPr>
          <w:rFonts w:ascii="Garamond" w:hAnsi="Garamond" w:cs="Arial"/>
          <w:sz w:val="22"/>
          <w:szCs w:val="22"/>
          <w:lang w:val="es-MX"/>
        </w:rPr>
        <w:t xml:space="preserve"> 2023).</w:t>
      </w:r>
    </w:p>
    <w:p w14:paraId="179C5C25"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 xml:space="preserve">La realidad reportada por de </w:t>
      </w:r>
      <w:proofErr w:type="spellStart"/>
      <w:r w:rsidRPr="00361513">
        <w:rPr>
          <w:rFonts w:ascii="Garamond" w:hAnsi="Garamond" w:cs="Arial"/>
          <w:sz w:val="22"/>
          <w:szCs w:val="22"/>
          <w:lang w:val="es-MX"/>
        </w:rPr>
        <w:t>Krivoy</w:t>
      </w:r>
      <w:proofErr w:type="spellEnd"/>
      <w:r w:rsidRPr="00361513">
        <w:rPr>
          <w:rFonts w:ascii="Garamond" w:hAnsi="Garamond" w:cs="Arial"/>
          <w:sz w:val="22"/>
          <w:szCs w:val="22"/>
          <w:lang w:val="es-MX"/>
        </w:rPr>
        <w:t xml:space="preserve"> a principios de siglo ha cambiado en alguna medida al caer las ventas de petróleo venezolano por factores como el precio internacional, la producción (falta de mantenimiento de la infraestructura e inversión), la demanda y las sanciones internacionales (EE. UU.). Claramente, estos factores han afectado negativamente a la economía venezolana, que depende en gran medida de los ingresos petroleros para financiar su gasto público.</w:t>
      </w:r>
    </w:p>
    <w:p w14:paraId="6487AF56" w14:textId="716DF77B"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lastRenderedPageBreak/>
        <w:t>Según un informe de Statista</w:t>
      </w:r>
      <w:r w:rsidR="00DD211D" w:rsidRPr="00361513">
        <w:rPr>
          <w:rStyle w:val="Refdenotaalpie"/>
          <w:rFonts w:ascii="Garamond" w:hAnsi="Garamond" w:cs="Arial"/>
          <w:sz w:val="22"/>
          <w:szCs w:val="22"/>
          <w:lang w:val="es-MX"/>
        </w:rPr>
        <w:footnoteReference w:id="20"/>
      </w:r>
      <w:r w:rsidRPr="00361513">
        <w:rPr>
          <w:rFonts w:ascii="Garamond" w:hAnsi="Garamond" w:cs="Arial"/>
          <w:sz w:val="22"/>
          <w:szCs w:val="22"/>
          <w:lang w:val="es-MX"/>
        </w:rPr>
        <w:t>, el petróleo crudo representó el 61,4</w:t>
      </w:r>
      <w:r w:rsidR="00DD211D" w:rsidRPr="00361513">
        <w:rPr>
          <w:rFonts w:ascii="Garamond" w:hAnsi="Garamond" w:cs="Arial"/>
          <w:sz w:val="22"/>
          <w:szCs w:val="22"/>
          <w:lang w:val="es-MX"/>
        </w:rPr>
        <w:t> </w:t>
      </w:r>
      <w:r w:rsidRPr="00361513">
        <w:rPr>
          <w:rFonts w:ascii="Garamond" w:hAnsi="Garamond" w:cs="Arial"/>
          <w:sz w:val="22"/>
          <w:szCs w:val="22"/>
          <w:lang w:val="es-MX"/>
        </w:rPr>
        <w:t>% del valor exportado en 2020. Combinado con el petróleo refinado, la industria representó al menos el 75</w:t>
      </w:r>
      <w:r w:rsidR="00DD211D" w:rsidRPr="00361513">
        <w:rPr>
          <w:rFonts w:ascii="Garamond" w:hAnsi="Garamond" w:cs="Arial"/>
          <w:sz w:val="22"/>
          <w:szCs w:val="22"/>
          <w:lang w:val="es-MX"/>
        </w:rPr>
        <w:t> </w:t>
      </w:r>
      <w:r w:rsidRPr="00361513">
        <w:rPr>
          <w:rFonts w:ascii="Garamond" w:hAnsi="Garamond" w:cs="Arial"/>
          <w:sz w:val="22"/>
          <w:szCs w:val="22"/>
          <w:lang w:val="es-MX"/>
        </w:rPr>
        <w:t xml:space="preserve">% de las exportaciones venezolanas durante la última década, lo cual coincide con el peso reportado por de </w:t>
      </w:r>
      <w:proofErr w:type="spellStart"/>
      <w:r w:rsidRPr="00361513">
        <w:rPr>
          <w:rFonts w:ascii="Garamond" w:hAnsi="Garamond" w:cs="Arial"/>
          <w:sz w:val="22"/>
          <w:szCs w:val="22"/>
          <w:lang w:val="es-MX"/>
        </w:rPr>
        <w:t>Krivoy</w:t>
      </w:r>
      <w:proofErr w:type="spellEnd"/>
      <w:r w:rsidRPr="00361513">
        <w:rPr>
          <w:rFonts w:ascii="Garamond" w:hAnsi="Garamond" w:cs="Arial"/>
          <w:sz w:val="22"/>
          <w:szCs w:val="22"/>
          <w:lang w:val="es-MX"/>
        </w:rPr>
        <w:t xml:space="preserve"> para el 2001, por lo cual las exportaciones han estado y siguen fuertemente atadas al sector petrolero. Según otro informe del Banco Mundial (2021), las rentas del petróleo representaron el 22,2</w:t>
      </w:r>
      <w:r w:rsidR="00303523" w:rsidRPr="00361513">
        <w:rPr>
          <w:rFonts w:ascii="Garamond" w:hAnsi="Garamond" w:cs="Arial"/>
          <w:sz w:val="22"/>
          <w:szCs w:val="22"/>
          <w:lang w:val="es-MX"/>
        </w:rPr>
        <w:t> </w:t>
      </w:r>
      <w:r w:rsidRPr="00361513">
        <w:rPr>
          <w:rFonts w:ascii="Garamond" w:hAnsi="Garamond" w:cs="Arial"/>
          <w:sz w:val="22"/>
          <w:szCs w:val="22"/>
          <w:lang w:val="es-MX"/>
        </w:rPr>
        <w:t>% del PIB en 2020, lo que indica que el petróleo es la principal fuente de ingresos para el país, tal cual como lo fue en el 2001 cuando su peso era de aproximadamente el 25</w:t>
      </w:r>
      <w:r w:rsidR="00303523" w:rsidRPr="00361513">
        <w:rPr>
          <w:rFonts w:ascii="Garamond" w:hAnsi="Garamond" w:cs="Arial"/>
          <w:sz w:val="22"/>
          <w:szCs w:val="22"/>
          <w:lang w:val="es-MX"/>
        </w:rPr>
        <w:t> </w:t>
      </w:r>
      <w:r w:rsidRPr="00361513">
        <w:rPr>
          <w:rFonts w:ascii="Garamond" w:hAnsi="Garamond" w:cs="Arial"/>
          <w:sz w:val="22"/>
          <w:szCs w:val="22"/>
          <w:lang w:val="es-MX"/>
        </w:rPr>
        <w:t>% del PIB. En definitiva, lo que ha cambiado durante estos últimos 20 años es el nivel de producción y no el protagonismo del petróleo en las cuentas públicas nacionales; hay cierta proporcionalidad en una economía que ahora es mucho más pequeña y muy poco diversificada, esto último una constante del pasado.</w:t>
      </w:r>
    </w:p>
    <w:p w14:paraId="445E636A" w14:textId="08674C62"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Para cerrar el tema de la realidad actual, habría que recordar que, apartando las expectativas económicas moderadamente positivas para el país en el mediano plazo, Venezuela pasó por una gran crisis económica que se agudizó con la pandemia de</w:t>
      </w:r>
      <w:r w:rsidR="0003342F" w:rsidRPr="00361513">
        <w:rPr>
          <w:rFonts w:ascii="Garamond" w:hAnsi="Garamond" w:cs="Arial"/>
          <w:sz w:val="22"/>
          <w:szCs w:val="22"/>
          <w:lang w:val="es-MX"/>
        </w:rPr>
        <w:t xml:space="preserve"> </w:t>
      </w:r>
      <w:r w:rsidRPr="00361513">
        <w:rPr>
          <w:rFonts w:ascii="Garamond" w:hAnsi="Garamond" w:cs="Arial"/>
          <w:sz w:val="22"/>
          <w:szCs w:val="22"/>
          <w:lang w:val="es-MX"/>
        </w:rPr>
        <w:t>l</w:t>
      </w:r>
      <w:r w:rsidR="0003342F" w:rsidRPr="00361513">
        <w:rPr>
          <w:rFonts w:ascii="Garamond" w:hAnsi="Garamond" w:cs="Arial"/>
          <w:sz w:val="22"/>
          <w:szCs w:val="22"/>
          <w:lang w:val="es-MX"/>
        </w:rPr>
        <w:t>a</w:t>
      </w:r>
      <w:r w:rsidRPr="00361513">
        <w:rPr>
          <w:rFonts w:ascii="Garamond" w:hAnsi="Garamond" w:cs="Arial"/>
          <w:sz w:val="22"/>
          <w:szCs w:val="22"/>
          <w:lang w:val="es-MX"/>
        </w:rPr>
        <w:t xml:space="preserve"> COVID-19. Según el GEM, que significa Global </w:t>
      </w:r>
      <w:proofErr w:type="spellStart"/>
      <w:r w:rsidRPr="00361513">
        <w:rPr>
          <w:rFonts w:ascii="Garamond" w:hAnsi="Garamond" w:cs="Arial"/>
          <w:sz w:val="22"/>
          <w:szCs w:val="22"/>
          <w:lang w:val="es-MX"/>
        </w:rPr>
        <w:t>Entrepreneurship</w:t>
      </w:r>
      <w:proofErr w:type="spellEnd"/>
      <w:r w:rsidRPr="00361513">
        <w:rPr>
          <w:rFonts w:ascii="Garamond" w:hAnsi="Garamond" w:cs="Arial"/>
          <w:sz w:val="22"/>
          <w:szCs w:val="22"/>
          <w:lang w:val="es-MX"/>
        </w:rPr>
        <w:t xml:space="preserve"> Monitor, que en español se traduce como Monitor Global de Emprendimiento, el cual es el más prestigioso y extenso estudio sobre el estado del emprendimiento a nivel mundial, aún hay secuelas importantes. En el más reciente informe señala que </w:t>
      </w:r>
      <w:r w:rsidR="005A5233" w:rsidRPr="00361513">
        <w:rPr>
          <w:rFonts w:ascii="Garamond" w:hAnsi="Garamond" w:cs="Arial"/>
          <w:sz w:val="22"/>
          <w:szCs w:val="22"/>
          <w:lang w:val="es-MX"/>
        </w:rPr>
        <w:t>«l</w:t>
      </w:r>
      <w:r w:rsidRPr="00361513">
        <w:rPr>
          <w:rFonts w:ascii="Garamond" w:hAnsi="Garamond" w:cs="Arial"/>
          <w:sz w:val="22"/>
          <w:szCs w:val="22"/>
          <w:lang w:val="es-MX"/>
        </w:rPr>
        <w:t>a pandemia afectó más a quienes menos podían permitírselo</w:t>
      </w:r>
      <w:r w:rsidR="005A5233" w:rsidRPr="00361513">
        <w:rPr>
          <w:rFonts w:ascii="Garamond" w:hAnsi="Garamond" w:cs="Arial"/>
          <w:sz w:val="22"/>
          <w:szCs w:val="22"/>
          <w:lang w:val="es-MX"/>
        </w:rPr>
        <w:t>»</w:t>
      </w:r>
      <w:r w:rsidRPr="00361513">
        <w:rPr>
          <w:rFonts w:ascii="Garamond" w:hAnsi="Garamond" w:cs="Arial"/>
          <w:sz w:val="22"/>
          <w:szCs w:val="22"/>
          <w:lang w:val="es-MX"/>
        </w:rPr>
        <w:t>, afirmación con base al porcentaje de adultos que declararon que la pandemia había reducido los ingresos de su hogar (</w:t>
      </w:r>
      <w:r w:rsidR="005A5233" w:rsidRPr="00361513">
        <w:rPr>
          <w:rFonts w:ascii="Garamond" w:hAnsi="Garamond" w:cs="Arial"/>
          <w:sz w:val="22"/>
          <w:szCs w:val="22"/>
          <w:lang w:val="es-MX"/>
        </w:rPr>
        <w:t>F</w:t>
      </w:r>
      <w:r w:rsidRPr="00361513">
        <w:rPr>
          <w:rFonts w:ascii="Garamond" w:hAnsi="Garamond" w:cs="Arial"/>
          <w:sz w:val="22"/>
          <w:szCs w:val="22"/>
          <w:lang w:val="es-MX"/>
        </w:rPr>
        <w:t>igura 16</w:t>
      </w:r>
      <w:r w:rsidR="005A5233" w:rsidRPr="00361513">
        <w:rPr>
          <w:rStyle w:val="Refdenotaalpie"/>
          <w:rFonts w:ascii="Garamond" w:hAnsi="Garamond" w:cs="Arial"/>
          <w:sz w:val="22"/>
          <w:szCs w:val="22"/>
          <w:lang w:val="es-MX"/>
        </w:rPr>
        <w:footnoteReference w:id="21"/>
      </w:r>
      <w:r w:rsidRPr="00361513">
        <w:rPr>
          <w:rFonts w:ascii="Garamond" w:hAnsi="Garamond" w:cs="Arial"/>
          <w:sz w:val="22"/>
          <w:szCs w:val="22"/>
          <w:lang w:val="es-MX"/>
        </w:rPr>
        <w:t>). En Venezuela, casi 8 de cada 10 afirmó tal situación.</w:t>
      </w:r>
    </w:p>
    <w:p w14:paraId="7418A5EF" w14:textId="7E0E4B8C"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Pese a lo anterior, es interesante que, en la misma medición, casi el 30</w:t>
      </w:r>
      <w:r w:rsidR="005A5233" w:rsidRPr="00361513">
        <w:rPr>
          <w:rFonts w:ascii="Garamond" w:hAnsi="Garamond" w:cs="Arial"/>
          <w:sz w:val="22"/>
          <w:szCs w:val="22"/>
          <w:lang w:val="es-MX"/>
        </w:rPr>
        <w:t> </w:t>
      </w:r>
      <w:r w:rsidRPr="00361513">
        <w:rPr>
          <w:rFonts w:ascii="Garamond" w:hAnsi="Garamond" w:cs="Arial"/>
          <w:sz w:val="22"/>
          <w:szCs w:val="22"/>
          <w:lang w:val="es-MX"/>
        </w:rPr>
        <w:t>% de los consultados expresó que pensaba iniciar un negocio propio en los próximos tres años (</w:t>
      </w:r>
      <w:r w:rsidR="005A5233" w:rsidRPr="00361513">
        <w:rPr>
          <w:rFonts w:ascii="Garamond" w:hAnsi="Garamond" w:cs="Arial"/>
          <w:sz w:val="22"/>
          <w:szCs w:val="22"/>
          <w:lang w:val="es-MX"/>
        </w:rPr>
        <w:t>F</w:t>
      </w:r>
      <w:r w:rsidRPr="00361513">
        <w:rPr>
          <w:rFonts w:ascii="Garamond" w:hAnsi="Garamond" w:cs="Arial"/>
          <w:sz w:val="22"/>
          <w:szCs w:val="22"/>
          <w:lang w:val="es-MX"/>
        </w:rPr>
        <w:t>igura 17</w:t>
      </w:r>
      <w:r w:rsidR="005A5233" w:rsidRPr="00361513">
        <w:rPr>
          <w:rStyle w:val="Refdenotaalpie"/>
          <w:rFonts w:ascii="Garamond" w:hAnsi="Garamond" w:cs="Arial"/>
          <w:sz w:val="22"/>
          <w:szCs w:val="22"/>
          <w:lang w:val="es-MX"/>
        </w:rPr>
        <w:footnoteReference w:id="22"/>
      </w:r>
      <w:r w:rsidRPr="00361513">
        <w:rPr>
          <w:rFonts w:ascii="Garamond" w:hAnsi="Garamond" w:cs="Arial"/>
          <w:sz w:val="22"/>
          <w:szCs w:val="22"/>
          <w:lang w:val="es-MX"/>
        </w:rPr>
        <w:t>).</w:t>
      </w:r>
    </w:p>
    <w:p w14:paraId="70A2A627" w14:textId="54AA7681"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Parte del análisis anterior pareciera proyectar un clima más favorable para emprendimientos relativamente básicos y fáciles de arrancar a nivel de recursos, no así una franquicia en términos tradicionales (</w:t>
      </w:r>
      <w:proofErr w:type="spellStart"/>
      <w:r w:rsidRPr="00361513">
        <w:rPr>
          <w:rFonts w:ascii="Garamond" w:hAnsi="Garamond" w:cs="Arial"/>
          <w:i/>
          <w:iCs/>
          <w:sz w:val="22"/>
          <w:szCs w:val="22"/>
          <w:lang w:val="es-MX"/>
        </w:rPr>
        <w:t>initial</w:t>
      </w:r>
      <w:proofErr w:type="spellEnd"/>
      <w:r w:rsidRPr="00361513">
        <w:rPr>
          <w:rFonts w:ascii="Garamond" w:hAnsi="Garamond" w:cs="Arial"/>
          <w:i/>
          <w:iCs/>
          <w:sz w:val="22"/>
          <w:szCs w:val="22"/>
          <w:lang w:val="es-MX"/>
        </w:rPr>
        <w:t xml:space="preserve"> </w:t>
      </w:r>
      <w:proofErr w:type="spellStart"/>
      <w:r w:rsidRPr="00361513">
        <w:rPr>
          <w:rFonts w:ascii="Garamond" w:hAnsi="Garamond" w:cs="Arial"/>
          <w:i/>
          <w:iCs/>
          <w:sz w:val="22"/>
          <w:szCs w:val="22"/>
          <w:lang w:val="es-MX"/>
        </w:rPr>
        <w:t>franchise</w:t>
      </w:r>
      <w:proofErr w:type="spellEnd"/>
      <w:r w:rsidRPr="00361513">
        <w:rPr>
          <w:rFonts w:ascii="Garamond" w:hAnsi="Garamond" w:cs="Arial"/>
          <w:i/>
          <w:iCs/>
          <w:sz w:val="22"/>
          <w:szCs w:val="22"/>
          <w:lang w:val="es-MX"/>
        </w:rPr>
        <w:t xml:space="preserve"> fee</w:t>
      </w:r>
      <w:r w:rsidRPr="00361513">
        <w:rPr>
          <w:rFonts w:ascii="Garamond" w:hAnsi="Garamond" w:cs="Arial"/>
          <w:sz w:val="22"/>
          <w:szCs w:val="22"/>
          <w:lang w:val="es-MX"/>
        </w:rPr>
        <w:t xml:space="preserve">, etc.). Por ejemplo, en este orden de ideas, el Banco de Venezuela, el banco más grande del </w:t>
      </w:r>
      <w:r w:rsidR="00EA6AA4" w:rsidRPr="00361513">
        <w:rPr>
          <w:rFonts w:ascii="Garamond" w:hAnsi="Garamond" w:cs="Arial"/>
          <w:sz w:val="22"/>
          <w:szCs w:val="22"/>
          <w:lang w:val="es-MX"/>
        </w:rPr>
        <w:t>país</w:t>
      </w:r>
      <w:r w:rsidRPr="00361513">
        <w:rPr>
          <w:rFonts w:ascii="Garamond" w:hAnsi="Garamond" w:cs="Arial"/>
          <w:sz w:val="22"/>
          <w:szCs w:val="22"/>
          <w:lang w:val="es-MX"/>
        </w:rPr>
        <w:t xml:space="preserve"> tiene un producto llamado </w:t>
      </w:r>
      <w:proofErr w:type="spellStart"/>
      <w:r w:rsidRPr="00361513">
        <w:rPr>
          <w:rFonts w:ascii="Garamond" w:hAnsi="Garamond" w:cs="Arial"/>
          <w:sz w:val="22"/>
          <w:szCs w:val="22"/>
          <w:lang w:val="es-MX"/>
        </w:rPr>
        <w:t>CrediEmprendeBDV</w:t>
      </w:r>
      <w:proofErr w:type="spellEnd"/>
      <w:r w:rsidRPr="00361513">
        <w:rPr>
          <w:rFonts w:ascii="Garamond" w:hAnsi="Garamond" w:cs="Arial"/>
          <w:sz w:val="22"/>
          <w:szCs w:val="22"/>
          <w:lang w:val="es-MX"/>
        </w:rPr>
        <w:t xml:space="preserve"> implementado para apoyar estas iniciativas. En su portal web se lee que es un producto diseñado para el financiamiento de proyectos que promuevan el crecimiento del sector emprendedor, con la finalidad de impulsar la diversificación de la producción de bienes y servicios, el despliegue de innovaciones y su incorporación al desarrollo económico y social de la </w:t>
      </w:r>
      <w:r w:rsidR="00EA6AA4" w:rsidRPr="00361513">
        <w:rPr>
          <w:rFonts w:ascii="Garamond" w:hAnsi="Garamond" w:cs="Arial"/>
          <w:sz w:val="22"/>
          <w:szCs w:val="22"/>
          <w:lang w:val="es-MX"/>
        </w:rPr>
        <w:t>n</w:t>
      </w:r>
      <w:r w:rsidRPr="00361513">
        <w:rPr>
          <w:rFonts w:ascii="Garamond" w:hAnsi="Garamond" w:cs="Arial"/>
          <w:sz w:val="22"/>
          <w:szCs w:val="22"/>
          <w:lang w:val="es-MX"/>
        </w:rPr>
        <w:t>ación</w:t>
      </w:r>
      <w:r w:rsidR="00F13D2B" w:rsidRPr="00361513">
        <w:rPr>
          <w:rStyle w:val="Refdenotaalpie"/>
          <w:rFonts w:ascii="Garamond" w:hAnsi="Garamond" w:cs="Arial"/>
          <w:sz w:val="22"/>
          <w:szCs w:val="22"/>
          <w:lang w:val="es-MX"/>
        </w:rPr>
        <w:footnoteReference w:id="23"/>
      </w:r>
      <w:r w:rsidRPr="00361513">
        <w:rPr>
          <w:rFonts w:ascii="Garamond" w:hAnsi="Garamond" w:cs="Arial"/>
          <w:sz w:val="22"/>
          <w:szCs w:val="22"/>
          <w:lang w:val="es-MX"/>
        </w:rPr>
        <w:t>.</w:t>
      </w:r>
    </w:p>
    <w:p w14:paraId="1E99AF06"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CEDICE, que es El Centro de Divulgación del Conocimiento Económico, en un artículo colgado en su portal web y titulado Situación del emprendimiento en Venezuela y el gasto público, comenta el transcurrir sector emprendedor desde las cooperativas hasta el estado actual de mucho perfil tecnológico:</w:t>
      </w:r>
    </w:p>
    <w:p w14:paraId="08DC4AA1" w14:textId="16266F82" w:rsidR="00AE4220" w:rsidRPr="003E19EB" w:rsidRDefault="00AE4220" w:rsidP="00AE4220">
      <w:pPr>
        <w:pStyle w:val="Tindependiente-Profesional"/>
        <w:spacing w:line="240" w:lineRule="auto"/>
        <w:ind w:left="709"/>
        <w:jc w:val="both"/>
        <w:rPr>
          <w:rFonts w:ascii="Garamond" w:hAnsi="Garamond" w:cs="Arial"/>
          <w:lang w:val="es-ES"/>
        </w:rPr>
      </w:pPr>
      <w:r w:rsidRPr="003E19EB">
        <w:rPr>
          <w:rFonts w:ascii="Garamond" w:hAnsi="Garamond" w:cs="Arial"/>
          <w:lang w:val="es-ES"/>
        </w:rPr>
        <w:lastRenderedPageBreak/>
        <w:t>Se estima que el ecosistema emprendedor en la economía venezolana inició en los años sesenta con las</w:t>
      </w:r>
      <w:r w:rsidR="00F13D2B" w:rsidRPr="003E19EB">
        <w:rPr>
          <w:rFonts w:ascii="Garamond" w:hAnsi="Garamond" w:cs="Arial"/>
          <w:lang w:val="es-ES"/>
        </w:rPr>
        <w:t xml:space="preserve"> «</w:t>
      </w:r>
      <w:r w:rsidRPr="003E19EB">
        <w:rPr>
          <w:rFonts w:ascii="Garamond" w:hAnsi="Garamond" w:cs="Arial"/>
          <w:lang w:val="es-ES"/>
        </w:rPr>
        <w:t>cooperativas</w:t>
      </w:r>
      <w:r w:rsidR="00F13D2B" w:rsidRPr="003E19EB">
        <w:rPr>
          <w:rFonts w:ascii="Garamond" w:hAnsi="Garamond" w:cs="Arial"/>
          <w:lang w:val="es-ES"/>
        </w:rPr>
        <w:t>»</w:t>
      </w:r>
      <w:r w:rsidRPr="003E19EB">
        <w:rPr>
          <w:rFonts w:ascii="Garamond" w:hAnsi="Garamond" w:cs="Arial"/>
          <w:lang w:val="es-ES"/>
        </w:rPr>
        <w:t xml:space="preserve">, siguió en los setenta con la </w:t>
      </w:r>
      <w:r w:rsidR="00F13D2B" w:rsidRPr="003E19EB">
        <w:rPr>
          <w:rFonts w:ascii="Garamond" w:hAnsi="Garamond" w:cs="Arial"/>
          <w:lang w:val="es-ES"/>
        </w:rPr>
        <w:t>«</w:t>
      </w:r>
      <w:r w:rsidRPr="003E19EB">
        <w:rPr>
          <w:rFonts w:ascii="Garamond" w:hAnsi="Garamond" w:cs="Arial"/>
          <w:lang w:val="es-ES"/>
        </w:rPr>
        <w:t>economía solidaria</w:t>
      </w:r>
      <w:r w:rsidR="00F13D2B" w:rsidRPr="003E19EB">
        <w:rPr>
          <w:rFonts w:ascii="Garamond" w:hAnsi="Garamond" w:cs="Arial"/>
          <w:lang w:val="es-ES"/>
        </w:rPr>
        <w:t>»</w:t>
      </w:r>
      <w:r w:rsidRPr="003E19EB">
        <w:rPr>
          <w:rFonts w:ascii="Garamond" w:hAnsi="Garamond" w:cs="Arial"/>
          <w:lang w:val="es-ES"/>
        </w:rPr>
        <w:t xml:space="preserve">, y continuó durante los años ochenta y noventa con el emprendimiento </w:t>
      </w:r>
      <w:r w:rsidR="00F13D2B" w:rsidRPr="003E19EB">
        <w:rPr>
          <w:rFonts w:ascii="Garamond" w:hAnsi="Garamond" w:cs="Arial"/>
          <w:lang w:val="es-ES"/>
        </w:rPr>
        <w:t>«</w:t>
      </w:r>
      <w:r w:rsidRPr="003E19EB">
        <w:rPr>
          <w:rFonts w:ascii="Garamond" w:hAnsi="Garamond" w:cs="Arial"/>
          <w:lang w:val="es-ES"/>
        </w:rPr>
        <w:t>social</w:t>
      </w:r>
      <w:r w:rsidR="00F13D2B" w:rsidRPr="003E19EB">
        <w:rPr>
          <w:rFonts w:ascii="Garamond" w:hAnsi="Garamond" w:cs="Arial"/>
          <w:lang w:val="es-ES"/>
        </w:rPr>
        <w:t>»</w:t>
      </w:r>
      <w:r w:rsidRPr="003E19EB">
        <w:rPr>
          <w:rFonts w:ascii="Garamond" w:hAnsi="Garamond" w:cs="Arial"/>
          <w:lang w:val="es-ES"/>
        </w:rPr>
        <w:t xml:space="preserve"> y </w:t>
      </w:r>
      <w:r w:rsidR="00F13D2B" w:rsidRPr="003E19EB">
        <w:rPr>
          <w:rFonts w:ascii="Garamond" w:hAnsi="Garamond" w:cs="Arial"/>
          <w:lang w:val="es-ES"/>
        </w:rPr>
        <w:t>«</w:t>
      </w:r>
      <w:r w:rsidRPr="003E19EB">
        <w:rPr>
          <w:rFonts w:ascii="Garamond" w:hAnsi="Garamond" w:cs="Arial"/>
          <w:lang w:val="es-ES"/>
        </w:rPr>
        <w:t>de base tecnológica</w:t>
      </w:r>
      <w:r w:rsidR="00F13D2B" w:rsidRPr="003E19EB">
        <w:rPr>
          <w:rFonts w:ascii="Garamond" w:hAnsi="Garamond" w:cs="Arial"/>
          <w:lang w:val="es-ES"/>
        </w:rPr>
        <w:t>»</w:t>
      </w:r>
      <w:r w:rsidRPr="003E19EB">
        <w:rPr>
          <w:rFonts w:ascii="Garamond" w:hAnsi="Garamond" w:cs="Arial"/>
          <w:lang w:val="es-ES"/>
        </w:rPr>
        <w:t xml:space="preserve"> que, si bien responden a diversas motivaciones y circunstancias, coexistieron.</w:t>
      </w:r>
    </w:p>
    <w:p w14:paraId="0627C6FA" w14:textId="5EE62217" w:rsidR="00AE4220" w:rsidRPr="003E19EB" w:rsidRDefault="00AE4220" w:rsidP="00AE4220">
      <w:pPr>
        <w:pStyle w:val="Tindependiente-Profesional"/>
        <w:spacing w:after="240" w:line="240" w:lineRule="auto"/>
        <w:ind w:left="709"/>
        <w:jc w:val="both"/>
        <w:rPr>
          <w:rFonts w:ascii="Garamond" w:hAnsi="Garamond" w:cs="Arial"/>
          <w:lang w:val="es-ES"/>
        </w:rPr>
      </w:pPr>
      <w:r w:rsidRPr="003E19EB">
        <w:rPr>
          <w:rFonts w:ascii="Garamond" w:hAnsi="Garamond" w:cs="Arial"/>
          <w:lang w:val="es-ES"/>
        </w:rPr>
        <w:t>Un emprendedor es aquel que sabe reconocer una oportunidad de negocio, ante un vacío o necesidad en el mercado, y que aspira voluntariamente dar una solución innovadora e ingeniosa, creando un bien con valor agregado, en aras de generar un impacto positivo en la dinámica social, ulterior al económico y a su lucro personal. Siendo la innovación responsable de motorizar los cambios disruptivos en los ciclos económicos que, con la ayuda del mercado y la competencia, producen cambios en los paradigmas tecno-económicos (Levy-</w:t>
      </w:r>
      <w:proofErr w:type="spellStart"/>
      <w:r w:rsidRPr="003E19EB">
        <w:rPr>
          <w:rFonts w:ascii="Garamond" w:hAnsi="Garamond" w:cs="Arial"/>
          <w:lang w:val="es-ES"/>
        </w:rPr>
        <w:t>Carciente</w:t>
      </w:r>
      <w:proofErr w:type="spellEnd"/>
      <w:r w:rsidRPr="003E19EB">
        <w:rPr>
          <w:rFonts w:ascii="Garamond" w:hAnsi="Garamond" w:cs="Arial"/>
          <w:lang w:val="es-ES"/>
        </w:rPr>
        <w:t xml:space="preserve">, 2017). </w:t>
      </w:r>
      <w:r w:rsidR="00F13D2B" w:rsidRPr="003E19EB">
        <w:rPr>
          <w:rFonts w:ascii="Garamond" w:hAnsi="Garamond" w:cs="Arial"/>
          <w:lang w:val="es-ES"/>
        </w:rPr>
        <w:t>(</w:t>
      </w:r>
      <w:r w:rsidRPr="003E19EB">
        <w:rPr>
          <w:rFonts w:ascii="Garamond" w:hAnsi="Garamond" w:cs="Arial"/>
          <w:lang w:val="es-ES"/>
        </w:rPr>
        <w:t>CEDICE</w:t>
      </w:r>
      <w:r w:rsidR="00F13D2B" w:rsidRPr="003E19EB">
        <w:rPr>
          <w:rFonts w:ascii="Garamond" w:hAnsi="Garamond" w:cs="Arial"/>
          <w:lang w:val="es-ES"/>
        </w:rPr>
        <w:t xml:space="preserve">, </w:t>
      </w:r>
      <w:r w:rsidRPr="003E19EB">
        <w:rPr>
          <w:rFonts w:ascii="Garamond" w:hAnsi="Garamond" w:cs="Arial"/>
          <w:lang w:val="es-ES"/>
        </w:rPr>
        <w:t>2022).</w:t>
      </w:r>
    </w:p>
    <w:p w14:paraId="3F09190C" w14:textId="20A54689"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Se debe acotar, que no se trata de plantear que es mejor a nivel de inversión, si un modelo de franquicia o un emprendimiento convencional (</w:t>
      </w:r>
      <w:proofErr w:type="gramStart"/>
      <w:r w:rsidRPr="00361513">
        <w:rPr>
          <w:rFonts w:ascii="Garamond" w:hAnsi="Garamond" w:cs="Arial"/>
          <w:i/>
          <w:iCs/>
          <w:sz w:val="22"/>
          <w:szCs w:val="22"/>
          <w:lang w:val="es-MX"/>
        </w:rPr>
        <w:t>star</w:t>
      </w:r>
      <w:r w:rsidR="00F13D2B" w:rsidRPr="00361513">
        <w:rPr>
          <w:rFonts w:ascii="Garamond" w:hAnsi="Garamond" w:cs="Arial"/>
          <w:i/>
          <w:iCs/>
          <w:sz w:val="22"/>
          <w:szCs w:val="22"/>
          <w:lang w:val="es-MX"/>
        </w:rPr>
        <w:t>t</w:t>
      </w:r>
      <w:r w:rsidRPr="00361513">
        <w:rPr>
          <w:rFonts w:ascii="Garamond" w:hAnsi="Garamond" w:cs="Arial"/>
          <w:i/>
          <w:iCs/>
          <w:sz w:val="22"/>
          <w:szCs w:val="22"/>
          <w:lang w:val="es-MX"/>
        </w:rPr>
        <w:t>up</w:t>
      </w:r>
      <w:proofErr w:type="gramEnd"/>
      <w:r w:rsidRPr="00361513">
        <w:rPr>
          <w:rFonts w:ascii="Garamond" w:hAnsi="Garamond" w:cs="Arial"/>
          <w:sz w:val="22"/>
          <w:szCs w:val="22"/>
          <w:lang w:val="es-MX"/>
        </w:rPr>
        <w:t xml:space="preserve">). Hay </w:t>
      </w:r>
      <w:r w:rsidR="00F13D2B" w:rsidRPr="00361513">
        <w:rPr>
          <w:rFonts w:ascii="Garamond" w:hAnsi="Garamond" w:cs="Arial"/>
          <w:sz w:val="22"/>
          <w:szCs w:val="22"/>
          <w:lang w:val="es-MX"/>
        </w:rPr>
        <w:t>beneficios</w:t>
      </w:r>
      <w:r w:rsidRPr="00361513">
        <w:rPr>
          <w:rFonts w:ascii="Garamond" w:hAnsi="Garamond" w:cs="Arial"/>
          <w:sz w:val="22"/>
          <w:szCs w:val="22"/>
          <w:lang w:val="es-MX"/>
        </w:rPr>
        <w:t xml:space="preserve"> y contras en ambas variantes. En Venezuela, la gran recesión económica que se ha mantenido por años creó barreras naturales a los niveles de inversión, que en promedio podrían ser mayores en el caso de afrontar una franquicia. La venezolana ahora es una economía muy pequeña en etapa de reconstrucción si se quiere decir de esta forma.</w:t>
      </w:r>
    </w:p>
    <w:p w14:paraId="5B12ABFD"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Linares (2023) recoge las dificultades, que no son pocas:</w:t>
      </w:r>
    </w:p>
    <w:p w14:paraId="765CDF73" w14:textId="77777777" w:rsidR="00AE4220" w:rsidRPr="003E19EB" w:rsidRDefault="00AE4220" w:rsidP="00AE4220">
      <w:pPr>
        <w:pStyle w:val="Tindependiente-Profesional"/>
        <w:spacing w:after="240" w:line="240" w:lineRule="auto"/>
        <w:ind w:left="709"/>
        <w:jc w:val="both"/>
        <w:rPr>
          <w:rFonts w:ascii="Garamond" w:hAnsi="Garamond" w:cs="Arial"/>
          <w:lang w:val="es-ES"/>
        </w:rPr>
      </w:pPr>
      <w:r w:rsidRPr="003E19EB">
        <w:rPr>
          <w:rFonts w:ascii="Garamond" w:hAnsi="Garamond" w:cs="Arial"/>
          <w:lang w:val="es-ES"/>
        </w:rPr>
        <w:t>En un entorno hostil, signado por la crisis económica, la ausencia de políticas públicas favorables a su iniciativa y las dificultades para acceder a financiamiento, el venezolano se lanza al emprendimiento ante la falta de oportunidades laborales, en un mercado que tiende a la informalidad.</w:t>
      </w:r>
    </w:p>
    <w:p w14:paraId="51502295"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CEDICE (2022) refiere otros elementos que son desafiantes:</w:t>
      </w:r>
    </w:p>
    <w:p w14:paraId="0A4BA02C" w14:textId="729F12EC" w:rsidR="00AE4220" w:rsidRPr="003E19EB" w:rsidRDefault="00AE4220" w:rsidP="00AE4220">
      <w:pPr>
        <w:pStyle w:val="Tindependiente-Profesional"/>
        <w:spacing w:after="240" w:line="240" w:lineRule="auto"/>
        <w:ind w:left="709"/>
        <w:jc w:val="both"/>
        <w:rPr>
          <w:rFonts w:ascii="Garamond" w:hAnsi="Garamond" w:cs="Arial"/>
          <w:lang w:val="es-ES"/>
        </w:rPr>
      </w:pPr>
      <w:r w:rsidRPr="003E19EB">
        <w:rPr>
          <w:rFonts w:ascii="Garamond" w:hAnsi="Garamond" w:cs="Arial"/>
          <w:lang w:val="es-ES"/>
        </w:rPr>
        <w:t xml:space="preserve">La baja tasa del índice de empresas establecidas como proporción de la actividad emprendedora temprana, evidencia la </w:t>
      </w:r>
      <w:r w:rsidR="00F13D2B" w:rsidRPr="003E19EB">
        <w:rPr>
          <w:rFonts w:ascii="Garamond" w:hAnsi="Garamond" w:cs="Arial"/>
          <w:lang w:val="es-ES"/>
        </w:rPr>
        <w:t>«</w:t>
      </w:r>
      <w:r w:rsidRPr="003E19EB">
        <w:rPr>
          <w:rFonts w:ascii="Garamond" w:hAnsi="Garamond" w:cs="Arial"/>
          <w:lang w:val="es-ES"/>
        </w:rPr>
        <w:t>mortalidad infantil empresarial</w:t>
      </w:r>
      <w:r w:rsidR="00F13D2B" w:rsidRPr="003E19EB">
        <w:rPr>
          <w:rFonts w:ascii="Garamond" w:hAnsi="Garamond" w:cs="Arial"/>
          <w:lang w:val="es-ES"/>
        </w:rPr>
        <w:t>»</w:t>
      </w:r>
      <w:r w:rsidRPr="003E19EB">
        <w:rPr>
          <w:rFonts w:ascii="Garamond" w:hAnsi="Garamond" w:cs="Arial"/>
          <w:lang w:val="es-ES"/>
        </w:rPr>
        <w:t>, o en otras palabras la falta de sostenibilidad en el tiempo de las empresas, como consecuencia de una inadecuada formación empresarial y a políticas regulatorias y coactivas, que afectan la actividad empresarial, prevaleciendo entre las instituciones financieras y la sociedad civil (o iniciativa privada).</w:t>
      </w:r>
    </w:p>
    <w:p w14:paraId="124C7CFF" w14:textId="3E8856EA"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Un estudio de la UCAB y el Instituto de Estudios Superiores en Administración (</w:t>
      </w:r>
      <w:proofErr w:type="spellStart"/>
      <w:r w:rsidRPr="00361513">
        <w:rPr>
          <w:rFonts w:ascii="Garamond" w:hAnsi="Garamond" w:cs="Arial"/>
          <w:sz w:val="22"/>
          <w:szCs w:val="22"/>
          <w:lang w:val="es-MX"/>
        </w:rPr>
        <w:t>IESA</w:t>
      </w:r>
      <w:proofErr w:type="spellEnd"/>
      <w:r w:rsidRPr="00361513">
        <w:rPr>
          <w:rFonts w:ascii="Garamond" w:hAnsi="Garamond" w:cs="Arial"/>
          <w:sz w:val="22"/>
          <w:szCs w:val="22"/>
          <w:lang w:val="es-MX"/>
        </w:rPr>
        <w:t>) reveló que tres millones de venezolanos son emprendedores. Especifica que el 19</w:t>
      </w:r>
      <w:r w:rsidR="00F13D2B" w:rsidRPr="00361513">
        <w:rPr>
          <w:rFonts w:ascii="Garamond" w:hAnsi="Garamond" w:cs="Arial"/>
          <w:sz w:val="22"/>
          <w:szCs w:val="22"/>
          <w:lang w:val="es-MX"/>
        </w:rPr>
        <w:t> </w:t>
      </w:r>
      <w:r w:rsidRPr="00361513">
        <w:rPr>
          <w:rFonts w:ascii="Garamond" w:hAnsi="Garamond" w:cs="Arial"/>
          <w:sz w:val="22"/>
          <w:szCs w:val="22"/>
          <w:lang w:val="es-MX"/>
        </w:rPr>
        <w:t>% de la población adulta del país está emprendiendo en diferentes etapas. La gran mayoría (86</w:t>
      </w:r>
      <w:r w:rsidR="00F13D2B" w:rsidRPr="00361513">
        <w:rPr>
          <w:rFonts w:ascii="Garamond" w:hAnsi="Garamond" w:cs="Arial"/>
          <w:sz w:val="22"/>
          <w:szCs w:val="22"/>
          <w:lang w:val="es-MX"/>
        </w:rPr>
        <w:t> </w:t>
      </w:r>
      <w:r w:rsidRPr="00361513">
        <w:rPr>
          <w:rFonts w:ascii="Garamond" w:hAnsi="Garamond" w:cs="Arial"/>
          <w:sz w:val="22"/>
          <w:szCs w:val="22"/>
          <w:lang w:val="es-MX"/>
        </w:rPr>
        <w:t xml:space="preserve">%) posee emprendimientos en lo que se conoce como </w:t>
      </w:r>
      <w:r w:rsidR="000E1086" w:rsidRPr="00361513">
        <w:rPr>
          <w:rFonts w:ascii="Garamond" w:hAnsi="Garamond" w:cs="Arial"/>
          <w:sz w:val="22"/>
          <w:szCs w:val="22"/>
          <w:lang w:val="es-MX"/>
        </w:rPr>
        <w:t>actividad emprendedora temprana</w:t>
      </w:r>
      <w:r w:rsidRPr="00361513">
        <w:rPr>
          <w:rFonts w:ascii="Garamond" w:hAnsi="Garamond" w:cs="Arial"/>
          <w:sz w:val="22"/>
          <w:szCs w:val="22"/>
          <w:lang w:val="es-MX"/>
        </w:rPr>
        <w:t xml:space="preserve"> (</w:t>
      </w:r>
      <w:r w:rsidRPr="00361513">
        <w:rPr>
          <w:rFonts w:ascii="Garamond" w:hAnsi="Garamond" w:cs="Arial"/>
          <w:i/>
          <w:iCs/>
          <w:sz w:val="22"/>
          <w:szCs w:val="22"/>
          <w:lang w:val="es-MX"/>
        </w:rPr>
        <w:t xml:space="preserve">Total </w:t>
      </w:r>
      <w:proofErr w:type="spellStart"/>
      <w:r w:rsidRPr="00361513">
        <w:rPr>
          <w:rFonts w:ascii="Garamond" w:hAnsi="Garamond" w:cs="Arial"/>
          <w:i/>
          <w:iCs/>
          <w:sz w:val="22"/>
          <w:szCs w:val="22"/>
          <w:lang w:val="es-MX"/>
        </w:rPr>
        <w:t>Early-stage</w:t>
      </w:r>
      <w:proofErr w:type="spellEnd"/>
      <w:r w:rsidRPr="00361513">
        <w:rPr>
          <w:rFonts w:ascii="Garamond" w:hAnsi="Garamond" w:cs="Arial"/>
          <w:i/>
          <w:iCs/>
          <w:sz w:val="22"/>
          <w:szCs w:val="22"/>
          <w:lang w:val="es-MX"/>
        </w:rPr>
        <w:t xml:space="preserve"> </w:t>
      </w:r>
      <w:proofErr w:type="spellStart"/>
      <w:r w:rsidRPr="00361513">
        <w:rPr>
          <w:rFonts w:ascii="Garamond" w:hAnsi="Garamond" w:cs="Arial"/>
          <w:i/>
          <w:iCs/>
          <w:sz w:val="22"/>
          <w:szCs w:val="22"/>
          <w:lang w:val="es-MX"/>
        </w:rPr>
        <w:t>Entrepreneurial</w:t>
      </w:r>
      <w:proofErr w:type="spellEnd"/>
      <w:r w:rsidRPr="00361513">
        <w:rPr>
          <w:rFonts w:ascii="Garamond" w:hAnsi="Garamond" w:cs="Arial"/>
          <w:i/>
          <w:iCs/>
          <w:sz w:val="22"/>
          <w:szCs w:val="22"/>
          <w:lang w:val="es-MX"/>
        </w:rPr>
        <w:t xml:space="preserve"> </w:t>
      </w:r>
      <w:proofErr w:type="spellStart"/>
      <w:r w:rsidRPr="00361513">
        <w:rPr>
          <w:rFonts w:ascii="Garamond" w:hAnsi="Garamond" w:cs="Arial"/>
          <w:i/>
          <w:iCs/>
          <w:sz w:val="22"/>
          <w:szCs w:val="22"/>
          <w:lang w:val="es-MX"/>
        </w:rPr>
        <w:t>Activity</w:t>
      </w:r>
      <w:proofErr w:type="spellEnd"/>
      <w:r w:rsidR="00F13D2B" w:rsidRPr="00361513">
        <w:rPr>
          <w:rFonts w:ascii="Garamond" w:hAnsi="Garamond" w:cs="Arial"/>
          <w:sz w:val="22"/>
          <w:szCs w:val="22"/>
          <w:lang w:val="es-MX"/>
        </w:rPr>
        <w:t>, TEA</w:t>
      </w:r>
      <w:r w:rsidRPr="00361513">
        <w:rPr>
          <w:rFonts w:ascii="Garamond" w:hAnsi="Garamond" w:cs="Arial"/>
          <w:sz w:val="22"/>
          <w:szCs w:val="22"/>
          <w:lang w:val="es-MX"/>
        </w:rPr>
        <w:t>). Es decir, tienen negocios nacientes (</w:t>
      </w:r>
      <w:r w:rsidRPr="00361513">
        <w:rPr>
          <w:rFonts w:ascii="Garamond" w:hAnsi="Garamond" w:cs="Arial"/>
          <w:i/>
          <w:iCs/>
          <w:sz w:val="22"/>
          <w:szCs w:val="22"/>
          <w:lang w:val="es-MX"/>
        </w:rPr>
        <w:t>startups</w:t>
      </w:r>
      <w:r w:rsidRPr="00361513">
        <w:rPr>
          <w:rFonts w:ascii="Garamond" w:hAnsi="Garamond" w:cs="Arial"/>
          <w:sz w:val="22"/>
          <w:szCs w:val="22"/>
          <w:lang w:val="es-MX"/>
        </w:rPr>
        <w:t xml:space="preserve"> con menos de tres meses en el mercado) o negocios nuevos (con menos de 3,5 años en el mercado), y solo 14</w:t>
      </w:r>
      <w:r w:rsidR="000E1086" w:rsidRPr="00361513">
        <w:rPr>
          <w:rFonts w:ascii="Garamond" w:hAnsi="Garamond" w:cs="Arial"/>
          <w:sz w:val="22"/>
          <w:szCs w:val="22"/>
          <w:lang w:val="es-MX"/>
        </w:rPr>
        <w:t> </w:t>
      </w:r>
      <w:r w:rsidRPr="00361513">
        <w:rPr>
          <w:rFonts w:ascii="Garamond" w:hAnsi="Garamond" w:cs="Arial"/>
          <w:sz w:val="22"/>
          <w:szCs w:val="22"/>
          <w:lang w:val="es-MX"/>
        </w:rPr>
        <w:t xml:space="preserve">% posee negocios establecidos o en parte consolidados llamados </w:t>
      </w:r>
      <w:r w:rsidR="000E1086" w:rsidRPr="00361513">
        <w:rPr>
          <w:rFonts w:ascii="Garamond" w:hAnsi="Garamond" w:cs="Arial"/>
          <w:sz w:val="22"/>
          <w:szCs w:val="22"/>
          <w:lang w:val="es-MX"/>
        </w:rPr>
        <w:t xml:space="preserve">empresa establecida </w:t>
      </w:r>
      <w:r w:rsidRPr="00361513">
        <w:rPr>
          <w:rFonts w:ascii="Garamond" w:hAnsi="Garamond" w:cs="Arial"/>
          <w:sz w:val="22"/>
          <w:szCs w:val="22"/>
          <w:lang w:val="es-MX"/>
        </w:rPr>
        <w:t>(</w:t>
      </w:r>
      <w:proofErr w:type="spellStart"/>
      <w:r w:rsidRPr="00361513">
        <w:rPr>
          <w:rFonts w:ascii="Garamond" w:hAnsi="Garamond" w:cs="Arial"/>
          <w:i/>
          <w:iCs/>
          <w:sz w:val="22"/>
          <w:szCs w:val="22"/>
          <w:lang w:val="es-MX"/>
        </w:rPr>
        <w:t>Established</w:t>
      </w:r>
      <w:proofErr w:type="spellEnd"/>
      <w:r w:rsidRPr="00361513">
        <w:rPr>
          <w:rFonts w:ascii="Garamond" w:hAnsi="Garamond" w:cs="Arial"/>
          <w:i/>
          <w:iCs/>
          <w:sz w:val="22"/>
          <w:szCs w:val="22"/>
          <w:lang w:val="es-MX"/>
        </w:rPr>
        <w:t xml:space="preserve"> Business </w:t>
      </w:r>
      <w:proofErr w:type="spellStart"/>
      <w:r w:rsidRPr="00361513">
        <w:rPr>
          <w:rFonts w:ascii="Garamond" w:hAnsi="Garamond" w:cs="Arial"/>
          <w:i/>
          <w:iCs/>
          <w:sz w:val="22"/>
          <w:szCs w:val="22"/>
          <w:lang w:val="es-MX"/>
        </w:rPr>
        <w:t>Owners</w:t>
      </w:r>
      <w:proofErr w:type="spellEnd"/>
      <w:r w:rsidR="000E1086" w:rsidRPr="00361513">
        <w:rPr>
          <w:rFonts w:ascii="Garamond" w:hAnsi="Garamond" w:cs="Arial"/>
          <w:sz w:val="22"/>
          <w:szCs w:val="22"/>
          <w:lang w:val="es-MX"/>
        </w:rPr>
        <w:t>, EBO</w:t>
      </w:r>
      <w:r w:rsidRPr="00361513">
        <w:rPr>
          <w:rFonts w:ascii="Garamond" w:hAnsi="Garamond" w:cs="Arial"/>
          <w:sz w:val="22"/>
          <w:szCs w:val="22"/>
          <w:lang w:val="es-MX"/>
        </w:rPr>
        <w:t xml:space="preserve">), es decir, han sobrevivido más de cinco años en el mercado. </w:t>
      </w:r>
      <w:r w:rsidR="000E1086" w:rsidRPr="00361513">
        <w:rPr>
          <w:rFonts w:ascii="Garamond" w:hAnsi="Garamond" w:cs="Arial"/>
          <w:sz w:val="22"/>
          <w:szCs w:val="22"/>
          <w:lang w:val="es-MX"/>
        </w:rPr>
        <w:t>«</w:t>
      </w:r>
      <w:r w:rsidRPr="00361513">
        <w:rPr>
          <w:rFonts w:ascii="Garamond" w:hAnsi="Garamond" w:cs="Arial"/>
          <w:sz w:val="22"/>
          <w:szCs w:val="22"/>
          <w:lang w:val="es-MX"/>
        </w:rPr>
        <w:t>Hablando de toda la población adulta del país, aproximadamente 11% tiene emprendimientos nacientes, 5% nuevos y sólo 2,6% posee negocios establecidos</w:t>
      </w:r>
      <w:r w:rsidR="000E1086" w:rsidRPr="00361513">
        <w:rPr>
          <w:rFonts w:ascii="Garamond" w:hAnsi="Garamond" w:cs="Arial"/>
          <w:sz w:val="22"/>
          <w:szCs w:val="22"/>
          <w:lang w:val="es-MX"/>
        </w:rPr>
        <w:t>»,</w:t>
      </w:r>
      <w:r w:rsidRPr="00361513">
        <w:rPr>
          <w:rFonts w:ascii="Garamond" w:hAnsi="Garamond" w:cs="Arial"/>
          <w:sz w:val="22"/>
          <w:szCs w:val="22"/>
          <w:lang w:val="es-MX"/>
        </w:rPr>
        <w:t xml:space="preserve"> </w:t>
      </w:r>
      <w:r w:rsidR="000E1086" w:rsidRPr="00361513">
        <w:rPr>
          <w:rFonts w:ascii="Garamond" w:hAnsi="Garamond" w:cs="Arial"/>
          <w:sz w:val="22"/>
          <w:szCs w:val="22"/>
          <w:lang w:val="es-MX"/>
        </w:rPr>
        <w:t>(</w:t>
      </w:r>
      <w:r w:rsidRPr="00361513">
        <w:rPr>
          <w:rFonts w:ascii="Garamond" w:hAnsi="Garamond" w:cs="Arial"/>
          <w:sz w:val="22"/>
          <w:szCs w:val="22"/>
          <w:lang w:val="es-MX"/>
        </w:rPr>
        <w:t>Linares</w:t>
      </w:r>
      <w:r w:rsidR="000E1086" w:rsidRPr="00361513">
        <w:rPr>
          <w:rFonts w:ascii="Garamond" w:hAnsi="Garamond" w:cs="Arial"/>
          <w:sz w:val="22"/>
          <w:szCs w:val="22"/>
          <w:lang w:val="es-MX"/>
        </w:rPr>
        <w:t xml:space="preserve">, </w:t>
      </w:r>
      <w:r w:rsidRPr="00361513">
        <w:rPr>
          <w:rFonts w:ascii="Garamond" w:hAnsi="Garamond" w:cs="Arial"/>
          <w:sz w:val="22"/>
          <w:szCs w:val="22"/>
          <w:lang w:val="es-MX"/>
        </w:rPr>
        <w:t>2023).</w:t>
      </w:r>
    </w:p>
    <w:p w14:paraId="1B640148" w14:textId="77777777"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Estos datos reflejan los problemas que tienen los emprendimientos para sobrevivir en Venezuela por temas de acompañamiento y técnica, y por la situación-país.</w:t>
      </w:r>
    </w:p>
    <w:p w14:paraId="6691D4EF" w14:textId="1423FF06" w:rsidR="00AE4220" w:rsidRPr="00361513" w:rsidRDefault="00AE4220" w:rsidP="00AE4220">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La medición de GEM (2023) a través del juicio de expertos plasmó gráficamente buena parte de la realidad que se acaba de comentar a través de un gráfico radial (</w:t>
      </w:r>
      <w:r w:rsidR="00DB239C" w:rsidRPr="00361513">
        <w:rPr>
          <w:rFonts w:ascii="Garamond" w:hAnsi="Garamond" w:cs="Arial"/>
          <w:sz w:val="22"/>
          <w:szCs w:val="22"/>
          <w:lang w:val="es-MX"/>
        </w:rPr>
        <w:t>F</w:t>
      </w:r>
      <w:r w:rsidRPr="00361513">
        <w:rPr>
          <w:rFonts w:ascii="Garamond" w:hAnsi="Garamond" w:cs="Arial"/>
          <w:sz w:val="22"/>
          <w:szCs w:val="22"/>
          <w:lang w:val="es-MX"/>
        </w:rPr>
        <w:t>igura 18</w:t>
      </w:r>
      <w:r w:rsidR="00DB239C" w:rsidRPr="00361513">
        <w:rPr>
          <w:rStyle w:val="Refdenotaalpie"/>
          <w:rFonts w:ascii="Garamond" w:hAnsi="Garamond" w:cs="Arial"/>
          <w:sz w:val="22"/>
          <w:szCs w:val="22"/>
          <w:lang w:val="es-MX"/>
        </w:rPr>
        <w:footnoteReference w:id="24"/>
      </w:r>
      <w:r w:rsidRPr="00361513">
        <w:rPr>
          <w:rFonts w:ascii="Garamond" w:hAnsi="Garamond" w:cs="Arial"/>
          <w:sz w:val="22"/>
          <w:szCs w:val="22"/>
          <w:lang w:val="es-MX"/>
        </w:rPr>
        <w:t xml:space="preserve">). Las variables tomadas en cuenta, en Venezuela se </w:t>
      </w:r>
      <w:r w:rsidRPr="00361513">
        <w:rPr>
          <w:rFonts w:ascii="Garamond" w:hAnsi="Garamond" w:cs="Arial"/>
          <w:sz w:val="22"/>
          <w:szCs w:val="22"/>
          <w:lang w:val="es-MX"/>
        </w:rPr>
        <w:lastRenderedPageBreak/>
        <w:t>observan como un subconjunto dentro del conjunto que representa el promedio de su región (Nivel C), lo cual no es positivo. Se empleó una escala de 10 puntos, donde el 10 equivale a muy adecuado y 0 a muy inadecuado.</w:t>
      </w:r>
    </w:p>
    <w:p w14:paraId="06FC2EA8" w14:textId="55C0B8CB" w:rsidR="00AE4220" w:rsidRPr="00361513" w:rsidRDefault="00AE4220" w:rsidP="00AE4220">
      <w:pPr>
        <w:pStyle w:val="Lneadeautor-Profesional"/>
        <w:spacing w:before="0" w:after="120" w:line="360" w:lineRule="auto"/>
        <w:jc w:val="both"/>
        <w:rPr>
          <w:rFonts w:ascii="Garamond" w:hAnsi="Garamond" w:cs="Arial"/>
          <w:b/>
          <w:bCs/>
          <w:sz w:val="22"/>
          <w:szCs w:val="22"/>
          <w:lang w:val="es-MX"/>
        </w:rPr>
      </w:pPr>
      <w:r w:rsidRPr="00361513">
        <w:rPr>
          <w:rFonts w:ascii="Garamond" w:hAnsi="Garamond" w:cs="Arial"/>
          <w:b/>
          <w:bCs/>
          <w:sz w:val="22"/>
          <w:szCs w:val="22"/>
          <w:lang w:val="es-MX"/>
        </w:rPr>
        <w:t>CONCLUSIONES</w:t>
      </w:r>
    </w:p>
    <w:p w14:paraId="0BDB62BF" w14:textId="77777777" w:rsidR="00DB239C" w:rsidRPr="00361513" w:rsidRDefault="00AE4220" w:rsidP="00DB239C">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Luego de la revisión realizada en este ensayo, que consideró referencias a entrevistas, datos económicos de diversas fuentes y estudios disponibles, se presentan algunas conclusiones que pueden servir de orientación a cualquier posible inversor que examine a Venezuela como país de destino de sus recursos financieros.</w:t>
      </w:r>
    </w:p>
    <w:p w14:paraId="1318CAE7" w14:textId="4A251675" w:rsidR="00AE4220" w:rsidRPr="00361513" w:rsidRDefault="00AE4220" w:rsidP="00DB239C">
      <w:pPr>
        <w:pStyle w:val="Lneadeautor-Profesional"/>
        <w:spacing w:before="0" w:after="120" w:line="360" w:lineRule="auto"/>
        <w:ind w:firstLine="284"/>
        <w:jc w:val="both"/>
        <w:rPr>
          <w:rFonts w:ascii="Garamond" w:hAnsi="Garamond" w:cs="Arial"/>
          <w:sz w:val="22"/>
          <w:szCs w:val="22"/>
          <w:lang w:val="es-MX"/>
        </w:rPr>
      </w:pPr>
      <w:r w:rsidRPr="00361513">
        <w:rPr>
          <w:rFonts w:ascii="Garamond" w:hAnsi="Garamond" w:cs="Arial"/>
          <w:sz w:val="22"/>
          <w:szCs w:val="22"/>
          <w:lang w:val="es-MX"/>
        </w:rPr>
        <w:t>Transcurridas dos décadas, el país ha cambiado radicalmente desde el punto de vista político, social y económico. Esto ha impactado con fuerza el ambiente de negocios. Con respecto a las franquicias hay varias consideraciones particulares que se pueden hacer bajo estas circunstancias:</w:t>
      </w:r>
    </w:p>
    <w:p w14:paraId="392CB2F2" w14:textId="3301FCE7" w:rsidR="00AE4220" w:rsidRPr="00361513" w:rsidRDefault="00AE4220" w:rsidP="00AE4220">
      <w:pPr>
        <w:pStyle w:val="Lneadeautor-Profesional"/>
        <w:numPr>
          <w:ilvl w:val="0"/>
          <w:numId w:val="46"/>
        </w:numPr>
        <w:spacing w:before="0" w:after="120" w:line="360" w:lineRule="auto"/>
        <w:ind w:left="284" w:hanging="284"/>
        <w:jc w:val="both"/>
        <w:rPr>
          <w:rFonts w:ascii="Garamond" w:hAnsi="Garamond" w:cs="Arial"/>
          <w:sz w:val="22"/>
          <w:szCs w:val="22"/>
          <w:lang w:val="es-MX"/>
        </w:rPr>
      </w:pPr>
      <w:r w:rsidRPr="00361513">
        <w:rPr>
          <w:rFonts w:ascii="Garamond" w:hAnsi="Garamond" w:cs="Arial"/>
          <w:sz w:val="22"/>
          <w:szCs w:val="22"/>
          <w:lang w:val="es-MX"/>
        </w:rPr>
        <w:t>Después de varios años de estar atravesando hiperinflación y sumidos de lleno en una economía contractiva, en octubre de 2023 los EE. UU. levantó temporalmente las sanciones que en materia de hidrocarburos existían sobre el país dando pie a expectativas favorables ligadas al desempeño económico del 2024. Muchos analistas estiman por lo menos un 10</w:t>
      </w:r>
      <w:r w:rsidR="002C3EE0" w:rsidRPr="00361513">
        <w:rPr>
          <w:rFonts w:ascii="Garamond" w:hAnsi="Garamond" w:cs="Arial"/>
          <w:sz w:val="22"/>
          <w:szCs w:val="22"/>
          <w:lang w:val="es-MX"/>
        </w:rPr>
        <w:t> </w:t>
      </w:r>
      <w:r w:rsidRPr="00361513">
        <w:rPr>
          <w:rFonts w:ascii="Garamond" w:hAnsi="Garamond" w:cs="Arial"/>
          <w:sz w:val="22"/>
          <w:szCs w:val="22"/>
          <w:lang w:val="es-MX"/>
        </w:rPr>
        <w:t xml:space="preserve">% de crecimiento del PIB. El portal web </w:t>
      </w:r>
      <w:proofErr w:type="spellStart"/>
      <w:r w:rsidRPr="00361513">
        <w:rPr>
          <w:rFonts w:ascii="Garamond" w:hAnsi="Garamond" w:cs="Arial"/>
          <w:sz w:val="22"/>
          <w:szCs w:val="22"/>
          <w:lang w:val="es-MX"/>
        </w:rPr>
        <w:t>SWI</w:t>
      </w:r>
      <w:proofErr w:type="spellEnd"/>
      <w:r w:rsidRPr="00361513">
        <w:rPr>
          <w:rFonts w:ascii="Garamond" w:hAnsi="Garamond" w:cs="Arial"/>
          <w:sz w:val="22"/>
          <w:szCs w:val="22"/>
          <w:lang w:val="es-MX"/>
        </w:rPr>
        <w:t xml:space="preserve"> ya lo adelantaba días antes:</w:t>
      </w:r>
    </w:p>
    <w:p w14:paraId="02D9BC25" w14:textId="77777777" w:rsidR="00AE4220" w:rsidRPr="003E19EB" w:rsidRDefault="00AE4220" w:rsidP="00AE4220">
      <w:pPr>
        <w:pStyle w:val="Tindependiente-Profesional"/>
        <w:spacing w:after="240" w:line="240" w:lineRule="auto"/>
        <w:ind w:left="709"/>
        <w:jc w:val="both"/>
        <w:rPr>
          <w:rFonts w:ascii="Garamond" w:hAnsi="Garamond" w:cs="Arial"/>
          <w:lang w:val="es-ES"/>
        </w:rPr>
      </w:pPr>
      <w:r w:rsidRPr="003E19EB">
        <w:rPr>
          <w:rFonts w:ascii="Garamond" w:hAnsi="Garamond" w:cs="Arial"/>
          <w:lang w:val="es-ES"/>
        </w:rPr>
        <w:t xml:space="preserve">La economía de Venezuela crecerá un 9,9 % el próximo año respecto a 2023 si se levantan las sanciones internacionales que pesan sobre la nación, dijo este miércoles a EFE el economista Luis Arturo Bárcenas, jefe de la firma de análisis financiero </w:t>
      </w:r>
      <w:proofErr w:type="spellStart"/>
      <w:r w:rsidRPr="003E19EB">
        <w:rPr>
          <w:rFonts w:ascii="Garamond" w:hAnsi="Garamond" w:cs="Arial"/>
          <w:lang w:val="es-ES"/>
        </w:rPr>
        <w:t>Ecoanalítica</w:t>
      </w:r>
      <w:proofErr w:type="spellEnd"/>
      <w:r w:rsidRPr="003E19EB">
        <w:rPr>
          <w:rFonts w:ascii="Garamond" w:hAnsi="Garamond" w:cs="Arial"/>
          <w:lang w:val="es-ES"/>
        </w:rPr>
        <w:t>.</w:t>
      </w:r>
    </w:p>
    <w:p w14:paraId="76137CD4" w14:textId="416441DB" w:rsidR="00AE4220" w:rsidRPr="003E19EB" w:rsidRDefault="00AE4220" w:rsidP="00AE4220">
      <w:pPr>
        <w:pStyle w:val="Tindependiente-Profesional"/>
        <w:spacing w:after="240" w:line="240" w:lineRule="auto"/>
        <w:ind w:left="709"/>
        <w:jc w:val="both"/>
        <w:rPr>
          <w:rFonts w:ascii="Garamond" w:hAnsi="Garamond" w:cs="Arial"/>
          <w:lang w:val="es-ES"/>
        </w:rPr>
      </w:pPr>
      <w:r w:rsidRPr="003E19EB">
        <w:rPr>
          <w:rFonts w:ascii="Garamond" w:hAnsi="Garamond" w:cs="Arial"/>
          <w:lang w:val="es-ES"/>
        </w:rPr>
        <w:t xml:space="preserve">El experto explicó que el levantamiento de las también llamadas </w:t>
      </w:r>
      <w:r w:rsidR="002C3EE0" w:rsidRPr="003E19EB">
        <w:rPr>
          <w:rFonts w:ascii="Garamond" w:hAnsi="Garamond" w:cs="Arial"/>
          <w:lang w:val="es-ES"/>
        </w:rPr>
        <w:t>«</w:t>
      </w:r>
      <w:r w:rsidRPr="003E19EB">
        <w:rPr>
          <w:rFonts w:ascii="Garamond" w:hAnsi="Garamond" w:cs="Arial"/>
          <w:lang w:val="es-ES"/>
        </w:rPr>
        <w:t>medidas coercitivas unilaterales</w:t>
      </w:r>
      <w:r w:rsidR="002C3EE0" w:rsidRPr="003E19EB">
        <w:rPr>
          <w:rFonts w:ascii="Garamond" w:hAnsi="Garamond" w:cs="Arial"/>
          <w:lang w:val="es-ES"/>
        </w:rPr>
        <w:t>»</w:t>
      </w:r>
      <w:r w:rsidRPr="003E19EB">
        <w:rPr>
          <w:rFonts w:ascii="Garamond" w:hAnsi="Garamond" w:cs="Arial"/>
          <w:lang w:val="es-ES"/>
        </w:rPr>
        <w:t xml:space="preserve"> se puede traducir en una </w:t>
      </w:r>
      <w:r w:rsidR="002C3EE0" w:rsidRPr="003E19EB">
        <w:rPr>
          <w:rFonts w:ascii="Garamond" w:hAnsi="Garamond" w:cs="Arial"/>
          <w:lang w:val="es-ES"/>
        </w:rPr>
        <w:t>«</w:t>
      </w:r>
      <w:r w:rsidRPr="003E19EB">
        <w:rPr>
          <w:rFonts w:ascii="Garamond" w:hAnsi="Garamond" w:cs="Arial"/>
          <w:lang w:val="es-ES"/>
        </w:rPr>
        <w:t>mayor producción petrolera</w:t>
      </w:r>
      <w:r w:rsidR="002C3EE0" w:rsidRPr="003E19EB">
        <w:rPr>
          <w:rFonts w:ascii="Garamond" w:hAnsi="Garamond" w:cs="Arial"/>
          <w:lang w:val="es-ES"/>
        </w:rPr>
        <w:t>»</w:t>
      </w:r>
      <w:r w:rsidRPr="003E19EB">
        <w:rPr>
          <w:rFonts w:ascii="Garamond" w:hAnsi="Garamond" w:cs="Arial"/>
          <w:lang w:val="es-ES"/>
        </w:rPr>
        <w:t xml:space="preserve">, impulsada también por la </w:t>
      </w:r>
      <w:r w:rsidR="002C3EE0" w:rsidRPr="003E19EB">
        <w:rPr>
          <w:rFonts w:ascii="Garamond" w:hAnsi="Garamond" w:cs="Arial"/>
          <w:lang w:val="es-ES"/>
        </w:rPr>
        <w:t>«</w:t>
      </w:r>
      <w:r w:rsidRPr="003E19EB">
        <w:rPr>
          <w:rFonts w:ascii="Garamond" w:hAnsi="Garamond" w:cs="Arial"/>
          <w:lang w:val="es-ES"/>
        </w:rPr>
        <w:t>incorporación de otras</w:t>
      </w:r>
      <w:r w:rsidR="002C3EE0" w:rsidRPr="003E19EB">
        <w:rPr>
          <w:rFonts w:ascii="Garamond" w:hAnsi="Garamond" w:cs="Arial"/>
          <w:lang w:val="es-ES"/>
        </w:rPr>
        <w:t>»</w:t>
      </w:r>
      <w:r w:rsidRPr="003E19EB">
        <w:rPr>
          <w:rFonts w:ascii="Garamond" w:hAnsi="Garamond" w:cs="Arial"/>
          <w:lang w:val="es-ES"/>
        </w:rPr>
        <w:t xml:space="preserve"> empresas energéticas, como la española Repsol y la italiana </w:t>
      </w:r>
      <w:proofErr w:type="spellStart"/>
      <w:r w:rsidRPr="003E19EB">
        <w:rPr>
          <w:rFonts w:ascii="Garamond" w:hAnsi="Garamond" w:cs="Arial"/>
          <w:lang w:val="es-ES"/>
        </w:rPr>
        <w:t>Eni</w:t>
      </w:r>
      <w:proofErr w:type="spellEnd"/>
      <w:r w:rsidRPr="003E19EB">
        <w:rPr>
          <w:rFonts w:ascii="Garamond" w:hAnsi="Garamond" w:cs="Arial"/>
          <w:lang w:val="es-ES"/>
        </w:rPr>
        <w:t xml:space="preserve">, lo que, a su vez, significará </w:t>
      </w:r>
      <w:r w:rsidR="002C3EE0" w:rsidRPr="003E19EB">
        <w:rPr>
          <w:rFonts w:ascii="Garamond" w:hAnsi="Garamond" w:cs="Arial"/>
          <w:lang w:val="es-ES"/>
        </w:rPr>
        <w:t>«</w:t>
      </w:r>
      <w:r w:rsidRPr="003E19EB">
        <w:rPr>
          <w:rFonts w:ascii="Garamond" w:hAnsi="Garamond" w:cs="Arial"/>
          <w:lang w:val="es-ES"/>
        </w:rPr>
        <w:t>mayores ingresos</w:t>
      </w:r>
      <w:r w:rsidR="002C3EE0" w:rsidRPr="003E19EB">
        <w:rPr>
          <w:rFonts w:ascii="Garamond" w:hAnsi="Garamond" w:cs="Arial"/>
          <w:lang w:val="es-ES"/>
        </w:rPr>
        <w:t>»</w:t>
      </w:r>
      <w:r w:rsidRPr="003E19EB">
        <w:rPr>
          <w:rFonts w:ascii="Garamond" w:hAnsi="Garamond" w:cs="Arial"/>
          <w:lang w:val="es-ES"/>
        </w:rPr>
        <w:t xml:space="preserve"> para la nación. (</w:t>
      </w:r>
      <w:proofErr w:type="spellStart"/>
      <w:r w:rsidRPr="003E19EB">
        <w:rPr>
          <w:rFonts w:ascii="Garamond" w:hAnsi="Garamond" w:cs="Arial"/>
          <w:lang w:val="es-ES"/>
        </w:rPr>
        <w:t>SWI</w:t>
      </w:r>
      <w:proofErr w:type="spellEnd"/>
      <w:r w:rsidRPr="003E19EB">
        <w:rPr>
          <w:rFonts w:ascii="Garamond" w:hAnsi="Garamond" w:cs="Arial"/>
          <w:lang w:val="es-ES"/>
        </w:rPr>
        <w:t xml:space="preserve"> Swissinfo.ch, 2024).</w:t>
      </w:r>
    </w:p>
    <w:p w14:paraId="64A8C35B" w14:textId="77777777" w:rsidR="00AE4220" w:rsidRPr="00361513" w:rsidRDefault="00AE4220" w:rsidP="00AE4220">
      <w:pPr>
        <w:pStyle w:val="Lneadeautor-Profesional"/>
        <w:spacing w:before="0" w:after="120" w:line="360" w:lineRule="auto"/>
        <w:ind w:left="284"/>
        <w:jc w:val="both"/>
        <w:rPr>
          <w:rFonts w:ascii="Garamond" w:hAnsi="Garamond" w:cs="Arial"/>
          <w:sz w:val="22"/>
          <w:szCs w:val="22"/>
          <w:lang w:val="es-MX"/>
        </w:rPr>
      </w:pPr>
      <w:r w:rsidRPr="00361513">
        <w:rPr>
          <w:rFonts w:ascii="Garamond" w:hAnsi="Garamond" w:cs="Arial"/>
          <w:sz w:val="22"/>
          <w:szCs w:val="22"/>
          <w:lang w:val="es-MX"/>
        </w:rPr>
        <w:t>Colateralmente al levantamiento de las sanciones está la crisis energética mundial, que creó un clima favorable a nivel de demanda y precios altos para el petróleo venezolano desde finales de 2023.</w:t>
      </w:r>
    </w:p>
    <w:p w14:paraId="395B7205" w14:textId="77777777" w:rsidR="00AE4220" w:rsidRPr="00361513" w:rsidRDefault="00AE4220" w:rsidP="00AE4220">
      <w:pPr>
        <w:pStyle w:val="Lneadeautor-Profesional"/>
        <w:spacing w:before="0" w:after="120" w:line="360" w:lineRule="auto"/>
        <w:ind w:left="284"/>
        <w:jc w:val="both"/>
        <w:rPr>
          <w:rFonts w:ascii="Garamond" w:hAnsi="Garamond" w:cs="Arial"/>
          <w:sz w:val="22"/>
          <w:szCs w:val="22"/>
          <w:lang w:val="es-MX"/>
        </w:rPr>
      </w:pPr>
      <w:r w:rsidRPr="00361513">
        <w:rPr>
          <w:rFonts w:ascii="Garamond" w:hAnsi="Garamond" w:cs="Arial"/>
          <w:sz w:val="22"/>
          <w:szCs w:val="22"/>
          <w:lang w:val="es-MX"/>
        </w:rPr>
        <w:t>Desde luego, todo lo anterior hay que verlo con extrema cautela después de los cuestionados resultados de las elecciones presidenciales del 28 de julio de 2024. Aún es temprano para medir las eventuales consecuencias que podría tener un escenario de mayores sanciones y el grado de aislamiento que afrontaría el país.</w:t>
      </w:r>
    </w:p>
    <w:p w14:paraId="0431FC3E" w14:textId="32B525F5" w:rsidR="00AE4220" w:rsidRPr="00361513" w:rsidRDefault="00AE4220" w:rsidP="00AE4220">
      <w:pPr>
        <w:pStyle w:val="Lneadeautor-Profesional"/>
        <w:numPr>
          <w:ilvl w:val="0"/>
          <w:numId w:val="46"/>
        </w:numPr>
        <w:spacing w:before="0" w:after="120" w:line="360" w:lineRule="auto"/>
        <w:ind w:left="284" w:hanging="284"/>
        <w:jc w:val="both"/>
        <w:rPr>
          <w:rFonts w:ascii="Garamond" w:hAnsi="Garamond" w:cs="Arial"/>
          <w:bCs/>
          <w:iCs/>
          <w:sz w:val="22"/>
          <w:szCs w:val="22"/>
          <w:lang w:val="es-VE"/>
        </w:rPr>
      </w:pPr>
      <w:r w:rsidRPr="00361513">
        <w:rPr>
          <w:rFonts w:ascii="Garamond" w:hAnsi="Garamond" w:cs="Arial"/>
          <w:sz w:val="22"/>
          <w:szCs w:val="22"/>
          <w:lang w:val="es-MX"/>
        </w:rPr>
        <w:t>Venezuela</w:t>
      </w:r>
      <w:r w:rsidRPr="00361513">
        <w:rPr>
          <w:rFonts w:ascii="Garamond" w:hAnsi="Garamond" w:cs="Arial"/>
          <w:bCs/>
          <w:iCs/>
          <w:sz w:val="22"/>
          <w:szCs w:val="22"/>
          <w:lang w:val="es-VE"/>
        </w:rPr>
        <w:t xml:space="preserve"> de país receptor de franquicias pasó a ser exportador incipiente de esta forma de hacer negocio, </w:t>
      </w:r>
      <w:r w:rsidRPr="00361513">
        <w:rPr>
          <w:rFonts w:ascii="Garamond" w:hAnsi="Garamond" w:cs="Arial"/>
          <w:sz w:val="22"/>
          <w:szCs w:val="22"/>
          <w:lang w:val="es-MX"/>
        </w:rPr>
        <w:t>aprovechando</w:t>
      </w:r>
      <w:r w:rsidRPr="00361513">
        <w:rPr>
          <w:rFonts w:ascii="Garamond" w:hAnsi="Garamond" w:cs="Arial"/>
          <w:bCs/>
          <w:iCs/>
          <w:sz w:val="22"/>
          <w:szCs w:val="22"/>
          <w:lang w:val="es-VE"/>
        </w:rPr>
        <w:t xml:space="preserve"> el fenómeno denominado comúnmente como la diáspora. Según datos de la Plataforma Regional de Coordinación </w:t>
      </w:r>
      <w:proofErr w:type="spellStart"/>
      <w:r w:rsidRPr="00361513">
        <w:rPr>
          <w:rFonts w:ascii="Garamond" w:hAnsi="Garamond" w:cs="Arial"/>
          <w:bCs/>
          <w:iCs/>
          <w:sz w:val="22"/>
          <w:szCs w:val="22"/>
          <w:lang w:val="es-VE"/>
        </w:rPr>
        <w:t>Interagencial</w:t>
      </w:r>
      <w:proofErr w:type="spellEnd"/>
      <w:r w:rsidRPr="00361513">
        <w:rPr>
          <w:rFonts w:ascii="Garamond" w:hAnsi="Garamond" w:cs="Arial"/>
          <w:bCs/>
          <w:iCs/>
          <w:sz w:val="22"/>
          <w:szCs w:val="22"/>
          <w:lang w:val="es-VE"/>
        </w:rPr>
        <w:t xml:space="preserve"> para Refugiados y Migrantes de Venezuela, liderada en conjunto por ACNUR y </w:t>
      </w:r>
      <w:proofErr w:type="spellStart"/>
      <w:r w:rsidRPr="00361513">
        <w:rPr>
          <w:rFonts w:ascii="Garamond" w:hAnsi="Garamond" w:cs="Arial"/>
          <w:bCs/>
          <w:iCs/>
          <w:sz w:val="22"/>
          <w:szCs w:val="22"/>
          <w:lang w:val="es-VE"/>
        </w:rPr>
        <w:t>OIM</w:t>
      </w:r>
      <w:proofErr w:type="spellEnd"/>
      <w:r w:rsidRPr="00361513">
        <w:rPr>
          <w:rFonts w:ascii="Garamond" w:hAnsi="Garamond" w:cs="Arial"/>
          <w:bCs/>
          <w:iCs/>
          <w:sz w:val="22"/>
          <w:szCs w:val="22"/>
          <w:lang w:val="es-VE"/>
        </w:rPr>
        <w:t>, para agosto de 2023 la cantidad de venezolanos refugiados y migrantes en el mundo ascendía a 7</w:t>
      </w:r>
      <w:r w:rsidR="00F4530C" w:rsidRPr="00361513">
        <w:rPr>
          <w:rFonts w:ascii="Garamond" w:hAnsi="Garamond" w:cs="Arial"/>
          <w:bCs/>
          <w:iCs/>
          <w:sz w:val="22"/>
          <w:szCs w:val="22"/>
          <w:lang w:val="es-VE"/>
        </w:rPr>
        <w:t> </w:t>
      </w:r>
      <w:r w:rsidRPr="00361513">
        <w:rPr>
          <w:rFonts w:ascii="Garamond" w:hAnsi="Garamond" w:cs="Arial"/>
          <w:bCs/>
          <w:iCs/>
          <w:sz w:val="22"/>
          <w:szCs w:val="22"/>
          <w:lang w:val="es-VE"/>
        </w:rPr>
        <w:t>710</w:t>
      </w:r>
      <w:r w:rsidR="00F4530C" w:rsidRPr="00361513">
        <w:rPr>
          <w:rFonts w:ascii="Garamond" w:hAnsi="Garamond" w:cs="Arial"/>
          <w:bCs/>
          <w:iCs/>
          <w:sz w:val="22"/>
          <w:szCs w:val="22"/>
          <w:lang w:val="es-VE"/>
        </w:rPr>
        <w:t> </w:t>
      </w:r>
      <w:r w:rsidRPr="00361513">
        <w:rPr>
          <w:rFonts w:ascii="Garamond" w:hAnsi="Garamond" w:cs="Arial"/>
          <w:bCs/>
          <w:iCs/>
          <w:sz w:val="22"/>
          <w:szCs w:val="22"/>
          <w:lang w:val="es-VE"/>
        </w:rPr>
        <w:t>887 de personas</w:t>
      </w:r>
      <w:r w:rsidR="00F4530C" w:rsidRPr="00361513">
        <w:rPr>
          <w:rStyle w:val="Refdenotaalpie"/>
          <w:rFonts w:ascii="Garamond" w:hAnsi="Garamond" w:cs="Arial"/>
          <w:bCs/>
          <w:iCs/>
          <w:sz w:val="22"/>
          <w:szCs w:val="22"/>
          <w:lang w:val="es-VE"/>
        </w:rPr>
        <w:footnoteReference w:id="25"/>
      </w:r>
      <w:r w:rsidRPr="00361513">
        <w:rPr>
          <w:rFonts w:ascii="Garamond" w:hAnsi="Garamond" w:cs="Arial"/>
          <w:bCs/>
          <w:iCs/>
          <w:sz w:val="22"/>
          <w:szCs w:val="22"/>
          <w:lang w:val="es-VE"/>
        </w:rPr>
        <w:t>.</w:t>
      </w:r>
    </w:p>
    <w:p w14:paraId="0CA68283" w14:textId="77777777" w:rsidR="00AE4220" w:rsidRPr="00361513" w:rsidRDefault="00AE4220" w:rsidP="00AE4220">
      <w:pPr>
        <w:pStyle w:val="Lneadeautor-Profesional"/>
        <w:numPr>
          <w:ilvl w:val="0"/>
          <w:numId w:val="46"/>
        </w:numPr>
        <w:spacing w:before="0" w:after="120" w:line="360" w:lineRule="auto"/>
        <w:ind w:left="284" w:hanging="284"/>
        <w:jc w:val="both"/>
        <w:rPr>
          <w:rFonts w:ascii="Garamond" w:hAnsi="Garamond" w:cs="Arial"/>
          <w:bCs/>
          <w:iCs/>
          <w:sz w:val="22"/>
          <w:szCs w:val="22"/>
          <w:lang w:val="es-VE"/>
        </w:rPr>
      </w:pPr>
      <w:r w:rsidRPr="00361513">
        <w:rPr>
          <w:rFonts w:ascii="Garamond" w:hAnsi="Garamond" w:cs="Arial"/>
          <w:bCs/>
          <w:iCs/>
          <w:sz w:val="22"/>
          <w:szCs w:val="22"/>
          <w:lang w:val="es-VE"/>
        </w:rPr>
        <w:t xml:space="preserve">La </w:t>
      </w:r>
      <w:r w:rsidRPr="00361513">
        <w:rPr>
          <w:rFonts w:ascii="Garamond" w:hAnsi="Garamond" w:cs="Arial"/>
          <w:sz w:val="22"/>
          <w:szCs w:val="22"/>
          <w:lang w:val="es-MX"/>
        </w:rPr>
        <w:t>preponderancia</w:t>
      </w:r>
      <w:r w:rsidRPr="00361513">
        <w:rPr>
          <w:rFonts w:ascii="Garamond" w:hAnsi="Garamond" w:cs="Arial"/>
          <w:bCs/>
          <w:iCs/>
          <w:sz w:val="22"/>
          <w:szCs w:val="22"/>
          <w:lang w:val="es-VE"/>
        </w:rPr>
        <w:t xml:space="preserve"> de las franquicias nacionales sobre las extranjeras se consolidó aún más debido a las dificultades que </w:t>
      </w:r>
      <w:r w:rsidRPr="00361513">
        <w:rPr>
          <w:rFonts w:ascii="Garamond" w:hAnsi="Garamond" w:cs="Arial"/>
          <w:sz w:val="22"/>
          <w:szCs w:val="22"/>
          <w:lang w:val="es-MX"/>
        </w:rPr>
        <w:t>ha</w:t>
      </w:r>
      <w:r w:rsidRPr="00361513">
        <w:rPr>
          <w:rFonts w:ascii="Garamond" w:hAnsi="Garamond" w:cs="Arial"/>
          <w:bCs/>
          <w:iCs/>
          <w:sz w:val="22"/>
          <w:szCs w:val="22"/>
          <w:lang w:val="es-VE"/>
        </w:rPr>
        <w:t xml:space="preserve"> atravesado el país y que todavía no cesan. Invertir dentro de Venezuela sigue implicando un alto riesgo, y </w:t>
      </w:r>
      <w:r w:rsidRPr="00361513">
        <w:rPr>
          <w:rFonts w:ascii="Garamond" w:hAnsi="Garamond" w:cs="Arial"/>
          <w:bCs/>
          <w:iCs/>
          <w:sz w:val="22"/>
          <w:szCs w:val="22"/>
          <w:lang w:val="es-VE"/>
        </w:rPr>
        <w:lastRenderedPageBreak/>
        <w:t xml:space="preserve">de muy difícil previsión el retorno del capital. La agencia de noticias </w:t>
      </w:r>
      <w:r w:rsidRPr="00361513">
        <w:rPr>
          <w:rFonts w:ascii="Garamond" w:hAnsi="Garamond" w:cs="Arial"/>
          <w:bCs/>
          <w:i/>
          <w:sz w:val="22"/>
          <w:szCs w:val="22"/>
          <w:lang w:val="es-VE"/>
        </w:rPr>
        <w:t>EFE</w:t>
      </w:r>
      <w:r w:rsidRPr="00361513">
        <w:rPr>
          <w:rFonts w:ascii="Garamond" w:hAnsi="Garamond" w:cs="Arial"/>
          <w:bCs/>
          <w:iCs/>
          <w:sz w:val="22"/>
          <w:szCs w:val="22"/>
          <w:lang w:val="es-VE"/>
        </w:rPr>
        <w:t xml:space="preserve"> en un artículo resume bien los problemas, relacionándolos a infraestructura deteriorada, servicios públicos colapsados, seguridad personal y perdida de capital humano por el fenómeno de la diáspora:</w:t>
      </w:r>
    </w:p>
    <w:p w14:paraId="6AE9809A" w14:textId="77777777" w:rsidR="00AE4220" w:rsidRPr="003E19EB" w:rsidRDefault="00AE4220" w:rsidP="00AE4220">
      <w:pPr>
        <w:pStyle w:val="Tindependiente-Profesional"/>
        <w:spacing w:after="240" w:line="240" w:lineRule="auto"/>
        <w:ind w:left="709"/>
        <w:jc w:val="both"/>
        <w:rPr>
          <w:rFonts w:ascii="Garamond" w:hAnsi="Garamond" w:cs="Arial"/>
          <w:lang w:val="es-ES"/>
        </w:rPr>
      </w:pPr>
      <w:r w:rsidRPr="003E19EB">
        <w:rPr>
          <w:rFonts w:ascii="Garamond" w:hAnsi="Garamond" w:cs="Arial"/>
          <w:lang w:val="es-ES"/>
        </w:rPr>
        <w:t>Las fallas que enfrenta Venezuela en áreas como infraestructura, servicios, seguridad y capital humano restringen, según expertos, su capacidad de expandir la economía, aun en un escenario exento de sanciones -a las que el Gobierno achaca la crisis- de las cuales varias fueron levantadas, temporal y condicionalmente, por Estados Unidos. (Seijas, 2023).</w:t>
      </w:r>
    </w:p>
    <w:p w14:paraId="1AF789CF" w14:textId="77777777" w:rsidR="00AE4220" w:rsidRPr="00361513" w:rsidRDefault="00AE4220" w:rsidP="00AE4220">
      <w:pPr>
        <w:pStyle w:val="Lneadeautor-Profesional"/>
        <w:spacing w:before="0" w:after="120" w:line="360" w:lineRule="auto"/>
        <w:ind w:left="284"/>
        <w:jc w:val="both"/>
        <w:rPr>
          <w:rFonts w:ascii="Garamond" w:hAnsi="Garamond" w:cs="Arial"/>
          <w:bCs/>
          <w:iCs/>
          <w:sz w:val="22"/>
          <w:szCs w:val="22"/>
          <w:lang w:val="es-VE"/>
        </w:rPr>
      </w:pPr>
      <w:r w:rsidRPr="00361513">
        <w:rPr>
          <w:rFonts w:ascii="Garamond" w:hAnsi="Garamond" w:cs="Arial"/>
          <w:bCs/>
          <w:iCs/>
          <w:sz w:val="22"/>
          <w:szCs w:val="22"/>
          <w:lang w:val="es-VE"/>
        </w:rPr>
        <w:t xml:space="preserve">Sin embargo, el modelo de negocio de franquicia demostró en estos 20 años ser resiliente y aún cuenta con </w:t>
      </w:r>
      <w:r w:rsidRPr="00361513">
        <w:rPr>
          <w:rFonts w:ascii="Garamond" w:hAnsi="Garamond" w:cs="Arial"/>
          <w:sz w:val="22"/>
          <w:szCs w:val="22"/>
          <w:lang w:val="es-MX"/>
        </w:rPr>
        <w:t>mucho</w:t>
      </w:r>
      <w:r w:rsidRPr="00361513">
        <w:rPr>
          <w:rFonts w:ascii="Garamond" w:hAnsi="Garamond" w:cs="Arial"/>
          <w:bCs/>
          <w:iCs/>
          <w:sz w:val="22"/>
          <w:szCs w:val="22"/>
          <w:lang w:val="es-VE"/>
        </w:rPr>
        <w:t xml:space="preserve"> potencial en la región por la carencia de bienes y servicios de calidad. El impacto mayor de la </w:t>
      </w:r>
      <w:r w:rsidRPr="00361513">
        <w:rPr>
          <w:rFonts w:ascii="Garamond" w:hAnsi="Garamond" w:cs="Arial"/>
          <w:sz w:val="22"/>
          <w:szCs w:val="22"/>
          <w:lang w:val="es-MX"/>
        </w:rPr>
        <w:t>crisis</w:t>
      </w:r>
      <w:r w:rsidRPr="00361513">
        <w:rPr>
          <w:rFonts w:ascii="Garamond" w:hAnsi="Garamond" w:cs="Arial"/>
          <w:bCs/>
          <w:iCs/>
          <w:sz w:val="22"/>
          <w:szCs w:val="22"/>
          <w:lang w:val="es-VE"/>
        </w:rPr>
        <w:t xml:space="preserve"> venezolana ha sido en la reducción de la cantidad de establecimientos, más que con salida de marcas, lo cual habla de resistencia y adaptación.</w:t>
      </w:r>
    </w:p>
    <w:p w14:paraId="256E9966" w14:textId="51FC1971" w:rsidR="00AE4220" w:rsidRPr="00361513" w:rsidRDefault="00AE4220" w:rsidP="00AE4220">
      <w:pPr>
        <w:pStyle w:val="Lneadeautor-Profesional"/>
        <w:numPr>
          <w:ilvl w:val="0"/>
          <w:numId w:val="46"/>
        </w:numPr>
        <w:spacing w:before="0" w:after="120" w:line="360" w:lineRule="auto"/>
        <w:ind w:left="284" w:hanging="284"/>
        <w:jc w:val="both"/>
        <w:rPr>
          <w:rFonts w:ascii="Garamond" w:hAnsi="Garamond" w:cs="Arial"/>
          <w:bCs/>
          <w:iCs/>
          <w:sz w:val="22"/>
          <w:szCs w:val="22"/>
          <w:lang w:val="es-VE"/>
        </w:rPr>
      </w:pPr>
      <w:r w:rsidRPr="00361513">
        <w:rPr>
          <w:rFonts w:ascii="Garamond" w:hAnsi="Garamond" w:cs="Arial"/>
          <w:bCs/>
          <w:iCs/>
          <w:sz w:val="22"/>
          <w:szCs w:val="22"/>
          <w:lang w:val="es-VE"/>
        </w:rPr>
        <w:t xml:space="preserve">La franquicia como modelo, en cuatro lustros ha perdido brillo. Vivió su etapa de mayor auge en la región a mediados de los años 90 y principios del 2000 cuando era un mecanismo muy infrecuente en </w:t>
      </w:r>
      <w:r w:rsidR="00F4530C" w:rsidRPr="00361513">
        <w:rPr>
          <w:rFonts w:ascii="Garamond" w:hAnsi="Garamond" w:cs="Arial"/>
          <w:bCs/>
          <w:iCs/>
          <w:sz w:val="22"/>
          <w:szCs w:val="22"/>
          <w:lang w:val="es-VE"/>
        </w:rPr>
        <w:t>Latinoamérica</w:t>
      </w:r>
      <w:r w:rsidRPr="00361513">
        <w:rPr>
          <w:rFonts w:ascii="Garamond" w:hAnsi="Garamond" w:cs="Arial"/>
          <w:bCs/>
          <w:iCs/>
          <w:sz w:val="22"/>
          <w:szCs w:val="22"/>
          <w:lang w:val="es-VE"/>
        </w:rPr>
        <w:t xml:space="preserve">. Hoy en día existe un nuevo fenómeno en Venezuela que es protagonizado por los emprendimientos </w:t>
      </w:r>
      <w:r w:rsidRPr="00361513">
        <w:rPr>
          <w:rFonts w:ascii="Garamond" w:hAnsi="Garamond" w:cs="Arial"/>
          <w:sz w:val="22"/>
          <w:szCs w:val="22"/>
          <w:lang w:val="es-MX"/>
        </w:rPr>
        <w:t>ligados</w:t>
      </w:r>
      <w:r w:rsidRPr="00361513">
        <w:rPr>
          <w:rFonts w:ascii="Garamond" w:hAnsi="Garamond" w:cs="Arial"/>
          <w:bCs/>
          <w:iCs/>
          <w:sz w:val="22"/>
          <w:szCs w:val="22"/>
          <w:lang w:val="es-VE"/>
        </w:rPr>
        <w:t xml:space="preserve"> a </w:t>
      </w:r>
      <w:r w:rsidR="00F4530C" w:rsidRPr="00361513">
        <w:rPr>
          <w:rFonts w:ascii="Garamond" w:hAnsi="Garamond" w:cs="Arial"/>
          <w:bCs/>
          <w:iCs/>
          <w:sz w:val="22"/>
          <w:szCs w:val="22"/>
          <w:lang w:val="es-VE"/>
        </w:rPr>
        <w:t>p</w:t>
      </w:r>
      <w:r w:rsidRPr="00361513">
        <w:rPr>
          <w:rFonts w:ascii="Garamond" w:hAnsi="Garamond" w:cs="Arial"/>
          <w:bCs/>
          <w:iCs/>
          <w:sz w:val="22"/>
          <w:szCs w:val="22"/>
          <w:lang w:val="es-VE"/>
        </w:rPr>
        <w:t xml:space="preserve">ymes. Hay muchas incubadoras y aceleradoras de negocios que los reciben y tratan de conducir; son miles de iniciativas. </w:t>
      </w:r>
      <w:bookmarkStart w:id="16" w:name="_Hlk151928574"/>
      <w:r w:rsidRPr="00361513">
        <w:rPr>
          <w:rFonts w:ascii="Garamond" w:hAnsi="Garamond" w:cs="Arial"/>
          <w:bCs/>
          <w:iCs/>
          <w:sz w:val="22"/>
          <w:szCs w:val="22"/>
          <w:lang w:val="es-VE"/>
        </w:rPr>
        <w:t>Tres millones de venezolanos son emprendedores, reveló estudio de la UCAB y el Instituto de Estudios Superiores en Administración (</w:t>
      </w:r>
      <w:proofErr w:type="spellStart"/>
      <w:r w:rsidRPr="00361513">
        <w:rPr>
          <w:rFonts w:ascii="Garamond" w:hAnsi="Garamond" w:cs="Arial"/>
          <w:bCs/>
          <w:iCs/>
          <w:sz w:val="22"/>
          <w:szCs w:val="22"/>
          <w:lang w:val="es-VE"/>
        </w:rPr>
        <w:t>IESA</w:t>
      </w:r>
      <w:proofErr w:type="spellEnd"/>
      <w:r w:rsidRPr="00361513">
        <w:rPr>
          <w:rFonts w:ascii="Garamond" w:hAnsi="Garamond" w:cs="Arial"/>
          <w:bCs/>
          <w:iCs/>
          <w:sz w:val="22"/>
          <w:szCs w:val="22"/>
          <w:lang w:val="es-VE"/>
        </w:rPr>
        <w:t>). Se trata del 19</w:t>
      </w:r>
      <w:r w:rsidR="00F4530C" w:rsidRPr="00361513">
        <w:rPr>
          <w:rFonts w:ascii="Garamond" w:hAnsi="Garamond" w:cs="Arial"/>
          <w:bCs/>
          <w:iCs/>
          <w:sz w:val="22"/>
          <w:szCs w:val="22"/>
          <w:lang w:val="es-VE"/>
        </w:rPr>
        <w:t> </w:t>
      </w:r>
      <w:r w:rsidRPr="00361513">
        <w:rPr>
          <w:rFonts w:ascii="Garamond" w:hAnsi="Garamond" w:cs="Arial"/>
          <w:bCs/>
          <w:iCs/>
          <w:sz w:val="22"/>
          <w:szCs w:val="22"/>
          <w:lang w:val="es-VE"/>
        </w:rPr>
        <w:t>% de la población adulta del país la que está emprendiendo en diferentes etapas</w:t>
      </w:r>
      <w:bookmarkEnd w:id="16"/>
      <w:r w:rsidRPr="00361513">
        <w:rPr>
          <w:rFonts w:ascii="Garamond" w:hAnsi="Garamond" w:cs="Arial"/>
          <w:bCs/>
          <w:iCs/>
          <w:sz w:val="22"/>
          <w:szCs w:val="22"/>
          <w:lang w:val="es-VE"/>
        </w:rPr>
        <w:t>. La principal motivación de los venezolanos para emprender, con un 90</w:t>
      </w:r>
      <w:r w:rsidR="00F4530C" w:rsidRPr="00361513">
        <w:rPr>
          <w:rFonts w:ascii="Garamond" w:hAnsi="Garamond" w:cs="Arial"/>
          <w:bCs/>
          <w:iCs/>
          <w:sz w:val="22"/>
          <w:szCs w:val="22"/>
          <w:lang w:val="es-VE"/>
        </w:rPr>
        <w:t> </w:t>
      </w:r>
      <w:r w:rsidRPr="00361513">
        <w:rPr>
          <w:rFonts w:ascii="Garamond" w:hAnsi="Garamond" w:cs="Arial"/>
          <w:bCs/>
          <w:iCs/>
          <w:sz w:val="22"/>
          <w:szCs w:val="22"/>
          <w:lang w:val="es-VE"/>
        </w:rPr>
        <w:t xml:space="preserve">% de respuestas afirmativas en dicho estudio es </w:t>
      </w:r>
      <w:r w:rsidR="00F4530C" w:rsidRPr="00361513">
        <w:rPr>
          <w:rFonts w:ascii="Garamond" w:hAnsi="Garamond" w:cs="Arial"/>
          <w:bCs/>
          <w:iCs/>
          <w:sz w:val="22"/>
          <w:szCs w:val="22"/>
          <w:lang w:val="es-VE"/>
        </w:rPr>
        <w:t>«</w:t>
      </w:r>
      <w:r w:rsidRPr="00361513">
        <w:rPr>
          <w:rFonts w:ascii="Garamond" w:hAnsi="Garamond" w:cs="Arial"/>
          <w:bCs/>
          <w:iCs/>
          <w:sz w:val="22"/>
          <w:szCs w:val="22"/>
          <w:lang w:val="es-VE"/>
        </w:rPr>
        <w:t>ganarse la vida porque los empleos son escasos</w:t>
      </w:r>
      <w:r w:rsidR="00F4530C" w:rsidRPr="00361513">
        <w:rPr>
          <w:rFonts w:ascii="Garamond" w:hAnsi="Garamond" w:cs="Arial"/>
          <w:bCs/>
          <w:iCs/>
          <w:sz w:val="22"/>
          <w:szCs w:val="22"/>
          <w:lang w:val="es-VE"/>
        </w:rPr>
        <w:t>»,</w:t>
      </w:r>
      <w:r w:rsidRPr="00361513">
        <w:rPr>
          <w:rFonts w:ascii="Garamond" w:hAnsi="Garamond" w:cs="Arial"/>
          <w:bCs/>
          <w:iCs/>
          <w:sz w:val="22"/>
          <w:szCs w:val="22"/>
          <w:lang w:val="es-VE"/>
        </w:rPr>
        <w:t xml:space="preserve"> (Linares, 2023). Es decir, se trata de emprendedores por necesidad.</w:t>
      </w:r>
    </w:p>
    <w:p w14:paraId="1EFFB7AC" w14:textId="77777777" w:rsidR="00AE4220" w:rsidRPr="00361513" w:rsidRDefault="00AE4220" w:rsidP="00AE4220">
      <w:pPr>
        <w:pStyle w:val="Lneadeautor-Profesional"/>
        <w:spacing w:before="0" w:after="120" w:line="360" w:lineRule="auto"/>
        <w:ind w:left="284"/>
        <w:jc w:val="both"/>
        <w:rPr>
          <w:rFonts w:ascii="Garamond" w:hAnsi="Garamond" w:cs="Arial"/>
          <w:bCs/>
          <w:iCs/>
          <w:sz w:val="22"/>
          <w:szCs w:val="22"/>
        </w:rPr>
      </w:pPr>
      <w:r w:rsidRPr="00361513">
        <w:rPr>
          <w:rFonts w:ascii="Garamond" w:hAnsi="Garamond" w:cs="Arial"/>
          <w:bCs/>
          <w:iCs/>
          <w:sz w:val="22"/>
          <w:szCs w:val="22"/>
          <w:lang w:val="es-VE"/>
        </w:rPr>
        <w:t xml:space="preserve">Por supuesto, los costos para invertir en un emprendimiento, en la mayoría de los casos terminan siendo </w:t>
      </w:r>
      <w:r w:rsidRPr="00361513">
        <w:rPr>
          <w:rFonts w:ascii="Garamond" w:hAnsi="Garamond" w:cs="Arial"/>
          <w:sz w:val="22"/>
          <w:szCs w:val="22"/>
          <w:lang w:val="es-MX"/>
        </w:rPr>
        <w:t>más</w:t>
      </w:r>
      <w:r w:rsidRPr="00361513">
        <w:rPr>
          <w:rFonts w:ascii="Garamond" w:hAnsi="Garamond" w:cs="Arial"/>
          <w:bCs/>
          <w:iCs/>
          <w:sz w:val="22"/>
          <w:szCs w:val="22"/>
          <w:lang w:val="es-VE"/>
        </w:rPr>
        <w:t xml:space="preserve"> manejables que los desembolsos que implica incursionar en una franquicia. </w:t>
      </w:r>
      <w:r w:rsidRPr="00361513">
        <w:rPr>
          <w:rFonts w:ascii="Garamond" w:hAnsi="Garamond" w:cs="Arial"/>
          <w:bCs/>
          <w:iCs/>
          <w:sz w:val="22"/>
          <w:szCs w:val="22"/>
        </w:rPr>
        <w:t xml:space="preserve">En </w:t>
      </w:r>
      <w:proofErr w:type="spellStart"/>
      <w:r w:rsidRPr="00361513">
        <w:rPr>
          <w:rFonts w:ascii="Garamond" w:hAnsi="Garamond" w:cs="Arial"/>
          <w:bCs/>
          <w:iCs/>
          <w:sz w:val="22"/>
          <w:szCs w:val="22"/>
        </w:rPr>
        <w:t>una</w:t>
      </w:r>
      <w:proofErr w:type="spellEnd"/>
      <w:r w:rsidRPr="00361513">
        <w:rPr>
          <w:rFonts w:ascii="Garamond" w:hAnsi="Garamond" w:cs="Arial"/>
          <w:bCs/>
          <w:iCs/>
          <w:sz w:val="22"/>
          <w:szCs w:val="22"/>
        </w:rPr>
        <w:t xml:space="preserve"> </w:t>
      </w:r>
      <w:proofErr w:type="spellStart"/>
      <w:r w:rsidRPr="00361513">
        <w:rPr>
          <w:rFonts w:ascii="Garamond" w:hAnsi="Garamond" w:cs="Arial"/>
          <w:bCs/>
          <w:iCs/>
          <w:sz w:val="22"/>
          <w:szCs w:val="22"/>
        </w:rPr>
        <w:t>economía</w:t>
      </w:r>
      <w:proofErr w:type="spellEnd"/>
      <w:r w:rsidRPr="00361513">
        <w:rPr>
          <w:rFonts w:ascii="Garamond" w:hAnsi="Garamond" w:cs="Arial"/>
          <w:bCs/>
          <w:iCs/>
          <w:sz w:val="22"/>
          <w:szCs w:val="22"/>
        </w:rPr>
        <w:t xml:space="preserve"> </w:t>
      </w:r>
      <w:proofErr w:type="spellStart"/>
      <w:r w:rsidRPr="00361513">
        <w:rPr>
          <w:rFonts w:ascii="Garamond" w:hAnsi="Garamond" w:cs="Arial"/>
          <w:bCs/>
          <w:iCs/>
          <w:sz w:val="22"/>
          <w:szCs w:val="22"/>
        </w:rPr>
        <w:t>en</w:t>
      </w:r>
      <w:proofErr w:type="spellEnd"/>
      <w:r w:rsidRPr="00361513">
        <w:rPr>
          <w:rFonts w:ascii="Garamond" w:hAnsi="Garamond" w:cs="Arial"/>
          <w:bCs/>
          <w:iCs/>
          <w:sz w:val="22"/>
          <w:szCs w:val="22"/>
        </w:rPr>
        <w:t xml:space="preserve"> crisis, </w:t>
      </w:r>
      <w:proofErr w:type="spellStart"/>
      <w:r w:rsidRPr="00361513">
        <w:rPr>
          <w:rFonts w:ascii="Garamond" w:hAnsi="Garamond" w:cs="Arial"/>
          <w:bCs/>
          <w:iCs/>
          <w:sz w:val="22"/>
          <w:szCs w:val="22"/>
        </w:rPr>
        <w:t>esto</w:t>
      </w:r>
      <w:proofErr w:type="spellEnd"/>
      <w:r w:rsidRPr="00361513">
        <w:rPr>
          <w:rFonts w:ascii="Garamond" w:hAnsi="Garamond" w:cs="Arial"/>
          <w:bCs/>
          <w:iCs/>
          <w:sz w:val="22"/>
          <w:szCs w:val="22"/>
        </w:rPr>
        <w:t xml:space="preserve"> </w:t>
      </w:r>
      <w:proofErr w:type="spellStart"/>
      <w:r w:rsidRPr="00361513">
        <w:rPr>
          <w:rFonts w:ascii="Garamond" w:hAnsi="Garamond" w:cs="Arial"/>
          <w:bCs/>
          <w:iCs/>
          <w:sz w:val="22"/>
          <w:szCs w:val="22"/>
        </w:rPr>
        <w:t>resulta</w:t>
      </w:r>
      <w:proofErr w:type="spellEnd"/>
      <w:r w:rsidRPr="00361513">
        <w:rPr>
          <w:rFonts w:ascii="Garamond" w:hAnsi="Garamond" w:cs="Arial"/>
          <w:bCs/>
          <w:iCs/>
          <w:sz w:val="22"/>
          <w:szCs w:val="22"/>
        </w:rPr>
        <w:t xml:space="preserve"> fundamental </w:t>
      </w:r>
      <w:proofErr w:type="spellStart"/>
      <w:r w:rsidRPr="00361513">
        <w:rPr>
          <w:rFonts w:ascii="Garamond" w:hAnsi="Garamond" w:cs="Arial"/>
          <w:bCs/>
          <w:iCs/>
          <w:sz w:val="22"/>
          <w:szCs w:val="22"/>
        </w:rPr>
        <w:t>considerarlo</w:t>
      </w:r>
      <w:proofErr w:type="spellEnd"/>
      <w:r w:rsidRPr="00361513">
        <w:rPr>
          <w:rFonts w:ascii="Garamond" w:hAnsi="Garamond" w:cs="Arial"/>
          <w:bCs/>
          <w:iCs/>
          <w:sz w:val="22"/>
          <w:szCs w:val="22"/>
        </w:rPr>
        <w:t>.</w:t>
      </w:r>
    </w:p>
    <w:p w14:paraId="22FAC49D" w14:textId="122A6A1C" w:rsidR="00DF1461" w:rsidRPr="00361513" w:rsidRDefault="00AE4220" w:rsidP="00AE4220">
      <w:pPr>
        <w:pStyle w:val="Lneadeautor-Profesional"/>
        <w:numPr>
          <w:ilvl w:val="0"/>
          <w:numId w:val="46"/>
        </w:numPr>
        <w:spacing w:before="0" w:after="120" w:line="360" w:lineRule="auto"/>
        <w:ind w:left="284" w:hanging="284"/>
        <w:jc w:val="both"/>
        <w:rPr>
          <w:rFonts w:ascii="Garamond" w:hAnsi="Garamond"/>
          <w:sz w:val="22"/>
          <w:szCs w:val="22"/>
          <w:lang w:val="es-VE"/>
        </w:rPr>
      </w:pPr>
      <w:r w:rsidRPr="00361513">
        <w:rPr>
          <w:rFonts w:ascii="Garamond" w:hAnsi="Garamond" w:cs="Arial"/>
          <w:bCs/>
          <w:iCs/>
          <w:sz w:val="22"/>
          <w:szCs w:val="22"/>
          <w:lang w:val="es-VE"/>
        </w:rPr>
        <w:t xml:space="preserve">El constante intervencionismo del Estado, que no cesa en Venezuela y cada vez tiende a restringir más las libertades económicas y políticas, crea grandes dificultades e impide abandonar al capitalismo de Estado, de hecho, lo exacerba. </w:t>
      </w:r>
      <w:r w:rsidRPr="005552FD">
        <w:rPr>
          <w:rFonts w:ascii="Garamond" w:hAnsi="Garamond" w:cs="Arial"/>
          <w:bCs/>
          <w:iCs/>
          <w:sz w:val="22"/>
          <w:szCs w:val="22"/>
          <w:lang w:val="es-VE"/>
        </w:rPr>
        <w:t>El modelo de negocio de franquicias en determinados momentos ha aflorado, pero la tendencia en los últimos años ha sido a contenerlo y hacerlo decrecer, teniendo como periodo más crítico el de la hiperinflación (2017-2021). Los niveles de riesgo en el país son atizados por la incertidumbre que crean eventos como el de las pasadas elecciones presidenciales de 28 de julio de 2024, que hacen ver a cualquier pronóstico como en extremo azaroso, de muy difícil pronóstico.</w:t>
      </w:r>
      <w:r w:rsidR="00DF1461" w:rsidRPr="00361513">
        <w:rPr>
          <w:rFonts w:ascii="Garamond" w:hAnsi="Garamond"/>
          <w:sz w:val="22"/>
          <w:szCs w:val="22"/>
          <w:lang w:val="es-VE"/>
        </w:rPr>
        <w:t xml:space="preserve"> </w:t>
      </w:r>
    </w:p>
    <w:p w14:paraId="095589DD" w14:textId="77777777" w:rsidR="00DF1461" w:rsidRPr="00361513" w:rsidRDefault="00DF1461" w:rsidP="00DF1461">
      <w:pPr>
        <w:spacing w:after="120"/>
        <w:rPr>
          <w:rFonts w:ascii="Garamond" w:hAnsi="Garamond"/>
          <w:sz w:val="22"/>
          <w:szCs w:val="22"/>
          <w:lang w:val="es-VE"/>
        </w:rPr>
      </w:pPr>
    </w:p>
    <w:p w14:paraId="31969A0F" w14:textId="77777777" w:rsidR="00DF1461" w:rsidRPr="00361513" w:rsidRDefault="00DF1461" w:rsidP="00DF1461">
      <w:pPr>
        <w:rPr>
          <w:rFonts w:ascii="Garamond" w:hAnsi="Garamond"/>
          <w:b/>
        </w:rPr>
      </w:pPr>
      <w:r w:rsidRPr="00361513">
        <w:rPr>
          <w:rFonts w:ascii="Garamond" w:hAnsi="Garamond"/>
          <w:b/>
        </w:rPr>
        <w:br w:type="page"/>
      </w:r>
    </w:p>
    <w:p w14:paraId="79A102D1" w14:textId="01A47995" w:rsidR="00DF1461" w:rsidRPr="00361513" w:rsidRDefault="00DF1461" w:rsidP="00DF1461">
      <w:pPr>
        <w:pStyle w:val="Ttulo1"/>
        <w:rPr>
          <w:lang w:val="es-VE"/>
        </w:rPr>
      </w:pPr>
      <w:r w:rsidRPr="00361513">
        <w:rPr>
          <w:lang w:val="es-VE"/>
        </w:rPr>
        <w:lastRenderedPageBreak/>
        <w:t>REFERENCIAS</w:t>
      </w:r>
      <w:r w:rsidR="00D52EF5" w:rsidRPr="00361513">
        <w:rPr>
          <w:lang w:val="es-VE"/>
        </w:rPr>
        <w:t xml:space="preserve"> BIBLIOGRÁFICAS</w:t>
      </w:r>
    </w:p>
    <w:p w14:paraId="13931B9E" w14:textId="432628BD"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t>Abadi</w:t>
      </w:r>
      <w:proofErr w:type="spellEnd"/>
      <w:r w:rsidRPr="007F2727">
        <w:rPr>
          <w:rFonts w:ascii="Garamond" w:hAnsi="Garamond"/>
          <w:sz w:val="22"/>
          <w:szCs w:val="22"/>
          <w:lang w:val="es-VE"/>
        </w:rPr>
        <w:t xml:space="preserve"> M., A. y García Soto, C. (2018, 6 de febrero). BCV reporta 12 meses con inflación menor a 50 %: ¿se acabó la hiperinflación? </w:t>
      </w:r>
      <w:r w:rsidRPr="007F2727">
        <w:rPr>
          <w:rFonts w:ascii="Garamond" w:hAnsi="Garamond"/>
          <w:i/>
          <w:iCs/>
          <w:sz w:val="22"/>
          <w:szCs w:val="22"/>
          <w:lang w:val="es-VE"/>
        </w:rPr>
        <w:t>Banca y Negocios</w:t>
      </w:r>
      <w:r w:rsidRPr="007F2727">
        <w:rPr>
          <w:rFonts w:ascii="Garamond" w:hAnsi="Garamond"/>
          <w:sz w:val="22"/>
          <w:szCs w:val="22"/>
          <w:lang w:val="es-VE"/>
        </w:rPr>
        <w:t xml:space="preserve">. </w:t>
      </w:r>
      <w:hyperlink r:id="rId9" w:tgtFrame="_blank" w:history="1">
        <w:r w:rsidRPr="007F2727">
          <w:rPr>
            <w:rStyle w:val="Hipervnculo"/>
            <w:rFonts w:ascii="Garamond" w:hAnsi="Garamond"/>
            <w:sz w:val="22"/>
            <w:szCs w:val="22"/>
            <w:lang w:val="es-VE"/>
          </w:rPr>
          <w:t>https://www.bancaynegocios.com/datos-bcv-reporta-12-meses-con-inflacion-menor-a-50-se-acabo-la-hiperinflacion/</w:t>
        </w:r>
      </w:hyperlink>
    </w:p>
    <w:p w14:paraId="0D972C05" w14:textId="77777777"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Acemoğlu, D. y Robinson, J. (2012). </w:t>
      </w:r>
      <w:r w:rsidRPr="007F2727">
        <w:rPr>
          <w:rFonts w:ascii="Garamond" w:hAnsi="Garamond"/>
          <w:i/>
          <w:iCs/>
          <w:sz w:val="22"/>
          <w:szCs w:val="22"/>
          <w:lang w:val="es-VE"/>
        </w:rPr>
        <w:t>Por qué fracasan los países: Los orígenes del poder, la prosperidad y la pobreza</w:t>
      </w:r>
      <w:r w:rsidRPr="007F2727">
        <w:rPr>
          <w:rFonts w:ascii="Garamond" w:hAnsi="Garamond"/>
          <w:sz w:val="22"/>
          <w:szCs w:val="22"/>
          <w:lang w:val="es-VE"/>
        </w:rPr>
        <w:t>. Ediciones Deusto.</w:t>
      </w:r>
    </w:p>
    <w:p w14:paraId="7B806CB4" w14:textId="0E8298A2"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t>Baskin</w:t>
      </w:r>
      <w:proofErr w:type="spellEnd"/>
      <w:r w:rsidRPr="007F2727">
        <w:rPr>
          <w:rFonts w:ascii="Garamond" w:hAnsi="Garamond"/>
          <w:sz w:val="22"/>
          <w:szCs w:val="22"/>
          <w:lang w:val="es-VE"/>
        </w:rPr>
        <w:t xml:space="preserve">, R. (2022). El matrimonio entre la pobreza de valores y el fracaso de los países. </w:t>
      </w:r>
      <w:r w:rsidRPr="007F2727">
        <w:rPr>
          <w:rFonts w:ascii="Garamond" w:hAnsi="Garamond"/>
          <w:i/>
          <w:iCs/>
          <w:sz w:val="22"/>
          <w:szCs w:val="22"/>
          <w:lang w:val="es-VE"/>
        </w:rPr>
        <w:t>Cuadernos sobre Relaciones Internacionales, Regionalismo y Desarrollo</w:t>
      </w:r>
      <w:r w:rsidRPr="007F2727">
        <w:rPr>
          <w:rFonts w:ascii="Garamond" w:hAnsi="Garamond"/>
          <w:sz w:val="22"/>
          <w:szCs w:val="22"/>
          <w:lang w:val="es-VE"/>
        </w:rPr>
        <w:t xml:space="preserve">, </w:t>
      </w:r>
      <w:r w:rsidRPr="007F2727">
        <w:rPr>
          <w:rFonts w:ascii="Garamond" w:hAnsi="Garamond"/>
          <w:i/>
          <w:iCs/>
          <w:sz w:val="22"/>
          <w:szCs w:val="22"/>
          <w:lang w:val="es-VE"/>
        </w:rPr>
        <w:t>17</w:t>
      </w:r>
      <w:r w:rsidRPr="007F2727">
        <w:rPr>
          <w:rFonts w:ascii="Garamond" w:hAnsi="Garamond"/>
          <w:sz w:val="22"/>
          <w:szCs w:val="22"/>
          <w:lang w:val="es-VE"/>
        </w:rPr>
        <w:t xml:space="preserve">(32), 111-134. </w:t>
      </w:r>
      <w:hyperlink r:id="rId10" w:tgtFrame="_blank" w:history="1">
        <w:r w:rsidRPr="007F2727">
          <w:rPr>
            <w:rStyle w:val="Hipervnculo"/>
            <w:rFonts w:ascii="Garamond" w:hAnsi="Garamond"/>
            <w:sz w:val="22"/>
            <w:szCs w:val="22"/>
            <w:lang w:val="es-VE"/>
          </w:rPr>
          <w:t>http://www.saber.ula.ve/</w:t>
        </w:r>
        <w:proofErr w:type="spellStart"/>
        <w:r w:rsidRPr="007F2727">
          <w:rPr>
            <w:rStyle w:val="Hipervnculo"/>
            <w:rFonts w:ascii="Garamond" w:hAnsi="Garamond"/>
            <w:sz w:val="22"/>
            <w:szCs w:val="22"/>
            <w:lang w:val="es-VE"/>
          </w:rPr>
          <w:t>handle</w:t>
        </w:r>
        <w:proofErr w:type="spellEnd"/>
        <w:r w:rsidRPr="007F2727">
          <w:rPr>
            <w:rStyle w:val="Hipervnculo"/>
            <w:rFonts w:ascii="Garamond" w:hAnsi="Garamond"/>
            <w:sz w:val="22"/>
            <w:szCs w:val="22"/>
            <w:lang w:val="es-VE"/>
          </w:rPr>
          <w:t>/123456789/48814</w:t>
        </w:r>
      </w:hyperlink>
      <w:r w:rsidR="00667BB3">
        <w:rPr>
          <w:rFonts w:ascii="Garamond" w:hAnsi="Garamond"/>
          <w:sz w:val="22"/>
          <w:szCs w:val="22"/>
          <w:lang w:val="es-VE"/>
        </w:rPr>
        <w:t>.</w:t>
      </w:r>
      <w:r w:rsidR="005552FD">
        <w:rPr>
          <w:rFonts w:ascii="Garamond" w:hAnsi="Garamond"/>
          <w:sz w:val="22"/>
          <w:szCs w:val="22"/>
          <w:lang w:val="es-VE"/>
        </w:rPr>
        <w:t>¿</w:t>
      </w:r>
    </w:p>
    <w:p w14:paraId="08D73662" w14:textId="707D35B7"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t>Baskin</w:t>
      </w:r>
      <w:proofErr w:type="spellEnd"/>
      <w:r w:rsidRPr="007F2727">
        <w:rPr>
          <w:rFonts w:ascii="Garamond" w:hAnsi="Garamond"/>
          <w:sz w:val="22"/>
          <w:szCs w:val="22"/>
          <w:lang w:val="es-VE"/>
        </w:rPr>
        <w:t xml:space="preserve">, R. (2023). Percepciones del consumidor sobre los bodegones como nuevo canal de ventas: Estudio empírico. </w:t>
      </w:r>
      <w:r w:rsidRPr="007F2727">
        <w:rPr>
          <w:rFonts w:ascii="Garamond" w:hAnsi="Garamond"/>
          <w:i/>
          <w:iCs/>
          <w:sz w:val="22"/>
          <w:szCs w:val="22"/>
          <w:lang w:val="es-VE"/>
        </w:rPr>
        <w:t>Revista Visión Gerencial</w:t>
      </w:r>
      <w:r w:rsidRPr="007F2727">
        <w:rPr>
          <w:rFonts w:ascii="Garamond" w:hAnsi="Garamond"/>
          <w:sz w:val="22"/>
          <w:szCs w:val="22"/>
          <w:lang w:val="es-VE"/>
        </w:rPr>
        <w:t xml:space="preserve">, </w:t>
      </w:r>
      <w:r w:rsidRPr="007F2727">
        <w:rPr>
          <w:rFonts w:ascii="Garamond" w:hAnsi="Garamond"/>
          <w:i/>
          <w:iCs/>
          <w:sz w:val="22"/>
          <w:szCs w:val="22"/>
          <w:lang w:val="es-VE"/>
        </w:rPr>
        <w:t>22</w:t>
      </w:r>
      <w:r w:rsidRPr="007F2727">
        <w:rPr>
          <w:rFonts w:ascii="Garamond" w:hAnsi="Garamond"/>
          <w:sz w:val="22"/>
          <w:szCs w:val="22"/>
          <w:lang w:val="es-VE"/>
        </w:rPr>
        <w:t xml:space="preserve">(2), 193-204. </w:t>
      </w:r>
      <w:hyperlink r:id="rId11" w:tgtFrame="_blank" w:history="1">
        <w:r w:rsidRPr="007F2727">
          <w:rPr>
            <w:rStyle w:val="Hipervnculo"/>
            <w:rFonts w:ascii="Garamond" w:hAnsi="Garamond"/>
            <w:sz w:val="22"/>
            <w:szCs w:val="22"/>
            <w:lang w:val="es-VE"/>
          </w:rPr>
          <w:t>https://doi.org/10.53766/VIGEREN/2023.01.02.02</w:t>
        </w:r>
      </w:hyperlink>
    </w:p>
    <w:p w14:paraId="434E0892" w14:textId="576C4AC4"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Centro de Divulgación del Conocimiento Económico (CEDICE). (2022). </w:t>
      </w:r>
      <w:r w:rsidRPr="007F2727">
        <w:rPr>
          <w:rFonts w:ascii="Garamond" w:hAnsi="Garamond"/>
          <w:i/>
          <w:iCs/>
          <w:sz w:val="22"/>
          <w:szCs w:val="22"/>
          <w:lang w:val="es-VE"/>
        </w:rPr>
        <w:t>Situación del emprendimiento en Venezuela y el gasto público</w:t>
      </w:r>
      <w:r w:rsidRPr="007F2727">
        <w:rPr>
          <w:rFonts w:ascii="Garamond" w:hAnsi="Garamond"/>
          <w:sz w:val="22"/>
          <w:szCs w:val="22"/>
          <w:lang w:val="es-VE"/>
        </w:rPr>
        <w:t xml:space="preserve">. </w:t>
      </w:r>
      <w:hyperlink r:id="rId12" w:tgtFrame="_blank" w:history="1">
        <w:r w:rsidRPr="007F2727">
          <w:rPr>
            <w:rStyle w:val="Hipervnculo"/>
            <w:rFonts w:ascii="Garamond" w:hAnsi="Garamond"/>
            <w:sz w:val="22"/>
            <w:szCs w:val="22"/>
            <w:lang w:val="es-VE"/>
          </w:rPr>
          <w:t>https://cedice.org.ve/observatoriogp/portfolio-items/situacion-del-emprendimiento-en-venezuela-y-el-gasto-publico/</w:t>
        </w:r>
      </w:hyperlink>
    </w:p>
    <w:p w14:paraId="23ABA102" w14:textId="7F255CF6"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Comisión Económica para América Latina y el Caribe (CEPAL). (2003). </w:t>
      </w:r>
      <w:r w:rsidRPr="007F2727">
        <w:rPr>
          <w:rFonts w:ascii="Garamond" w:hAnsi="Garamond"/>
          <w:i/>
          <w:iCs/>
          <w:sz w:val="22"/>
          <w:szCs w:val="22"/>
          <w:lang w:val="es-VE"/>
        </w:rPr>
        <w:t>Estudio Económico de América Latina y el Caribe, 2003-2004</w:t>
      </w:r>
      <w:r w:rsidRPr="007F2727">
        <w:rPr>
          <w:rFonts w:ascii="Garamond" w:hAnsi="Garamond"/>
          <w:sz w:val="22"/>
          <w:szCs w:val="22"/>
          <w:lang w:val="es-VE"/>
        </w:rPr>
        <w:t xml:space="preserve">. </w:t>
      </w:r>
      <w:hyperlink r:id="rId13" w:history="1">
        <w:r w:rsidR="00667BB3" w:rsidRPr="007F2727">
          <w:rPr>
            <w:rStyle w:val="Hipervnculo"/>
            <w:rFonts w:ascii="Garamond" w:hAnsi="Garamond"/>
            <w:sz w:val="22"/>
            <w:szCs w:val="22"/>
            <w:lang w:val="es-VE"/>
          </w:rPr>
          <w:t>https://repositorio.cepal.org/bitstream/handle/11362/1058/1/S046500_es.pdf</w:t>
        </w:r>
      </w:hyperlink>
    </w:p>
    <w:p w14:paraId="0A4C86A6" w14:textId="78EEE072"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Comisión Económica para América Latina y el Caribe (CEPAL). (2019). </w:t>
      </w:r>
      <w:r w:rsidRPr="007F2727">
        <w:rPr>
          <w:rFonts w:ascii="Garamond" w:hAnsi="Garamond"/>
          <w:i/>
          <w:iCs/>
          <w:sz w:val="22"/>
          <w:szCs w:val="22"/>
          <w:lang w:val="es-VE"/>
        </w:rPr>
        <w:t>Balance Preliminar de las Economías de América Latina y el Caribe, 2019</w:t>
      </w:r>
      <w:r w:rsidRPr="007F2727">
        <w:rPr>
          <w:rFonts w:ascii="Garamond" w:hAnsi="Garamond"/>
          <w:sz w:val="22"/>
          <w:szCs w:val="22"/>
          <w:lang w:val="es-VE"/>
        </w:rPr>
        <w:t xml:space="preserve">. </w:t>
      </w:r>
      <w:hyperlink r:id="rId14" w:tgtFrame="_blank" w:history="1">
        <w:r w:rsidRPr="007F2727">
          <w:rPr>
            <w:rStyle w:val="Hipervnculo"/>
            <w:rFonts w:ascii="Garamond" w:hAnsi="Garamond"/>
            <w:sz w:val="22"/>
            <w:szCs w:val="22"/>
            <w:lang w:val="es-VE"/>
          </w:rPr>
          <w:t>https://repositorio.cepal.org/server/api/core/bitstreams/4bc323c9-0221-48b0-80ee-f9b2c6122cff/content</w:t>
        </w:r>
      </w:hyperlink>
    </w:p>
    <w:p w14:paraId="34D63545" w14:textId="2415F1ED"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de </w:t>
      </w:r>
      <w:proofErr w:type="spellStart"/>
      <w:r w:rsidRPr="007F2727">
        <w:rPr>
          <w:rFonts w:ascii="Garamond" w:hAnsi="Garamond"/>
          <w:sz w:val="22"/>
          <w:szCs w:val="22"/>
          <w:lang w:val="es-VE"/>
        </w:rPr>
        <w:t>Krivoy</w:t>
      </w:r>
      <w:proofErr w:type="spellEnd"/>
      <w:r w:rsidRPr="007F2727">
        <w:rPr>
          <w:rFonts w:ascii="Garamond" w:hAnsi="Garamond"/>
          <w:sz w:val="22"/>
          <w:szCs w:val="22"/>
          <w:lang w:val="es-VE"/>
        </w:rPr>
        <w:t xml:space="preserve">, R. (2001). Perspectivas económicas de Venezuela. </w:t>
      </w:r>
      <w:r w:rsidRPr="007F2727">
        <w:rPr>
          <w:rFonts w:ascii="Garamond" w:hAnsi="Garamond"/>
          <w:i/>
          <w:iCs/>
          <w:sz w:val="22"/>
          <w:szCs w:val="22"/>
          <w:lang w:val="es-VE"/>
        </w:rPr>
        <w:t>Gaceta Médica de Caracas</w:t>
      </w:r>
      <w:r w:rsidRPr="007F2727">
        <w:rPr>
          <w:rFonts w:ascii="Garamond" w:hAnsi="Garamond"/>
          <w:sz w:val="22"/>
          <w:szCs w:val="22"/>
          <w:lang w:val="es-VE"/>
        </w:rPr>
        <w:t xml:space="preserve">, </w:t>
      </w:r>
      <w:r w:rsidRPr="007F2727">
        <w:rPr>
          <w:rFonts w:ascii="Garamond" w:hAnsi="Garamond"/>
          <w:i/>
          <w:iCs/>
          <w:sz w:val="22"/>
          <w:szCs w:val="22"/>
          <w:lang w:val="es-VE"/>
        </w:rPr>
        <w:t>109</w:t>
      </w:r>
      <w:r w:rsidRPr="007F2727">
        <w:rPr>
          <w:rFonts w:ascii="Garamond" w:hAnsi="Garamond"/>
          <w:sz w:val="22"/>
          <w:szCs w:val="22"/>
          <w:lang w:val="es-VE"/>
        </w:rPr>
        <w:t xml:space="preserve">(3), 429-434. </w:t>
      </w:r>
      <w:hyperlink r:id="rId15" w:history="1">
        <w:r w:rsidR="00667BB3" w:rsidRPr="007F2727">
          <w:rPr>
            <w:rStyle w:val="Hipervnculo"/>
            <w:rFonts w:ascii="Garamond" w:hAnsi="Garamond"/>
            <w:sz w:val="22"/>
            <w:szCs w:val="22"/>
            <w:lang w:val="es-VE"/>
          </w:rPr>
          <w:t>http://ve.scielo.org/scielo.php?script=sci_arttext&amp;pid=S0367-47622001000300017&amp;lng=es&amp;tlng=es</w:t>
        </w:r>
      </w:hyperlink>
    </w:p>
    <w:p w14:paraId="18C65CEE" w14:textId="77777777"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Front </w:t>
      </w:r>
      <w:proofErr w:type="spellStart"/>
      <w:r w:rsidRPr="007F2727">
        <w:rPr>
          <w:rFonts w:ascii="Garamond" w:hAnsi="Garamond"/>
          <w:sz w:val="22"/>
          <w:szCs w:val="22"/>
          <w:lang w:val="es-VE"/>
        </w:rPr>
        <w:t>Consulting</w:t>
      </w:r>
      <w:proofErr w:type="spellEnd"/>
      <w:r w:rsidRPr="007F2727">
        <w:rPr>
          <w:rFonts w:ascii="Garamond" w:hAnsi="Garamond"/>
          <w:sz w:val="22"/>
          <w:szCs w:val="22"/>
          <w:lang w:val="es-VE"/>
        </w:rPr>
        <w:t xml:space="preserve"> </w:t>
      </w:r>
      <w:proofErr w:type="spellStart"/>
      <w:r w:rsidRPr="007F2727">
        <w:rPr>
          <w:rFonts w:ascii="Garamond" w:hAnsi="Garamond"/>
          <w:sz w:val="22"/>
          <w:szCs w:val="22"/>
          <w:lang w:val="es-VE"/>
        </w:rPr>
        <w:t>Group</w:t>
      </w:r>
      <w:proofErr w:type="spellEnd"/>
      <w:r w:rsidRPr="007F2727">
        <w:rPr>
          <w:rFonts w:ascii="Garamond" w:hAnsi="Garamond"/>
          <w:sz w:val="22"/>
          <w:szCs w:val="22"/>
          <w:lang w:val="es-VE"/>
        </w:rPr>
        <w:t xml:space="preserve">. (2020). </w:t>
      </w:r>
      <w:r w:rsidRPr="007F2727">
        <w:rPr>
          <w:rFonts w:ascii="Garamond" w:hAnsi="Garamond"/>
          <w:i/>
          <w:iCs/>
          <w:sz w:val="22"/>
          <w:szCs w:val="22"/>
          <w:lang w:val="es-VE"/>
        </w:rPr>
        <w:t>Franquicias en Venezuela: Censo integral de franquicias nacionales e internacionales en Venezuela y franquicias venezolanas en el exterior. Actualización año 2020</w:t>
      </w:r>
      <w:r w:rsidRPr="007F2727">
        <w:rPr>
          <w:rFonts w:ascii="Garamond" w:hAnsi="Garamond"/>
          <w:sz w:val="22"/>
          <w:szCs w:val="22"/>
          <w:lang w:val="es-VE"/>
        </w:rPr>
        <w:t>.</w:t>
      </w:r>
    </w:p>
    <w:p w14:paraId="0CE7C72B" w14:textId="0AC0DE1F"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García Castro, W. (2021, 20 de mayo). Resultados 2020, retos del futuro. </w:t>
      </w:r>
      <w:r w:rsidRPr="007F2727">
        <w:rPr>
          <w:rFonts w:ascii="Garamond" w:hAnsi="Garamond"/>
          <w:i/>
          <w:iCs/>
          <w:sz w:val="22"/>
          <w:szCs w:val="22"/>
          <w:lang w:val="es-VE"/>
        </w:rPr>
        <w:t>Actualidad Financiera y Fiscal</w:t>
      </w:r>
      <w:r w:rsidRPr="007F2727">
        <w:rPr>
          <w:rFonts w:ascii="Garamond" w:hAnsi="Garamond"/>
          <w:sz w:val="22"/>
          <w:szCs w:val="22"/>
          <w:lang w:val="es-VE"/>
        </w:rPr>
        <w:t xml:space="preserve">. </w:t>
      </w:r>
      <w:hyperlink r:id="rId16" w:tgtFrame="_blank" w:history="1">
        <w:r w:rsidRPr="007F2727">
          <w:rPr>
            <w:rStyle w:val="Hipervnculo"/>
            <w:rFonts w:ascii="Garamond" w:hAnsi="Garamond"/>
            <w:sz w:val="22"/>
            <w:szCs w:val="22"/>
            <w:lang w:val="es-VE"/>
          </w:rPr>
          <w:t>https://actualidadfinancierayfiscal.blogspot.com/2021/05/resultados-2020-retos-del-futuro-i.html</w:t>
        </w:r>
      </w:hyperlink>
    </w:p>
    <w:p w14:paraId="32D072A5" w14:textId="24222CC5" w:rsidR="00CA6E4E" w:rsidRPr="007F2727" w:rsidRDefault="00CA6E4E" w:rsidP="007F2727">
      <w:pPr>
        <w:spacing w:after="120"/>
        <w:ind w:left="284" w:hanging="284"/>
        <w:rPr>
          <w:rFonts w:ascii="Garamond" w:hAnsi="Garamond"/>
          <w:sz w:val="22"/>
          <w:szCs w:val="22"/>
          <w:lang w:val="de-DE"/>
        </w:rPr>
      </w:pPr>
      <w:r w:rsidRPr="007F2727">
        <w:rPr>
          <w:rFonts w:ascii="Garamond" w:hAnsi="Garamond"/>
          <w:sz w:val="22"/>
          <w:szCs w:val="22"/>
          <w:lang w:val="en-US"/>
        </w:rPr>
        <w:t xml:space="preserve">Global Entrepreneurship Monitor (GEM). (2023). </w:t>
      </w:r>
      <w:r w:rsidRPr="007F2727">
        <w:rPr>
          <w:rFonts w:ascii="Garamond" w:hAnsi="Garamond"/>
          <w:i/>
          <w:iCs/>
          <w:sz w:val="22"/>
          <w:szCs w:val="22"/>
          <w:lang w:val="en-US"/>
        </w:rPr>
        <w:t>Global Entrepreneurship Monitor 2022/2023 Global Report: Adapting to a “New Normal”</w:t>
      </w:r>
      <w:r w:rsidRPr="007F2727">
        <w:rPr>
          <w:rFonts w:ascii="Garamond" w:hAnsi="Garamond"/>
          <w:sz w:val="22"/>
          <w:szCs w:val="22"/>
          <w:lang w:val="en-US"/>
        </w:rPr>
        <w:t xml:space="preserve">. </w:t>
      </w:r>
      <w:r w:rsidRPr="007F2727">
        <w:rPr>
          <w:rFonts w:ascii="Garamond" w:hAnsi="Garamond"/>
          <w:sz w:val="22"/>
          <w:szCs w:val="22"/>
          <w:lang w:val="de-DE"/>
        </w:rPr>
        <w:t xml:space="preserve">GEM. </w:t>
      </w:r>
      <w:hyperlink r:id="rId17" w:tgtFrame="_blank" w:history="1">
        <w:r w:rsidRPr="007F2727">
          <w:rPr>
            <w:rStyle w:val="Hipervnculo"/>
            <w:rFonts w:ascii="Garamond" w:hAnsi="Garamond"/>
            <w:sz w:val="22"/>
            <w:szCs w:val="22"/>
            <w:lang w:val="de-DE"/>
          </w:rPr>
          <w:t>https://www.gemconsortium.org/reports/latest-global-report</w:t>
        </w:r>
      </w:hyperlink>
      <w:r w:rsidR="00667BB3" w:rsidRPr="005552FD">
        <w:rPr>
          <w:rFonts w:ascii="Garamond" w:hAnsi="Garamond"/>
          <w:sz w:val="22"/>
          <w:szCs w:val="22"/>
          <w:lang w:val="de-DE"/>
        </w:rPr>
        <w:t>.</w:t>
      </w:r>
    </w:p>
    <w:p w14:paraId="01CAFC5C" w14:textId="12380913"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de-DE"/>
        </w:rPr>
        <w:t xml:space="preserve">Google AI. </w:t>
      </w:r>
      <w:r w:rsidRPr="007F2727">
        <w:rPr>
          <w:rFonts w:ascii="Garamond" w:hAnsi="Garamond"/>
          <w:sz w:val="22"/>
          <w:szCs w:val="22"/>
          <w:lang w:val="es-VE"/>
        </w:rPr>
        <w:t xml:space="preserve">(2023). </w:t>
      </w:r>
      <w:proofErr w:type="spellStart"/>
      <w:r w:rsidRPr="007F2727">
        <w:rPr>
          <w:rFonts w:ascii="Garamond" w:hAnsi="Garamond"/>
          <w:sz w:val="22"/>
          <w:szCs w:val="22"/>
          <w:lang w:val="es-VE"/>
        </w:rPr>
        <w:t>Bard</w:t>
      </w:r>
      <w:proofErr w:type="spellEnd"/>
      <w:r w:rsidRPr="007F2727">
        <w:rPr>
          <w:rFonts w:ascii="Garamond" w:hAnsi="Garamond"/>
          <w:sz w:val="22"/>
          <w:szCs w:val="22"/>
          <w:lang w:val="es-VE"/>
        </w:rPr>
        <w:t xml:space="preserve"> (</w:t>
      </w:r>
      <w:proofErr w:type="spellStart"/>
      <w:r w:rsidRPr="007F2727">
        <w:rPr>
          <w:rFonts w:ascii="Garamond" w:hAnsi="Garamond"/>
          <w:i/>
          <w:iCs/>
          <w:sz w:val="22"/>
          <w:szCs w:val="22"/>
          <w:lang w:val="es-VE"/>
        </w:rPr>
        <w:t>chatbot</w:t>
      </w:r>
      <w:proofErr w:type="spellEnd"/>
      <w:r w:rsidRPr="007F2727">
        <w:rPr>
          <w:rFonts w:ascii="Garamond" w:hAnsi="Garamond"/>
          <w:sz w:val="22"/>
          <w:szCs w:val="22"/>
          <w:lang w:val="es-VE"/>
        </w:rPr>
        <w:t xml:space="preserve"> de noviembre 14, 2023). Modelo de lenguaje extenso. </w:t>
      </w:r>
      <w:hyperlink r:id="rId18" w:tgtFrame="_blank" w:history="1">
        <w:r w:rsidRPr="007F2727">
          <w:rPr>
            <w:rStyle w:val="Hipervnculo"/>
            <w:rFonts w:ascii="Garamond" w:hAnsi="Garamond"/>
            <w:sz w:val="22"/>
            <w:szCs w:val="22"/>
            <w:lang w:val="es-VE"/>
          </w:rPr>
          <w:t>https://bard.google.com/chat</w:t>
        </w:r>
      </w:hyperlink>
    </w:p>
    <w:p w14:paraId="634015C9" w14:textId="4AAAB6EA"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Instituto de Investigaciones Económicas y Sociales</w:t>
      </w:r>
      <w:r>
        <w:rPr>
          <w:rFonts w:ascii="Garamond" w:hAnsi="Garamond"/>
          <w:sz w:val="22"/>
          <w:szCs w:val="22"/>
          <w:lang w:val="es-VE"/>
        </w:rPr>
        <w:t>,</w:t>
      </w:r>
      <w:r w:rsidRPr="007F2727">
        <w:rPr>
          <w:rFonts w:ascii="Garamond" w:hAnsi="Garamond"/>
          <w:sz w:val="22"/>
          <w:szCs w:val="22"/>
          <w:lang w:val="es-VE"/>
        </w:rPr>
        <w:t xml:space="preserve"> Universidad Católica Andrés Bello</w:t>
      </w:r>
      <w:r>
        <w:rPr>
          <w:rFonts w:ascii="Garamond" w:hAnsi="Garamond"/>
          <w:sz w:val="22"/>
          <w:szCs w:val="22"/>
          <w:lang w:val="es-VE"/>
        </w:rPr>
        <w:t xml:space="preserve"> (</w:t>
      </w:r>
      <w:proofErr w:type="spellStart"/>
      <w:r>
        <w:rPr>
          <w:rFonts w:ascii="Garamond" w:hAnsi="Garamond"/>
          <w:sz w:val="22"/>
          <w:szCs w:val="22"/>
          <w:lang w:val="es-VE"/>
        </w:rPr>
        <w:t>IIES</w:t>
      </w:r>
      <w:proofErr w:type="spellEnd"/>
      <w:r>
        <w:rPr>
          <w:rFonts w:ascii="Garamond" w:hAnsi="Garamond"/>
          <w:sz w:val="22"/>
          <w:szCs w:val="22"/>
          <w:lang w:val="es-VE"/>
        </w:rPr>
        <w:t>, UCAB)</w:t>
      </w:r>
      <w:r w:rsidRPr="007F2727">
        <w:rPr>
          <w:rFonts w:ascii="Garamond" w:hAnsi="Garamond"/>
          <w:sz w:val="22"/>
          <w:szCs w:val="22"/>
          <w:lang w:val="es-VE"/>
        </w:rPr>
        <w:t xml:space="preserve">. (2021). </w:t>
      </w:r>
      <w:r w:rsidRPr="007F2727">
        <w:rPr>
          <w:rFonts w:ascii="Garamond" w:hAnsi="Garamond"/>
          <w:i/>
          <w:iCs/>
          <w:sz w:val="22"/>
          <w:szCs w:val="22"/>
          <w:lang w:val="es-VE"/>
        </w:rPr>
        <w:t>Estructura y desigualdad en el consumo de los hogares en Venezuela (2020-2021)</w:t>
      </w:r>
      <w:r w:rsidRPr="007F2727">
        <w:rPr>
          <w:rFonts w:ascii="Garamond" w:hAnsi="Garamond"/>
          <w:sz w:val="22"/>
          <w:szCs w:val="22"/>
          <w:lang w:val="es-VE"/>
        </w:rPr>
        <w:t xml:space="preserve"> (Notas sobre la Economía Venezolana Nro. 13). </w:t>
      </w:r>
      <w:hyperlink r:id="rId19" w:tgtFrame="_blank" w:history="1">
        <w:r w:rsidRPr="007F2727">
          <w:rPr>
            <w:rStyle w:val="Hipervnculo"/>
            <w:rFonts w:ascii="Garamond" w:hAnsi="Garamond"/>
            <w:sz w:val="22"/>
            <w:szCs w:val="22"/>
            <w:lang w:val="es-VE"/>
          </w:rPr>
          <w:t>https://www.ucab.edu.ve/wp-content/uploads/2022/01/UCAB-Nota-13-Estructura-y-desigualdad-en-el-consumo-LZS-y-SS.pdf</w:t>
        </w:r>
      </w:hyperlink>
    </w:p>
    <w:p w14:paraId="2C909AFD" w14:textId="32FA62BD"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Instituto de Investigaciones Económicas y Sociales</w:t>
      </w:r>
      <w:r>
        <w:rPr>
          <w:rFonts w:ascii="Garamond" w:hAnsi="Garamond"/>
          <w:sz w:val="22"/>
          <w:szCs w:val="22"/>
          <w:lang w:val="es-VE"/>
        </w:rPr>
        <w:t>,</w:t>
      </w:r>
      <w:r w:rsidRPr="007F2727">
        <w:rPr>
          <w:rFonts w:ascii="Garamond" w:hAnsi="Garamond"/>
          <w:sz w:val="22"/>
          <w:szCs w:val="22"/>
          <w:lang w:val="es-VE"/>
        </w:rPr>
        <w:t xml:space="preserve"> Universidad Católica Andrés Bello</w:t>
      </w:r>
      <w:r>
        <w:rPr>
          <w:rFonts w:ascii="Garamond" w:hAnsi="Garamond"/>
          <w:sz w:val="22"/>
          <w:szCs w:val="22"/>
          <w:lang w:val="es-VE"/>
        </w:rPr>
        <w:t xml:space="preserve"> (</w:t>
      </w:r>
      <w:proofErr w:type="spellStart"/>
      <w:r>
        <w:rPr>
          <w:rFonts w:ascii="Garamond" w:hAnsi="Garamond"/>
          <w:sz w:val="22"/>
          <w:szCs w:val="22"/>
          <w:lang w:val="es-VE"/>
        </w:rPr>
        <w:t>IIES</w:t>
      </w:r>
      <w:proofErr w:type="spellEnd"/>
      <w:r>
        <w:rPr>
          <w:rFonts w:ascii="Garamond" w:hAnsi="Garamond"/>
          <w:sz w:val="22"/>
          <w:szCs w:val="22"/>
          <w:lang w:val="es-VE"/>
        </w:rPr>
        <w:t>, UCAB</w:t>
      </w:r>
      <w:r w:rsidRPr="007F2727">
        <w:rPr>
          <w:rFonts w:ascii="Garamond" w:hAnsi="Garamond"/>
          <w:sz w:val="22"/>
          <w:szCs w:val="22"/>
          <w:lang w:val="es-VE"/>
        </w:rPr>
        <w:t xml:space="preserve">. (2023a). </w:t>
      </w:r>
      <w:r w:rsidRPr="007F2727">
        <w:rPr>
          <w:rFonts w:ascii="Garamond" w:hAnsi="Garamond"/>
          <w:i/>
          <w:iCs/>
          <w:sz w:val="22"/>
          <w:szCs w:val="22"/>
          <w:lang w:val="es-VE"/>
        </w:rPr>
        <w:t>Informe de Coyuntura Venezuela (abril, 2023)</w:t>
      </w:r>
      <w:r w:rsidRPr="007F2727">
        <w:rPr>
          <w:rFonts w:ascii="Garamond" w:hAnsi="Garamond"/>
          <w:sz w:val="22"/>
          <w:szCs w:val="22"/>
          <w:lang w:val="es-VE"/>
        </w:rPr>
        <w:t xml:space="preserve">. </w:t>
      </w:r>
      <w:hyperlink r:id="rId20" w:tgtFrame="_blank" w:history="1">
        <w:r w:rsidRPr="007F2727">
          <w:rPr>
            <w:rStyle w:val="Hipervnculo"/>
            <w:rFonts w:ascii="Garamond" w:hAnsi="Garamond"/>
            <w:sz w:val="22"/>
            <w:szCs w:val="22"/>
            <w:lang w:val="es-VE"/>
          </w:rPr>
          <w:t>https://www.ucab.edu.ve/investigacion/centros-e-institutos-de-investigacion/iies/informes-de-coyuntura/</w:t>
        </w:r>
      </w:hyperlink>
    </w:p>
    <w:p w14:paraId="429693A8" w14:textId="407065B3"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Instituto de Investigaciones Económicas y Sociales</w:t>
      </w:r>
      <w:r>
        <w:rPr>
          <w:rFonts w:ascii="Garamond" w:hAnsi="Garamond"/>
          <w:sz w:val="22"/>
          <w:szCs w:val="22"/>
          <w:lang w:val="es-VE"/>
        </w:rPr>
        <w:t>,</w:t>
      </w:r>
      <w:r w:rsidRPr="007F2727">
        <w:rPr>
          <w:rFonts w:ascii="Garamond" w:hAnsi="Garamond"/>
          <w:sz w:val="22"/>
          <w:szCs w:val="22"/>
          <w:lang w:val="es-VE"/>
        </w:rPr>
        <w:t xml:space="preserve"> Universidad Católica Andrés Bello</w:t>
      </w:r>
      <w:r>
        <w:rPr>
          <w:rFonts w:ascii="Garamond" w:hAnsi="Garamond"/>
          <w:sz w:val="22"/>
          <w:szCs w:val="22"/>
          <w:lang w:val="es-VE"/>
        </w:rPr>
        <w:t xml:space="preserve"> (</w:t>
      </w:r>
      <w:proofErr w:type="spellStart"/>
      <w:r>
        <w:rPr>
          <w:rFonts w:ascii="Garamond" w:hAnsi="Garamond"/>
          <w:sz w:val="22"/>
          <w:szCs w:val="22"/>
          <w:lang w:val="es-VE"/>
        </w:rPr>
        <w:t>IIES</w:t>
      </w:r>
      <w:proofErr w:type="spellEnd"/>
      <w:r>
        <w:rPr>
          <w:rFonts w:ascii="Garamond" w:hAnsi="Garamond"/>
          <w:sz w:val="22"/>
          <w:szCs w:val="22"/>
          <w:lang w:val="es-VE"/>
        </w:rPr>
        <w:t>, UCAB).</w:t>
      </w:r>
      <w:r w:rsidRPr="007F2727">
        <w:rPr>
          <w:rFonts w:ascii="Garamond" w:hAnsi="Garamond"/>
          <w:sz w:val="22"/>
          <w:szCs w:val="22"/>
          <w:lang w:val="es-VE"/>
        </w:rPr>
        <w:t xml:space="preserve"> </w:t>
      </w:r>
      <w:r>
        <w:rPr>
          <w:rFonts w:ascii="Garamond" w:hAnsi="Garamond"/>
          <w:sz w:val="22"/>
          <w:szCs w:val="22"/>
          <w:lang w:val="es-VE"/>
        </w:rPr>
        <w:t>(</w:t>
      </w:r>
      <w:r w:rsidRPr="007F2727">
        <w:rPr>
          <w:rFonts w:ascii="Garamond" w:hAnsi="Garamond"/>
          <w:sz w:val="22"/>
          <w:szCs w:val="22"/>
          <w:lang w:val="es-VE"/>
        </w:rPr>
        <w:t xml:space="preserve">2023b). </w:t>
      </w:r>
      <w:r w:rsidRPr="007F2727">
        <w:rPr>
          <w:rFonts w:ascii="Garamond" w:hAnsi="Garamond"/>
          <w:i/>
          <w:iCs/>
          <w:sz w:val="22"/>
          <w:szCs w:val="22"/>
          <w:lang w:val="es-VE"/>
        </w:rPr>
        <w:t>Informe de Coyuntura Venezuela (octubre, 2023)</w:t>
      </w:r>
      <w:r w:rsidRPr="007F2727">
        <w:rPr>
          <w:rFonts w:ascii="Garamond" w:hAnsi="Garamond"/>
          <w:sz w:val="22"/>
          <w:szCs w:val="22"/>
          <w:lang w:val="es-VE"/>
        </w:rPr>
        <w:t xml:space="preserve">. </w:t>
      </w:r>
      <w:hyperlink r:id="rId21" w:tgtFrame="_blank" w:history="1">
        <w:r w:rsidRPr="007F2727">
          <w:rPr>
            <w:rStyle w:val="Hipervnculo"/>
            <w:rFonts w:ascii="Garamond" w:hAnsi="Garamond"/>
            <w:sz w:val="22"/>
            <w:szCs w:val="22"/>
            <w:lang w:val="es-VE"/>
          </w:rPr>
          <w:t>https://www.ucab.edu.ve/investigacion/centros-e-institutos-de-investigacion/iies/informes-de-coyuntura</w:t>
        </w:r>
      </w:hyperlink>
    </w:p>
    <w:p w14:paraId="25AB7344" w14:textId="77777777"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Krugman, P. R. y Obstfeld, M. (2001). </w:t>
      </w:r>
      <w:r w:rsidRPr="007F2727">
        <w:rPr>
          <w:rFonts w:ascii="Garamond" w:hAnsi="Garamond"/>
          <w:i/>
          <w:iCs/>
          <w:sz w:val="22"/>
          <w:szCs w:val="22"/>
          <w:lang w:val="es-VE"/>
        </w:rPr>
        <w:t>Economía internacional: teoría y política</w:t>
      </w:r>
      <w:r w:rsidRPr="007F2727">
        <w:rPr>
          <w:rFonts w:ascii="Garamond" w:hAnsi="Garamond"/>
          <w:sz w:val="22"/>
          <w:szCs w:val="22"/>
          <w:lang w:val="es-VE"/>
        </w:rPr>
        <w:t>. Addison Wesley - Pearson Educación, S. A.</w:t>
      </w:r>
    </w:p>
    <w:p w14:paraId="3D71CC5F" w14:textId="5EDF87FA"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t>Latam</w:t>
      </w:r>
      <w:proofErr w:type="spellEnd"/>
      <w:r w:rsidRPr="007F2727">
        <w:rPr>
          <w:rFonts w:ascii="Garamond" w:hAnsi="Garamond"/>
          <w:sz w:val="22"/>
          <w:szCs w:val="22"/>
          <w:lang w:val="es-VE"/>
        </w:rPr>
        <w:t xml:space="preserve"> Networks. (2020, 6 de agosto). </w:t>
      </w:r>
      <w:r w:rsidRPr="007F2727">
        <w:rPr>
          <w:rFonts w:ascii="Garamond" w:hAnsi="Garamond"/>
          <w:i/>
          <w:iCs/>
          <w:sz w:val="22"/>
          <w:szCs w:val="22"/>
          <w:lang w:val="es-VE"/>
        </w:rPr>
        <w:t>Historia y desarrollo de la franquicia en los países de américa latina</w:t>
      </w:r>
      <w:r w:rsidRPr="007F2727">
        <w:rPr>
          <w:rFonts w:ascii="Garamond" w:hAnsi="Garamond"/>
          <w:sz w:val="22"/>
          <w:szCs w:val="22"/>
          <w:lang w:val="es-VE"/>
        </w:rPr>
        <w:t xml:space="preserve">. </w:t>
      </w:r>
      <w:hyperlink r:id="rId22" w:tgtFrame="_blank" w:history="1">
        <w:r w:rsidRPr="007F2727">
          <w:rPr>
            <w:rStyle w:val="Hipervnculo"/>
            <w:rFonts w:ascii="Garamond" w:hAnsi="Garamond"/>
            <w:sz w:val="22"/>
            <w:szCs w:val="22"/>
            <w:lang w:val="es-VE"/>
          </w:rPr>
          <w:t>https://latamnetworks.es/desarrollo-de-la-franquicia-en-latam/</w:t>
        </w:r>
      </w:hyperlink>
    </w:p>
    <w:p w14:paraId="51BA3C17" w14:textId="6C5DA067"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lastRenderedPageBreak/>
        <w:t xml:space="preserve">Linares, T., J. A. (2023, 15 de marzo). Tres millones de venezolanos son emprendedores, revela estudio de la UCAB y el </w:t>
      </w:r>
      <w:proofErr w:type="spellStart"/>
      <w:r w:rsidRPr="007F2727">
        <w:rPr>
          <w:rFonts w:ascii="Garamond" w:hAnsi="Garamond"/>
          <w:sz w:val="22"/>
          <w:szCs w:val="22"/>
          <w:lang w:val="es-VE"/>
        </w:rPr>
        <w:t>IESA</w:t>
      </w:r>
      <w:proofErr w:type="spellEnd"/>
      <w:r w:rsidRPr="007F2727">
        <w:rPr>
          <w:rFonts w:ascii="Garamond" w:hAnsi="Garamond"/>
          <w:sz w:val="22"/>
          <w:szCs w:val="22"/>
          <w:lang w:val="es-VE"/>
        </w:rPr>
        <w:t xml:space="preserve">. </w:t>
      </w:r>
      <w:r w:rsidRPr="007F2727">
        <w:rPr>
          <w:rFonts w:ascii="Garamond" w:hAnsi="Garamond"/>
          <w:i/>
          <w:iCs/>
          <w:sz w:val="22"/>
          <w:szCs w:val="22"/>
          <w:lang w:val="es-VE"/>
        </w:rPr>
        <w:t xml:space="preserve">El </w:t>
      </w:r>
      <w:proofErr w:type="spellStart"/>
      <w:r w:rsidRPr="007F2727">
        <w:rPr>
          <w:rFonts w:ascii="Garamond" w:hAnsi="Garamond"/>
          <w:i/>
          <w:iCs/>
          <w:sz w:val="22"/>
          <w:szCs w:val="22"/>
          <w:lang w:val="es-VE"/>
        </w:rPr>
        <w:t>Ucabista</w:t>
      </w:r>
      <w:proofErr w:type="spellEnd"/>
      <w:r w:rsidRPr="007F2727">
        <w:rPr>
          <w:rFonts w:ascii="Garamond" w:hAnsi="Garamond"/>
          <w:sz w:val="22"/>
          <w:szCs w:val="22"/>
          <w:lang w:val="es-VE"/>
        </w:rPr>
        <w:t xml:space="preserve">. </w:t>
      </w:r>
      <w:hyperlink r:id="rId23" w:tgtFrame="_blank" w:history="1">
        <w:r w:rsidRPr="007F2727">
          <w:rPr>
            <w:rStyle w:val="Hipervnculo"/>
            <w:rFonts w:ascii="Garamond" w:hAnsi="Garamond"/>
            <w:sz w:val="22"/>
            <w:szCs w:val="22"/>
            <w:lang w:val="es-VE"/>
          </w:rPr>
          <w:t>https://elucabista.com/2023/03/15/tres-millones-de-venezolanos-son-emprendedores-revela-estudio-de-la-ucab-y-el-iesa/</w:t>
        </w:r>
      </w:hyperlink>
    </w:p>
    <w:p w14:paraId="70A0278D" w14:textId="0C4FCC4F"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Lomba, P. (2023, 9 de octubre). La OPEP prevé un mayor consumo de petróleo y alerta sobre el “caos” si no se invierten 14 billones. </w:t>
      </w:r>
      <w:r w:rsidRPr="007F2727">
        <w:rPr>
          <w:rFonts w:ascii="Garamond" w:hAnsi="Garamond"/>
          <w:i/>
          <w:iCs/>
          <w:sz w:val="22"/>
          <w:szCs w:val="22"/>
          <w:lang w:val="es-VE"/>
        </w:rPr>
        <w:t>El País</w:t>
      </w:r>
      <w:r w:rsidRPr="007F2727">
        <w:rPr>
          <w:rFonts w:ascii="Garamond" w:hAnsi="Garamond"/>
          <w:sz w:val="22"/>
          <w:szCs w:val="22"/>
          <w:lang w:val="es-VE"/>
        </w:rPr>
        <w:t xml:space="preserve">. </w:t>
      </w:r>
      <w:hyperlink r:id="rId24" w:tgtFrame="_blank" w:history="1">
        <w:r w:rsidRPr="007F2727">
          <w:rPr>
            <w:rStyle w:val="Hipervnculo"/>
            <w:rFonts w:ascii="Garamond" w:hAnsi="Garamond"/>
            <w:sz w:val="22"/>
            <w:szCs w:val="22"/>
            <w:lang w:val="es-VE"/>
          </w:rPr>
          <w:t>https://elpais.com/economia/2023-10-09/la-opep-preve-un-mayor-consumo-de-petroleo-y-alerta-sobre-el-caos-si-no-se-invierten-14-billones.html</w:t>
        </w:r>
      </w:hyperlink>
    </w:p>
    <w:p w14:paraId="4B1A4D53" w14:textId="4537E4C2"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Luján, R. (2022, 20 de julio). Sector de franquicias se recupera en Venezuela tras haber perdido 270 marcas en 7 años. </w:t>
      </w:r>
      <w:r w:rsidRPr="007F2727">
        <w:rPr>
          <w:rFonts w:ascii="Garamond" w:hAnsi="Garamond"/>
          <w:i/>
          <w:iCs/>
          <w:sz w:val="22"/>
          <w:szCs w:val="22"/>
          <w:lang w:val="es-VE"/>
        </w:rPr>
        <w:t>Bloomberg Línea</w:t>
      </w:r>
      <w:r w:rsidRPr="007F2727">
        <w:rPr>
          <w:rFonts w:ascii="Garamond" w:hAnsi="Garamond"/>
          <w:sz w:val="22"/>
          <w:szCs w:val="22"/>
          <w:lang w:val="es-VE"/>
        </w:rPr>
        <w:t xml:space="preserve">. </w:t>
      </w:r>
      <w:hyperlink r:id="rId25" w:tgtFrame="_blank" w:history="1">
        <w:r w:rsidRPr="007F2727">
          <w:rPr>
            <w:rStyle w:val="Hipervnculo"/>
            <w:rFonts w:ascii="Garamond" w:hAnsi="Garamond"/>
            <w:sz w:val="22"/>
            <w:szCs w:val="22"/>
            <w:lang w:val="es-VE"/>
          </w:rPr>
          <w:t>https://www.bloomberglinea.com/2022/07/20/sector-de-franquicias-se-recupera-en-venezuela-tras-haber-perdido-270-marcas-en-7-anos/</w:t>
        </w:r>
      </w:hyperlink>
    </w:p>
    <w:p w14:paraId="4B1541CB" w14:textId="79E79B25"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Luján, R. (2023, 20 de octubre). ¿Cuáles son las expectativas para Venezuela en 2024 tras el alivio de sanciones? </w:t>
      </w:r>
      <w:r w:rsidRPr="007F2727">
        <w:rPr>
          <w:rFonts w:ascii="Garamond" w:hAnsi="Garamond"/>
          <w:i/>
          <w:iCs/>
          <w:sz w:val="22"/>
          <w:szCs w:val="22"/>
          <w:lang w:val="es-VE"/>
        </w:rPr>
        <w:t>Bloomberg Línea</w:t>
      </w:r>
      <w:r w:rsidRPr="007F2727">
        <w:rPr>
          <w:rFonts w:ascii="Garamond" w:hAnsi="Garamond"/>
          <w:sz w:val="22"/>
          <w:szCs w:val="22"/>
          <w:lang w:val="es-VE"/>
        </w:rPr>
        <w:t xml:space="preserve">. </w:t>
      </w:r>
      <w:hyperlink r:id="rId26" w:tgtFrame="_blank" w:history="1">
        <w:r w:rsidRPr="007F2727">
          <w:rPr>
            <w:rStyle w:val="Hipervnculo"/>
            <w:rFonts w:ascii="Garamond" w:hAnsi="Garamond"/>
            <w:sz w:val="22"/>
            <w:szCs w:val="22"/>
            <w:lang w:val="es-VE"/>
          </w:rPr>
          <w:t>https://www.bloomberglinea.com/latinoamerica/venezuela/cuales-son-las-expectativas-para-venezuela-en-2024-tras-el-alivio-de-sanciones/</w:t>
        </w:r>
      </w:hyperlink>
    </w:p>
    <w:p w14:paraId="0989DE05" w14:textId="27A4D762"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Microsoft. (2023). Bing (versión 1.0 del </w:t>
      </w:r>
      <w:proofErr w:type="spellStart"/>
      <w:r w:rsidRPr="007F2727">
        <w:rPr>
          <w:rFonts w:ascii="Garamond" w:hAnsi="Garamond"/>
          <w:i/>
          <w:iCs/>
          <w:sz w:val="22"/>
          <w:szCs w:val="22"/>
          <w:lang w:val="es-VE"/>
        </w:rPr>
        <w:t>chatbot</w:t>
      </w:r>
      <w:proofErr w:type="spellEnd"/>
      <w:r w:rsidRPr="007F2727">
        <w:rPr>
          <w:rFonts w:ascii="Garamond" w:hAnsi="Garamond"/>
          <w:sz w:val="22"/>
          <w:szCs w:val="22"/>
          <w:lang w:val="es-VE"/>
        </w:rPr>
        <w:t xml:space="preserve"> de noviembre 14 de 2023). Modelo de lenguaje extenso. </w:t>
      </w:r>
      <w:hyperlink r:id="rId27" w:tgtFrame="_blank" w:history="1">
        <w:r w:rsidRPr="007F2727">
          <w:rPr>
            <w:rStyle w:val="Hipervnculo"/>
            <w:rFonts w:ascii="Garamond" w:hAnsi="Garamond"/>
            <w:sz w:val="22"/>
            <w:szCs w:val="22"/>
            <w:lang w:val="es-VE"/>
          </w:rPr>
          <w:t>https://www.bing.com/</w:t>
        </w:r>
      </w:hyperlink>
    </w:p>
    <w:p w14:paraId="09170E0E" w14:textId="1C0C8707"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Moreno, Á. (2023, 19 de octubre). ¿Puede Venezuela tumbar el petróleo? EE. UU. levanta las sanciones al crudo y gas de Maduro. </w:t>
      </w:r>
      <w:r w:rsidRPr="007F2727">
        <w:rPr>
          <w:rFonts w:ascii="Garamond" w:hAnsi="Garamond"/>
          <w:i/>
          <w:iCs/>
          <w:sz w:val="22"/>
          <w:szCs w:val="22"/>
          <w:lang w:val="es-VE"/>
        </w:rPr>
        <w:t>El Economista.es</w:t>
      </w:r>
      <w:r w:rsidRPr="007F2727">
        <w:rPr>
          <w:rFonts w:ascii="Garamond" w:hAnsi="Garamond"/>
          <w:sz w:val="22"/>
          <w:szCs w:val="22"/>
          <w:lang w:val="es-VE"/>
        </w:rPr>
        <w:t xml:space="preserve">. </w:t>
      </w:r>
      <w:hyperlink r:id="rId28" w:tgtFrame="_blank" w:history="1">
        <w:r w:rsidRPr="007F2727">
          <w:rPr>
            <w:rStyle w:val="Hipervnculo"/>
            <w:rFonts w:ascii="Garamond" w:hAnsi="Garamond"/>
            <w:sz w:val="22"/>
            <w:szCs w:val="22"/>
            <w:lang w:val="es-VE"/>
          </w:rPr>
          <w:t>https://www.eleconomista.es/mercados-cotizaciones/noticias/12497732/10/23/puede-venezuela-tumbar-el-petroleo-eeuu-levanta-las-sanciones-al-crudo-y-gas-contra-maduro.html</w:t>
        </w:r>
      </w:hyperlink>
    </w:p>
    <w:p w14:paraId="5482F751" w14:textId="436530C3"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t>Mur</w:t>
      </w:r>
      <w:proofErr w:type="spellEnd"/>
      <w:r w:rsidRPr="007F2727">
        <w:rPr>
          <w:rFonts w:ascii="Garamond" w:hAnsi="Garamond"/>
          <w:sz w:val="22"/>
          <w:szCs w:val="22"/>
          <w:lang w:val="es-VE"/>
        </w:rPr>
        <w:t xml:space="preserve">, R. (2018, 25 de noviembre). El péndulo latinoamericano. </w:t>
      </w:r>
      <w:r w:rsidRPr="007F2727">
        <w:rPr>
          <w:rFonts w:ascii="Garamond" w:hAnsi="Garamond"/>
          <w:i/>
          <w:iCs/>
          <w:sz w:val="22"/>
          <w:szCs w:val="22"/>
          <w:lang w:val="es-VE"/>
        </w:rPr>
        <w:t>La Vanguardia</w:t>
      </w:r>
      <w:r w:rsidRPr="007F2727">
        <w:rPr>
          <w:rFonts w:ascii="Garamond" w:hAnsi="Garamond"/>
          <w:sz w:val="22"/>
          <w:szCs w:val="22"/>
          <w:lang w:val="es-VE"/>
        </w:rPr>
        <w:t xml:space="preserve">. </w:t>
      </w:r>
      <w:hyperlink r:id="rId29" w:tgtFrame="_blank" w:history="1">
        <w:r w:rsidRPr="007F2727">
          <w:rPr>
            <w:rStyle w:val="Hipervnculo"/>
            <w:rFonts w:ascii="Garamond" w:hAnsi="Garamond"/>
            <w:sz w:val="22"/>
            <w:szCs w:val="22"/>
            <w:lang w:val="es-VE"/>
          </w:rPr>
          <w:t>https://www.lavanguardia.com/internacional/20181125/453134520775/giro-politico-latinoamerica-progresismo-conservadurismo-populismo.html</w:t>
        </w:r>
      </w:hyperlink>
    </w:p>
    <w:p w14:paraId="3F56BC29" w14:textId="395D17C2"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t>OECD</w:t>
      </w:r>
      <w:proofErr w:type="spellEnd"/>
      <w:r w:rsidRPr="007F2727">
        <w:rPr>
          <w:rFonts w:ascii="Garamond" w:hAnsi="Garamond"/>
          <w:sz w:val="22"/>
          <w:szCs w:val="22"/>
          <w:lang w:val="es-VE"/>
        </w:rPr>
        <w:t xml:space="preserve">, </w:t>
      </w:r>
      <w:r w:rsidRPr="007F2727">
        <w:rPr>
          <w:rFonts w:ascii="Garamond" w:hAnsi="Garamond"/>
          <w:i/>
          <w:iCs/>
          <w:sz w:val="22"/>
          <w:szCs w:val="22"/>
          <w:lang w:val="es-VE"/>
        </w:rPr>
        <w:t>et al</w:t>
      </w:r>
      <w:r w:rsidRPr="007F2727">
        <w:rPr>
          <w:rFonts w:ascii="Garamond" w:hAnsi="Garamond"/>
          <w:sz w:val="22"/>
          <w:szCs w:val="22"/>
          <w:lang w:val="es-VE"/>
        </w:rPr>
        <w:t xml:space="preserve">. (2023). </w:t>
      </w:r>
      <w:r w:rsidRPr="007F2727">
        <w:rPr>
          <w:rFonts w:ascii="Garamond" w:hAnsi="Garamond"/>
          <w:i/>
          <w:iCs/>
          <w:sz w:val="22"/>
          <w:szCs w:val="22"/>
          <w:lang w:val="es-VE"/>
        </w:rPr>
        <w:t>Estadísticas tributarias en América Latina y el Caribe 2023</w:t>
      </w:r>
      <w:r w:rsidRPr="007F2727">
        <w:rPr>
          <w:rFonts w:ascii="Garamond" w:hAnsi="Garamond"/>
          <w:sz w:val="22"/>
          <w:szCs w:val="22"/>
          <w:lang w:val="es-VE"/>
        </w:rPr>
        <w:t xml:space="preserve">. </w:t>
      </w:r>
      <w:proofErr w:type="spellStart"/>
      <w:r w:rsidRPr="007F2727">
        <w:rPr>
          <w:rFonts w:ascii="Garamond" w:hAnsi="Garamond"/>
          <w:sz w:val="22"/>
          <w:szCs w:val="22"/>
          <w:lang w:val="es-VE"/>
        </w:rPr>
        <w:t>OECD</w:t>
      </w:r>
      <w:proofErr w:type="spellEnd"/>
      <w:r w:rsidRPr="007F2727">
        <w:rPr>
          <w:rFonts w:ascii="Garamond" w:hAnsi="Garamond"/>
          <w:sz w:val="22"/>
          <w:szCs w:val="22"/>
          <w:lang w:val="es-VE"/>
        </w:rPr>
        <w:t xml:space="preserve"> Publishing. </w:t>
      </w:r>
      <w:hyperlink r:id="rId30" w:tgtFrame="_blank" w:history="1">
        <w:r w:rsidRPr="007F2727">
          <w:rPr>
            <w:rStyle w:val="Hipervnculo"/>
            <w:rFonts w:ascii="Garamond" w:hAnsi="Garamond"/>
            <w:sz w:val="22"/>
            <w:szCs w:val="22"/>
            <w:lang w:val="es-VE"/>
          </w:rPr>
          <w:t>https://doi.org/10.1787/5a7667d6-es</w:t>
        </w:r>
      </w:hyperlink>
    </w:p>
    <w:p w14:paraId="7D7D53A6" w14:textId="1AF54481"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Ojea, L. (2022, 30 de junio). La demanda de crudo subirá un 7% en 2030: "Un futuro que podría ser malo o desastroso", según el sector del petróleo. </w:t>
      </w:r>
      <w:r w:rsidRPr="007F2727">
        <w:rPr>
          <w:rFonts w:ascii="Garamond" w:hAnsi="Garamond"/>
          <w:i/>
          <w:iCs/>
          <w:sz w:val="22"/>
          <w:szCs w:val="22"/>
          <w:lang w:val="es-VE"/>
        </w:rPr>
        <w:t xml:space="preserve">El </w:t>
      </w:r>
      <w:proofErr w:type="gramStart"/>
      <w:r w:rsidRPr="007F2727">
        <w:rPr>
          <w:rFonts w:ascii="Garamond" w:hAnsi="Garamond"/>
          <w:i/>
          <w:iCs/>
          <w:sz w:val="22"/>
          <w:szCs w:val="22"/>
          <w:lang w:val="es-VE"/>
        </w:rPr>
        <w:t>Español</w:t>
      </w:r>
      <w:proofErr w:type="gramEnd"/>
      <w:r w:rsidRPr="007F2727">
        <w:rPr>
          <w:rFonts w:ascii="Garamond" w:hAnsi="Garamond"/>
          <w:sz w:val="22"/>
          <w:szCs w:val="22"/>
          <w:lang w:val="es-VE"/>
        </w:rPr>
        <w:t xml:space="preserve">. </w:t>
      </w:r>
      <w:hyperlink r:id="rId31" w:history="1">
        <w:r w:rsidR="00667BB3" w:rsidRPr="007F2727">
          <w:rPr>
            <w:rStyle w:val="Hipervnculo"/>
            <w:rFonts w:ascii="Garamond" w:hAnsi="Garamond"/>
            <w:sz w:val="22"/>
            <w:szCs w:val="22"/>
            <w:lang w:val="es-VE"/>
          </w:rPr>
          <w:t>https://www.elespanol.com/invertia/empresas/energia/20220630/demanda-subira-futuro-podria-desastroso-sector-petroleo/683931757_0.html</w:t>
        </w:r>
      </w:hyperlink>
    </w:p>
    <w:p w14:paraId="4BFEF094" w14:textId="77777777"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Palma, P. A. (2018, 27 de enero). Hiperinflación en Venezuela. </w:t>
      </w:r>
      <w:r w:rsidRPr="007F2727">
        <w:rPr>
          <w:rFonts w:ascii="Garamond" w:hAnsi="Garamond"/>
          <w:i/>
          <w:iCs/>
          <w:sz w:val="22"/>
          <w:szCs w:val="22"/>
          <w:lang w:val="es-VE"/>
        </w:rPr>
        <w:t>El Economista</w:t>
      </w:r>
      <w:r w:rsidRPr="007F2727">
        <w:rPr>
          <w:rFonts w:ascii="Garamond" w:hAnsi="Garamond"/>
          <w:sz w:val="22"/>
          <w:szCs w:val="22"/>
          <w:lang w:val="es-VE"/>
        </w:rPr>
        <w:t>.</w:t>
      </w:r>
    </w:p>
    <w:p w14:paraId="0E603F8D" w14:textId="6E2EF837"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t>Pascuali</w:t>
      </w:r>
      <w:proofErr w:type="spellEnd"/>
      <w:r w:rsidRPr="007F2727">
        <w:rPr>
          <w:rFonts w:ascii="Garamond" w:hAnsi="Garamond"/>
          <w:sz w:val="22"/>
          <w:szCs w:val="22"/>
          <w:lang w:val="es-VE"/>
        </w:rPr>
        <w:t xml:space="preserve">, M. (2022, 2 de noviembre). </w:t>
      </w:r>
      <w:r w:rsidRPr="007F2727">
        <w:rPr>
          <w:rFonts w:ascii="Garamond" w:hAnsi="Garamond"/>
          <w:i/>
          <w:iCs/>
          <w:sz w:val="22"/>
          <w:szCs w:val="22"/>
          <w:lang w:val="es-VE"/>
        </w:rPr>
        <w:t>El nuevo mapa político latinoamericano</w:t>
      </w:r>
      <w:r w:rsidRPr="007F2727">
        <w:rPr>
          <w:rFonts w:ascii="Garamond" w:hAnsi="Garamond"/>
          <w:sz w:val="22"/>
          <w:szCs w:val="22"/>
          <w:lang w:val="es-VE"/>
        </w:rPr>
        <w:t xml:space="preserve">. Statista. </w:t>
      </w:r>
      <w:hyperlink r:id="rId32" w:tgtFrame="_blank" w:history="1">
        <w:r w:rsidRPr="007F2727">
          <w:rPr>
            <w:rStyle w:val="Hipervnculo"/>
            <w:rFonts w:ascii="Garamond" w:hAnsi="Garamond"/>
            <w:sz w:val="22"/>
            <w:szCs w:val="22"/>
            <w:lang w:val="es-VE"/>
          </w:rPr>
          <w:t>https://es.statista.com/grafico/28637/mapa-de-los-gobiernos-latinoamericanos/</w:t>
        </w:r>
      </w:hyperlink>
    </w:p>
    <w:p w14:paraId="1D72B946" w14:textId="71FF6768"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Perea, M. (2019, 17 de octubre). ¿Empieza una nueva oleada de izquierda en América Latina? </w:t>
      </w:r>
      <w:r w:rsidRPr="007F2727">
        <w:rPr>
          <w:rFonts w:ascii="Garamond" w:hAnsi="Garamond"/>
          <w:i/>
          <w:iCs/>
          <w:sz w:val="22"/>
          <w:szCs w:val="22"/>
          <w:lang w:val="es-VE"/>
        </w:rPr>
        <w:t>Semana</w:t>
      </w:r>
      <w:r w:rsidRPr="007F2727">
        <w:rPr>
          <w:rFonts w:ascii="Garamond" w:hAnsi="Garamond"/>
          <w:sz w:val="22"/>
          <w:szCs w:val="22"/>
          <w:lang w:val="es-VE"/>
        </w:rPr>
        <w:t xml:space="preserve">. </w:t>
      </w:r>
      <w:hyperlink r:id="rId33" w:tgtFrame="_blank" w:history="1">
        <w:r w:rsidRPr="007F2727">
          <w:rPr>
            <w:rStyle w:val="Hipervnculo"/>
            <w:rFonts w:ascii="Garamond" w:hAnsi="Garamond"/>
            <w:sz w:val="22"/>
            <w:szCs w:val="22"/>
            <w:lang w:val="es-VE"/>
          </w:rPr>
          <w:t>https://www.semana.com/opinion/articulo/empieza-una-nueva-oleada-de-izquierda-en-america-latina/278196/</w:t>
        </w:r>
      </w:hyperlink>
    </w:p>
    <w:p w14:paraId="553A7CFB" w14:textId="445AFF42"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t>Petroguía</w:t>
      </w:r>
      <w:proofErr w:type="spellEnd"/>
      <w:r w:rsidRPr="007F2727">
        <w:rPr>
          <w:rFonts w:ascii="Garamond" w:hAnsi="Garamond"/>
          <w:sz w:val="22"/>
          <w:szCs w:val="22"/>
          <w:lang w:val="es-VE"/>
        </w:rPr>
        <w:t xml:space="preserve">. (2023, 9 de noviembre). </w:t>
      </w:r>
      <w:proofErr w:type="spellStart"/>
      <w:r w:rsidRPr="007F2727">
        <w:rPr>
          <w:rFonts w:ascii="Garamond" w:hAnsi="Garamond"/>
          <w:i/>
          <w:iCs/>
          <w:sz w:val="22"/>
          <w:szCs w:val="22"/>
          <w:lang w:val="es-VE"/>
        </w:rPr>
        <w:t>Ecoanalítica</w:t>
      </w:r>
      <w:proofErr w:type="spellEnd"/>
      <w:r w:rsidRPr="007F2727">
        <w:rPr>
          <w:rFonts w:ascii="Garamond" w:hAnsi="Garamond"/>
          <w:i/>
          <w:iCs/>
          <w:sz w:val="22"/>
          <w:szCs w:val="22"/>
          <w:lang w:val="es-VE"/>
        </w:rPr>
        <w:t>: PIB petrolero de Venezuela crecerá 6% en 2023 y 8,1% en 2024</w:t>
      </w:r>
      <w:r w:rsidRPr="007F2727">
        <w:rPr>
          <w:rFonts w:ascii="Garamond" w:hAnsi="Garamond"/>
          <w:sz w:val="22"/>
          <w:szCs w:val="22"/>
          <w:lang w:val="es-VE"/>
        </w:rPr>
        <w:t xml:space="preserve">. </w:t>
      </w:r>
      <w:hyperlink r:id="rId34" w:tgtFrame="_blank" w:history="1">
        <w:r w:rsidRPr="007F2727">
          <w:rPr>
            <w:rStyle w:val="Hipervnculo"/>
            <w:rFonts w:ascii="Garamond" w:hAnsi="Garamond"/>
            <w:sz w:val="22"/>
            <w:szCs w:val="22"/>
            <w:lang w:val="es-VE"/>
          </w:rPr>
          <w:t>http://www2.petroguia.com/pet/noticias/petr%C3%B3leo/ecoanal%C3%ADtica-pib-petrolero-de-venezuela-crecer%C3%A1-6-en-2023-y-81-en-2024</w:t>
        </w:r>
      </w:hyperlink>
    </w:p>
    <w:p w14:paraId="3FD99F1F" w14:textId="2168964E"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Rivas, R. (2001). Arturo Uslar Pietri y la Comprensión de la economía venezolana. </w:t>
      </w:r>
      <w:r w:rsidRPr="007F2727">
        <w:rPr>
          <w:rFonts w:ascii="Garamond" w:hAnsi="Garamond"/>
          <w:i/>
          <w:iCs/>
          <w:sz w:val="22"/>
          <w:szCs w:val="22"/>
          <w:lang w:val="es-VE"/>
        </w:rPr>
        <w:t>Presente y Pasado: Revista de Historia</w:t>
      </w:r>
      <w:r w:rsidRPr="007F2727">
        <w:rPr>
          <w:rFonts w:ascii="Garamond" w:hAnsi="Garamond"/>
          <w:sz w:val="22"/>
          <w:szCs w:val="22"/>
          <w:lang w:val="es-VE"/>
        </w:rPr>
        <w:t xml:space="preserve">, </w:t>
      </w:r>
      <w:r w:rsidRPr="007F2727">
        <w:rPr>
          <w:rFonts w:ascii="Garamond" w:hAnsi="Garamond"/>
          <w:i/>
          <w:iCs/>
          <w:sz w:val="22"/>
          <w:szCs w:val="22"/>
          <w:lang w:val="es-VE"/>
        </w:rPr>
        <w:t>6</w:t>
      </w:r>
      <w:r w:rsidRPr="007F2727">
        <w:rPr>
          <w:rFonts w:ascii="Garamond" w:hAnsi="Garamond"/>
          <w:sz w:val="22"/>
          <w:szCs w:val="22"/>
          <w:lang w:val="es-VE"/>
        </w:rPr>
        <w:t xml:space="preserve">(11/12), 12-35. </w:t>
      </w:r>
      <w:hyperlink r:id="rId35" w:tgtFrame="_blank" w:history="1">
        <w:r w:rsidRPr="007F2727">
          <w:rPr>
            <w:rStyle w:val="Hipervnculo"/>
            <w:rFonts w:ascii="Garamond" w:hAnsi="Garamond"/>
            <w:sz w:val="22"/>
            <w:szCs w:val="22"/>
            <w:lang w:val="es-VE"/>
          </w:rPr>
          <w:t>https://www.yumpu.com/es/document/read/14325696/arturo-uslar-pietri-y-la-comprension-de-la-economia-venezolana</w:t>
        </w:r>
      </w:hyperlink>
    </w:p>
    <w:p w14:paraId="1ABA3E5B" w14:textId="2171AF8E"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Rodríguez, F. (2022, 17 de febrero). </w:t>
      </w:r>
      <w:r w:rsidRPr="007F2727">
        <w:rPr>
          <w:rFonts w:ascii="Garamond" w:hAnsi="Garamond"/>
          <w:i/>
          <w:iCs/>
          <w:sz w:val="22"/>
          <w:szCs w:val="22"/>
          <w:lang w:val="es-VE"/>
        </w:rPr>
        <w:t>El fin de la hiperinflación venezolana</w:t>
      </w:r>
      <w:r w:rsidRPr="007F2727">
        <w:rPr>
          <w:rFonts w:ascii="Garamond" w:hAnsi="Garamond"/>
          <w:sz w:val="22"/>
          <w:szCs w:val="22"/>
          <w:lang w:val="es-VE"/>
        </w:rPr>
        <w:t xml:space="preserve">. </w:t>
      </w:r>
      <w:hyperlink r:id="rId36" w:tgtFrame="_blank" w:history="1">
        <w:r w:rsidRPr="007F2727">
          <w:rPr>
            <w:rStyle w:val="Hipervnculo"/>
            <w:rFonts w:ascii="Garamond" w:hAnsi="Garamond"/>
            <w:sz w:val="22"/>
            <w:szCs w:val="22"/>
            <w:lang w:val="es-VE"/>
          </w:rPr>
          <w:t>https://franciscorodriguez.net/2022/02/17/el-fin-de-la-hiperinflacion-venezolana/</w:t>
        </w:r>
      </w:hyperlink>
    </w:p>
    <w:p w14:paraId="75F6F795" w14:textId="16D5C19F" w:rsidR="00CA6E4E" w:rsidRPr="007F2727" w:rsidRDefault="00CA6E4E" w:rsidP="007F2727">
      <w:pPr>
        <w:spacing w:after="120"/>
        <w:ind w:left="284" w:hanging="284"/>
        <w:rPr>
          <w:rFonts w:ascii="Garamond" w:hAnsi="Garamond"/>
          <w:sz w:val="22"/>
          <w:szCs w:val="22"/>
          <w:lang w:val="es-VE"/>
        </w:rPr>
      </w:pPr>
      <w:r w:rsidRPr="007F2727">
        <w:rPr>
          <w:rFonts w:ascii="Garamond" w:hAnsi="Garamond"/>
          <w:sz w:val="22"/>
          <w:szCs w:val="22"/>
          <w:lang w:val="es-VE"/>
        </w:rPr>
        <w:t xml:space="preserve">Seijas M., C. (2023, 4 de noviembre). Venezuela, con restricciones para expandir su economía aun sin sanciones. </w:t>
      </w:r>
      <w:r w:rsidRPr="007F2727">
        <w:rPr>
          <w:rFonts w:ascii="Garamond" w:hAnsi="Garamond"/>
          <w:i/>
          <w:iCs/>
          <w:sz w:val="22"/>
          <w:szCs w:val="22"/>
          <w:lang w:val="es-VE"/>
        </w:rPr>
        <w:t>Noticias EFE</w:t>
      </w:r>
      <w:r w:rsidRPr="007F2727">
        <w:rPr>
          <w:rFonts w:ascii="Garamond" w:hAnsi="Garamond"/>
          <w:sz w:val="22"/>
          <w:szCs w:val="22"/>
          <w:lang w:val="es-VE"/>
        </w:rPr>
        <w:t xml:space="preserve">. </w:t>
      </w:r>
      <w:hyperlink r:id="rId37" w:tgtFrame="_blank" w:history="1">
        <w:r w:rsidRPr="007F2727">
          <w:rPr>
            <w:rStyle w:val="Hipervnculo"/>
            <w:rFonts w:ascii="Garamond" w:hAnsi="Garamond"/>
            <w:sz w:val="22"/>
            <w:szCs w:val="22"/>
            <w:lang w:val="es-VE"/>
          </w:rPr>
          <w:t>https://efe.com/economia/2023-11-04/venezuela-con-restricciones-para-expandir-su-economia-aun-sin-sanciones/</w:t>
        </w:r>
      </w:hyperlink>
    </w:p>
    <w:p w14:paraId="1E84F6C2" w14:textId="6D96C7AC" w:rsidR="00CA6E4E" w:rsidRPr="007F2727" w:rsidRDefault="00CA6E4E" w:rsidP="007F2727">
      <w:pPr>
        <w:spacing w:after="120"/>
        <w:ind w:left="284" w:hanging="284"/>
        <w:rPr>
          <w:rFonts w:ascii="Garamond" w:hAnsi="Garamond"/>
          <w:sz w:val="22"/>
          <w:szCs w:val="22"/>
          <w:lang w:val="es-VE"/>
        </w:rPr>
      </w:pPr>
      <w:proofErr w:type="spellStart"/>
      <w:r w:rsidRPr="007F2727">
        <w:rPr>
          <w:rFonts w:ascii="Garamond" w:hAnsi="Garamond"/>
          <w:sz w:val="22"/>
          <w:szCs w:val="22"/>
          <w:lang w:val="es-VE"/>
        </w:rPr>
        <w:lastRenderedPageBreak/>
        <w:t>SWI</w:t>
      </w:r>
      <w:proofErr w:type="spellEnd"/>
      <w:r w:rsidRPr="007F2727">
        <w:rPr>
          <w:rFonts w:ascii="Garamond" w:hAnsi="Garamond"/>
          <w:sz w:val="22"/>
          <w:szCs w:val="22"/>
          <w:lang w:val="es-VE"/>
        </w:rPr>
        <w:t xml:space="preserve"> (2023, 12 de octubre). Economía venezolana crecerá un 9,9 % en 2024 si se levantan las sanciones, prevé una firma. </w:t>
      </w:r>
      <w:hyperlink r:id="rId38" w:history="1">
        <w:r w:rsidRPr="007F2727">
          <w:rPr>
            <w:rStyle w:val="Hipervnculo"/>
            <w:rFonts w:ascii="Garamond" w:hAnsi="Garamond"/>
            <w:sz w:val="22"/>
            <w:szCs w:val="22"/>
            <w:lang w:val="es-VE"/>
          </w:rPr>
          <w:t>https://www.swissinfo.ch/spa/venezuela-econom%C3%ADa_econom%C3%ADa-venezolana-crecer%C3%A1-un-9-9---en-2024-si-se-levantan-las-sanciones--prev%C3%A9-una-firma/48883310</w:t>
        </w:r>
      </w:hyperlink>
    </w:p>
    <w:p w14:paraId="364F97CB" w14:textId="77777777" w:rsidR="00CA6E4E" w:rsidRDefault="00CA6E4E">
      <w:pPr>
        <w:rPr>
          <w:rFonts w:ascii="Garamond" w:eastAsia="Garamond" w:hAnsi="Garamond" w:cs="Garamond"/>
          <w:b/>
          <w:sz w:val="22"/>
          <w:szCs w:val="22"/>
          <w:lang w:val="es-VE"/>
        </w:rPr>
      </w:pPr>
      <w:r>
        <w:rPr>
          <w:lang w:val="es-VE"/>
        </w:rPr>
        <w:br w:type="page"/>
      </w:r>
    </w:p>
    <w:p w14:paraId="708677E2" w14:textId="207E3D2D" w:rsidR="00D52EF5" w:rsidRPr="00361513" w:rsidRDefault="00D52EF5" w:rsidP="00D52EF5">
      <w:pPr>
        <w:pStyle w:val="Ttulo1"/>
        <w:rPr>
          <w:lang w:val="es-VE"/>
        </w:rPr>
      </w:pPr>
      <w:r w:rsidRPr="00361513">
        <w:rPr>
          <w:lang w:val="es-VE"/>
        </w:rPr>
        <w:lastRenderedPageBreak/>
        <w:t>FIGURAS</w:t>
      </w:r>
      <w:r w:rsidR="006F2E22">
        <w:rPr>
          <w:lang w:val="es-VE"/>
        </w:rPr>
        <w:t xml:space="preserve"> Y TABLAS</w:t>
      </w:r>
    </w:p>
    <w:p w14:paraId="0E249228" w14:textId="77777777" w:rsidR="0085484A" w:rsidRPr="00361513" w:rsidRDefault="0085484A" w:rsidP="0085484A">
      <w:pPr>
        <w:spacing w:after="120"/>
        <w:ind w:firstLine="284"/>
        <w:jc w:val="center"/>
        <w:rPr>
          <w:rFonts w:ascii="Garamond" w:hAnsi="Garamond" w:cs="Times New Roman"/>
          <w:b/>
          <w:bCs/>
          <w:sz w:val="22"/>
          <w:szCs w:val="22"/>
          <w:lang w:val="es-VE"/>
        </w:rPr>
      </w:pPr>
      <w:r w:rsidRPr="00361513">
        <w:rPr>
          <w:rFonts w:ascii="Garamond" w:hAnsi="Garamond" w:cs="Times New Roman"/>
          <w:b/>
          <w:bCs/>
          <w:sz w:val="22"/>
          <w:szCs w:val="22"/>
          <w:lang w:val="es-VE"/>
        </w:rPr>
        <w:t>Figura 1</w:t>
      </w:r>
    </w:p>
    <w:p w14:paraId="2C07D0FD" w14:textId="77777777" w:rsidR="0085484A" w:rsidRPr="00361513" w:rsidRDefault="0085484A" w:rsidP="0085484A">
      <w:pPr>
        <w:spacing w:after="120" w:line="360" w:lineRule="auto"/>
        <w:ind w:firstLine="284"/>
        <w:jc w:val="center"/>
        <w:rPr>
          <w:rFonts w:ascii="Garamond" w:hAnsi="Garamond" w:cs="Times New Roman"/>
          <w:i/>
          <w:iCs/>
          <w:sz w:val="22"/>
          <w:szCs w:val="22"/>
          <w:lang w:val="es-VE"/>
        </w:rPr>
      </w:pPr>
      <w:r w:rsidRPr="00361513">
        <w:rPr>
          <w:rFonts w:ascii="Garamond" w:hAnsi="Garamond" w:cs="Times New Roman"/>
          <w:i/>
          <w:iCs/>
          <w:sz w:val="22"/>
          <w:szCs w:val="22"/>
          <w:lang w:val="es-VE"/>
        </w:rPr>
        <w:t>Gobiernos progresistas vs. conservadores</w:t>
      </w:r>
    </w:p>
    <w:p w14:paraId="42E94630" w14:textId="77777777" w:rsidR="0085484A" w:rsidRPr="00361513" w:rsidRDefault="0085484A" w:rsidP="0085484A">
      <w:pPr>
        <w:pStyle w:val="Lneadeautor-Profesional"/>
        <w:spacing w:before="0" w:after="120" w:line="360" w:lineRule="auto"/>
        <w:ind w:firstLine="284"/>
        <w:jc w:val="center"/>
        <w:rPr>
          <w:rFonts w:ascii="Garamond" w:hAnsi="Garamond" w:cs="Arial"/>
          <w:sz w:val="22"/>
          <w:szCs w:val="22"/>
          <w:lang w:val="es-ES"/>
        </w:rPr>
      </w:pPr>
      <w:r w:rsidRPr="00361513">
        <w:rPr>
          <w:rFonts w:ascii="Garamond" w:hAnsi="Garamond" w:cs="Arial"/>
          <w:noProof/>
          <w:sz w:val="24"/>
          <w:szCs w:val="24"/>
        </w:rPr>
        <w:drawing>
          <wp:inline distT="0" distB="0" distL="0" distR="0" wp14:anchorId="45779F76" wp14:editId="192D5DB1">
            <wp:extent cx="4427220" cy="2171700"/>
            <wp:effectExtent l="0" t="0" r="0" b="0"/>
            <wp:docPr id="1084383463" name="Imagen 2"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83463" name="Imagen 2" descr="Mapa&#10;&#10;El contenido generado por IA puede ser incorrect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27220" cy="2171700"/>
                    </a:xfrm>
                    <a:prstGeom prst="rect">
                      <a:avLst/>
                    </a:prstGeom>
                    <a:noFill/>
                    <a:ln>
                      <a:noFill/>
                    </a:ln>
                  </pic:spPr>
                </pic:pic>
              </a:graphicData>
            </a:graphic>
          </wp:inline>
        </w:drawing>
      </w:r>
    </w:p>
    <w:p w14:paraId="0A3675D5" w14:textId="77777777" w:rsidR="0085484A" w:rsidRPr="00361513" w:rsidRDefault="0085484A" w:rsidP="0085484A">
      <w:pPr>
        <w:spacing w:after="120" w:line="360" w:lineRule="auto"/>
        <w:ind w:firstLine="284"/>
        <w:jc w:val="center"/>
        <w:rPr>
          <w:rFonts w:ascii="Garamond" w:hAnsi="Garamond" w:cs="Times New Roman"/>
          <w:sz w:val="22"/>
          <w:szCs w:val="22"/>
          <w:lang w:val="es-VE"/>
        </w:rPr>
      </w:pPr>
      <w:r w:rsidRPr="00361513">
        <w:rPr>
          <w:rFonts w:ascii="Garamond" w:hAnsi="Garamond" w:cs="Times New Roman"/>
          <w:sz w:val="22"/>
          <w:szCs w:val="22"/>
          <w:lang w:val="es-VE"/>
        </w:rPr>
        <w:t xml:space="preserve">Fuente: </w:t>
      </w:r>
      <w:proofErr w:type="spellStart"/>
      <w:r w:rsidRPr="00361513">
        <w:rPr>
          <w:rFonts w:ascii="Garamond" w:hAnsi="Garamond" w:cs="Times New Roman"/>
          <w:sz w:val="22"/>
          <w:szCs w:val="22"/>
          <w:lang w:val="es-VE"/>
        </w:rPr>
        <w:t>Mur</w:t>
      </w:r>
      <w:proofErr w:type="spellEnd"/>
      <w:r w:rsidRPr="00361513">
        <w:rPr>
          <w:rFonts w:ascii="Garamond" w:hAnsi="Garamond" w:cs="Times New Roman"/>
          <w:sz w:val="22"/>
          <w:szCs w:val="22"/>
          <w:lang w:val="es-VE"/>
        </w:rPr>
        <w:t xml:space="preserve"> (2018). Infografía.</w:t>
      </w:r>
    </w:p>
    <w:p w14:paraId="66533069" w14:textId="77777777" w:rsidR="0085484A" w:rsidRPr="00361513" w:rsidRDefault="0085484A" w:rsidP="0085484A">
      <w:pPr>
        <w:rPr>
          <w:rFonts w:ascii="Garamond" w:eastAsia="Times New Roman" w:hAnsi="Garamond"/>
          <w:b/>
          <w:bCs/>
          <w:sz w:val="22"/>
          <w:szCs w:val="22"/>
          <w:lang w:val="es-ES"/>
        </w:rPr>
      </w:pPr>
      <w:r w:rsidRPr="00361513">
        <w:rPr>
          <w:rFonts w:ascii="Garamond" w:hAnsi="Garamond"/>
          <w:b/>
          <w:bCs/>
          <w:sz w:val="22"/>
          <w:szCs w:val="22"/>
          <w:lang w:val="es-ES"/>
        </w:rPr>
        <w:br w:type="page"/>
      </w:r>
    </w:p>
    <w:p w14:paraId="207529A7" w14:textId="77777777" w:rsidR="0085484A" w:rsidRPr="00361513" w:rsidRDefault="0085484A" w:rsidP="0085484A">
      <w:pPr>
        <w:spacing w:after="120"/>
        <w:ind w:firstLine="284"/>
        <w:jc w:val="center"/>
        <w:rPr>
          <w:rFonts w:ascii="Garamond" w:hAnsi="Garamond" w:cs="Times New Roman"/>
          <w:b/>
          <w:bCs/>
          <w:sz w:val="22"/>
          <w:szCs w:val="22"/>
          <w:lang w:val="es-VE"/>
        </w:rPr>
      </w:pPr>
      <w:r w:rsidRPr="00361513">
        <w:rPr>
          <w:rFonts w:ascii="Garamond" w:hAnsi="Garamond" w:cs="Times New Roman"/>
          <w:b/>
          <w:bCs/>
          <w:sz w:val="22"/>
          <w:szCs w:val="22"/>
          <w:lang w:val="es-VE"/>
        </w:rPr>
        <w:lastRenderedPageBreak/>
        <w:t>Figura 2</w:t>
      </w:r>
    </w:p>
    <w:p w14:paraId="49CBA8A9" w14:textId="77777777" w:rsidR="0085484A" w:rsidRPr="00361513" w:rsidRDefault="0085484A" w:rsidP="0085484A">
      <w:pPr>
        <w:spacing w:after="120" w:line="360" w:lineRule="auto"/>
        <w:ind w:firstLine="284"/>
        <w:jc w:val="center"/>
        <w:rPr>
          <w:rFonts w:ascii="Garamond" w:hAnsi="Garamond" w:cs="Times New Roman"/>
          <w:i/>
          <w:iCs/>
          <w:sz w:val="22"/>
          <w:szCs w:val="22"/>
          <w:lang w:val="es-VE"/>
        </w:rPr>
      </w:pPr>
      <w:r w:rsidRPr="00361513">
        <w:rPr>
          <w:rFonts w:ascii="Garamond" w:hAnsi="Garamond" w:cs="Times New Roman"/>
          <w:i/>
          <w:iCs/>
          <w:sz w:val="22"/>
          <w:szCs w:val="22"/>
          <w:lang w:val="es-VE"/>
        </w:rPr>
        <w:t>Nuevo mapa político latinoamericano (2023)</w:t>
      </w:r>
    </w:p>
    <w:p w14:paraId="25122FB1" w14:textId="77777777" w:rsidR="0085484A" w:rsidRPr="00361513" w:rsidRDefault="0085484A" w:rsidP="0085484A">
      <w:pPr>
        <w:pStyle w:val="Lneadeautor-Profesional"/>
        <w:spacing w:before="0" w:line="240" w:lineRule="auto"/>
        <w:jc w:val="center"/>
        <w:rPr>
          <w:rFonts w:ascii="Garamond" w:hAnsi="Garamond" w:cs="Arial"/>
          <w:i/>
          <w:iCs/>
          <w:sz w:val="22"/>
          <w:szCs w:val="22"/>
          <w:lang w:val="es-ES"/>
        </w:rPr>
      </w:pPr>
      <w:r w:rsidRPr="00361513">
        <w:rPr>
          <w:rFonts w:ascii="Garamond" w:hAnsi="Garamond"/>
          <w:noProof/>
          <w:sz w:val="22"/>
          <w:szCs w:val="22"/>
        </w:rPr>
        <w:drawing>
          <wp:inline distT="0" distB="0" distL="0" distR="0" wp14:anchorId="7C701162" wp14:editId="7257E4BE">
            <wp:extent cx="3488690" cy="2464612"/>
            <wp:effectExtent l="0" t="0" r="0" b="0"/>
            <wp:docPr id="1619107042" name="Imagen 2"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07042" name="Imagen 2" descr="Mapa&#10;&#10;El contenido generado por IA puede ser incorrecto."/>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02737" cy="2474536"/>
                    </a:xfrm>
                    <a:prstGeom prst="rect">
                      <a:avLst/>
                    </a:prstGeom>
                    <a:noFill/>
                    <a:ln>
                      <a:noFill/>
                    </a:ln>
                  </pic:spPr>
                </pic:pic>
              </a:graphicData>
            </a:graphic>
          </wp:inline>
        </w:drawing>
      </w:r>
    </w:p>
    <w:p w14:paraId="45BC5A0A" w14:textId="77777777" w:rsidR="0085484A" w:rsidRPr="00361513" w:rsidRDefault="0085484A" w:rsidP="0085484A">
      <w:pPr>
        <w:spacing w:after="120" w:line="360" w:lineRule="auto"/>
        <w:ind w:firstLine="284"/>
        <w:jc w:val="center"/>
        <w:rPr>
          <w:rFonts w:ascii="Garamond" w:hAnsi="Garamond" w:cs="Times New Roman"/>
          <w:sz w:val="22"/>
          <w:szCs w:val="22"/>
          <w:lang w:val="es-VE"/>
        </w:rPr>
      </w:pPr>
      <w:r w:rsidRPr="00361513">
        <w:rPr>
          <w:rFonts w:ascii="Garamond" w:hAnsi="Garamond" w:cs="Times New Roman"/>
          <w:sz w:val="22"/>
          <w:szCs w:val="22"/>
          <w:lang w:val="es-VE"/>
        </w:rPr>
        <w:t xml:space="preserve">Fuente: </w:t>
      </w:r>
      <w:proofErr w:type="spellStart"/>
      <w:r w:rsidRPr="00361513">
        <w:rPr>
          <w:rFonts w:ascii="Garamond" w:hAnsi="Garamond" w:cs="Times New Roman"/>
          <w:sz w:val="22"/>
          <w:szCs w:val="22"/>
          <w:lang w:val="es-VE"/>
        </w:rPr>
        <w:t>Pascuali</w:t>
      </w:r>
      <w:proofErr w:type="spellEnd"/>
      <w:r w:rsidRPr="00361513">
        <w:rPr>
          <w:rFonts w:ascii="Garamond" w:hAnsi="Garamond" w:cs="Times New Roman"/>
          <w:sz w:val="22"/>
          <w:szCs w:val="22"/>
          <w:lang w:val="es-VE"/>
        </w:rPr>
        <w:t xml:space="preserve"> (2023). Infografía.</w:t>
      </w:r>
    </w:p>
    <w:p w14:paraId="65D70912" w14:textId="77777777" w:rsidR="0085484A" w:rsidRPr="00361513" w:rsidRDefault="0085484A" w:rsidP="0085484A">
      <w:pPr>
        <w:rPr>
          <w:rFonts w:ascii="Garamond" w:eastAsia="Times New Roman" w:hAnsi="Garamond"/>
          <w:sz w:val="22"/>
          <w:szCs w:val="22"/>
          <w:lang w:val="es-ES"/>
        </w:rPr>
      </w:pPr>
      <w:r w:rsidRPr="00361513">
        <w:rPr>
          <w:rFonts w:ascii="Garamond" w:hAnsi="Garamond"/>
          <w:sz w:val="22"/>
          <w:szCs w:val="22"/>
          <w:lang w:val="es-ES"/>
        </w:rPr>
        <w:br w:type="page"/>
      </w:r>
    </w:p>
    <w:p w14:paraId="0583F6C5" w14:textId="77777777" w:rsidR="0085484A" w:rsidRPr="00361513" w:rsidRDefault="0085484A" w:rsidP="0085484A">
      <w:pPr>
        <w:spacing w:line="360" w:lineRule="auto"/>
        <w:ind w:firstLine="284"/>
        <w:jc w:val="center"/>
        <w:rPr>
          <w:rFonts w:ascii="Garamond" w:hAnsi="Garamond" w:cs="Times New Roman"/>
          <w:b/>
          <w:bCs/>
          <w:sz w:val="22"/>
          <w:szCs w:val="22"/>
          <w:lang w:val="es-VE"/>
        </w:rPr>
      </w:pPr>
      <w:r w:rsidRPr="00361513">
        <w:rPr>
          <w:rFonts w:ascii="Garamond" w:hAnsi="Garamond" w:cs="Times New Roman"/>
          <w:b/>
          <w:bCs/>
          <w:sz w:val="22"/>
          <w:szCs w:val="22"/>
          <w:lang w:val="es-VE"/>
        </w:rPr>
        <w:lastRenderedPageBreak/>
        <w:t>Figura 3</w:t>
      </w:r>
    </w:p>
    <w:p w14:paraId="329EA761" w14:textId="77777777" w:rsidR="0085484A" w:rsidRPr="00361513" w:rsidRDefault="0085484A" w:rsidP="0085484A">
      <w:pPr>
        <w:spacing w:after="120" w:line="360" w:lineRule="auto"/>
        <w:ind w:firstLine="284"/>
        <w:jc w:val="center"/>
        <w:rPr>
          <w:rFonts w:ascii="Garamond" w:hAnsi="Garamond" w:cs="Times New Roman"/>
          <w:i/>
          <w:iCs/>
          <w:sz w:val="22"/>
          <w:szCs w:val="22"/>
          <w:lang w:val="es-VE"/>
        </w:rPr>
      </w:pPr>
      <w:r w:rsidRPr="00361513">
        <w:rPr>
          <w:rFonts w:ascii="Garamond" w:hAnsi="Garamond" w:cs="Times New Roman"/>
          <w:i/>
          <w:iCs/>
          <w:sz w:val="22"/>
          <w:szCs w:val="22"/>
          <w:lang w:val="es-VE"/>
        </w:rPr>
        <w:t>Cantidad de franquicias/marcas operativas en Venezuela (2002-2019)</w:t>
      </w:r>
    </w:p>
    <w:p w14:paraId="0B87F67A" w14:textId="77777777" w:rsidR="0085484A" w:rsidRPr="00361513" w:rsidRDefault="0085484A" w:rsidP="0085484A">
      <w:pPr>
        <w:pStyle w:val="Lneadeautor-Profesional"/>
        <w:spacing w:before="0" w:line="240" w:lineRule="auto"/>
        <w:jc w:val="center"/>
        <w:rPr>
          <w:rFonts w:ascii="Garamond" w:hAnsi="Garamond" w:cs="Arial"/>
          <w:sz w:val="22"/>
          <w:szCs w:val="22"/>
          <w:lang w:val="es-ES"/>
        </w:rPr>
      </w:pPr>
      <w:r w:rsidRPr="00361513">
        <w:rPr>
          <w:rFonts w:ascii="Garamond" w:hAnsi="Garamond"/>
          <w:noProof/>
          <w:sz w:val="22"/>
          <w:szCs w:val="22"/>
        </w:rPr>
        <mc:AlternateContent>
          <mc:Choice Requires="wps">
            <w:drawing>
              <wp:anchor distT="0" distB="0" distL="114300" distR="114300" simplePos="0" relativeHeight="251659264" behindDoc="0" locked="0" layoutInCell="1" allowOverlap="1" wp14:anchorId="30EF4EE0" wp14:editId="67B1B8F8">
                <wp:simplePos x="0" y="0"/>
                <wp:positionH relativeFrom="column">
                  <wp:posOffset>3989070</wp:posOffset>
                </wp:positionH>
                <wp:positionV relativeFrom="paragraph">
                  <wp:posOffset>201930</wp:posOffset>
                </wp:positionV>
                <wp:extent cx="419100" cy="390525"/>
                <wp:effectExtent l="0" t="0" r="0" b="0"/>
                <wp:wrapNone/>
                <wp:docPr id="1074716736"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390525"/>
                        </a:xfrm>
                        <a:prstGeom prst="straightConnector1">
                          <a:avLst/>
                        </a:prstGeom>
                        <a:noFill/>
                        <a:ln w="2540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CB7780" id="_x0000_t32" coordsize="21600,21600" o:spt="32" o:oned="t" path="m,l21600,21600e" filled="f">
                <v:path arrowok="t" fillok="f" o:connecttype="none"/>
                <o:lock v:ext="edit" shapetype="t"/>
              </v:shapetype>
              <v:shape id="Conector recto de flecha 2" o:spid="_x0000_s1026" type="#_x0000_t32" style="position:absolute;margin-left:314.1pt;margin-top:15.9pt;width:33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" strokecolor="red" strokeweight="2pt">
                <v:stroke endarrow="block" joinstyle="miter"/>
              </v:shape>
            </w:pict>
          </mc:Fallback>
        </mc:AlternateContent>
      </w:r>
      <w:r w:rsidRPr="00361513">
        <w:rPr>
          <w:rFonts w:ascii="Garamond" w:hAnsi="Garamond" w:cs="Arial"/>
          <w:sz w:val="22"/>
          <w:szCs w:val="22"/>
          <w:lang w:val="es-ES"/>
        </w:rPr>
        <w:fldChar w:fldCharType="begin"/>
      </w:r>
      <w:r w:rsidRPr="00361513">
        <w:rPr>
          <w:rFonts w:ascii="Garamond" w:hAnsi="Garamond" w:cs="Arial"/>
          <w:sz w:val="22"/>
          <w:szCs w:val="22"/>
          <w:lang w:val="es-ES"/>
        </w:rPr>
        <w:instrText xml:space="preserve"> LINK Excel.Sheet.12 "C:\\Users\\rober\\OneDrive\\Documents\\DOCUMENTS R BASKIN\\ACADÉMICO\\PROYECTOS\\ENSAYO FRANQUICIAS\\Libro1.xlsx!Hoja1![Libro1.xlsx]Hoja1 Gráfico 3" "" \a \p \* MERGEFORMAT </w:instrText>
      </w:r>
      <w:r w:rsidRPr="00361513">
        <w:rPr>
          <w:rFonts w:ascii="Garamond" w:hAnsi="Garamond" w:cs="Arial"/>
          <w:sz w:val="22"/>
          <w:szCs w:val="22"/>
          <w:lang w:val="es-ES"/>
        </w:rPr>
        <w:fldChar w:fldCharType="separate"/>
      </w:r>
      <w:r w:rsidR="00000000">
        <w:rPr>
          <w:rFonts w:ascii="Garamond" w:hAnsi="Garamond" w:cs="Arial"/>
          <w:sz w:val="22"/>
          <w:szCs w:val="22"/>
          <w:lang w:val="es-ES"/>
        </w:rPr>
        <w:object w:dxaOrig="7201" w:dyaOrig="4335" w14:anchorId="3DFC2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6pt;height:197.4pt" o:ole="">
            <v:imagedata r:id="rId41" o:title=""/>
          </v:shape>
        </w:object>
      </w:r>
      <w:r w:rsidRPr="00361513">
        <w:rPr>
          <w:rFonts w:ascii="Garamond" w:hAnsi="Garamond" w:cs="Arial"/>
          <w:sz w:val="22"/>
          <w:szCs w:val="22"/>
          <w:lang w:val="es-ES"/>
        </w:rPr>
        <w:fldChar w:fldCharType="end"/>
      </w:r>
    </w:p>
    <w:p w14:paraId="7A076FAC" w14:textId="77777777" w:rsidR="0085484A" w:rsidRPr="00361513" w:rsidRDefault="0085484A" w:rsidP="0085484A">
      <w:pPr>
        <w:pStyle w:val="Lneadeautor-Profesional"/>
        <w:spacing w:before="0" w:after="120" w:line="360" w:lineRule="auto"/>
        <w:ind w:firstLine="284"/>
        <w:jc w:val="center"/>
        <w:rPr>
          <w:rFonts w:ascii="Garamond" w:hAnsi="Garamond" w:cs="Arial"/>
          <w:sz w:val="22"/>
          <w:szCs w:val="22"/>
          <w:lang w:val="es-ES"/>
        </w:rPr>
      </w:pPr>
      <w:r w:rsidRPr="00361513">
        <w:rPr>
          <w:rFonts w:ascii="Garamond" w:hAnsi="Garamond" w:cs="Arial"/>
          <w:sz w:val="22"/>
          <w:szCs w:val="22"/>
          <w:lang w:val="es-ES"/>
        </w:rPr>
        <w:t xml:space="preserve">Fuente: Front </w:t>
      </w:r>
      <w:proofErr w:type="spellStart"/>
      <w:r w:rsidRPr="00361513">
        <w:rPr>
          <w:rFonts w:ascii="Garamond" w:hAnsi="Garamond" w:cs="Arial"/>
          <w:sz w:val="22"/>
          <w:szCs w:val="22"/>
          <w:lang w:val="es-ES"/>
        </w:rPr>
        <w:t>Consulting</w:t>
      </w:r>
      <w:proofErr w:type="spellEnd"/>
      <w:r w:rsidRPr="00361513">
        <w:rPr>
          <w:rFonts w:ascii="Garamond" w:hAnsi="Garamond" w:cs="Arial"/>
          <w:sz w:val="22"/>
          <w:szCs w:val="22"/>
          <w:lang w:val="es-ES"/>
        </w:rPr>
        <w:t xml:space="preserve"> </w:t>
      </w:r>
      <w:proofErr w:type="spellStart"/>
      <w:r w:rsidRPr="00361513">
        <w:rPr>
          <w:rFonts w:ascii="Garamond" w:hAnsi="Garamond" w:cs="Arial"/>
          <w:sz w:val="22"/>
          <w:szCs w:val="22"/>
          <w:lang w:val="es-ES"/>
        </w:rPr>
        <w:t>Group</w:t>
      </w:r>
      <w:proofErr w:type="spellEnd"/>
      <w:r w:rsidRPr="00361513">
        <w:rPr>
          <w:rFonts w:ascii="Garamond" w:hAnsi="Garamond" w:cs="Arial"/>
          <w:sz w:val="22"/>
          <w:szCs w:val="22"/>
          <w:lang w:val="es-ES"/>
        </w:rPr>
        <w:t xml:space="preserve"> (2020). Elaboración propia.</w:t>
      </w:r>
    </w:p>
    <w:p w14:paraId="0A541306" w14:textId="77777777" w:rsidR="0085484A" w:rsidRPr="00361513" w:rsidRDefault="0085484A" w:rsidP="0085484A">
      <w:pPr>
        <w:rPr>
          <w:rFonts w:ascii="Garamond" w:eastAsia="Times New Roman" w:hAnsi="Garamond"/>
          <w:sz w:val="22"/>
          <w:szCs w:val="22"/>
          <w:lang w:val="es-ES"/>
        </w:rPr>
      </w:pPr>
      <w:r w:rsidRPr="00361513">
        <w:rPr>
          <w:rFonts w:ascii="Garamond" w:hAnsi="Garamond"/>
          <w:sz w:val="22"/>
          <w:szCs w:val="22"/>
          <w:lang w:val="es-ES"/>
        </w:rPr>
        <w:br w:type="page"/>
      </w:r>
    </w:p>
    <w:p w14:paraId="566A7245" w14:textId="77777777" w:rsidR="0085484A" w:rsidRPr="00361513" w:rsidRDefault="0085484A" w:rsidP="0085484A">
      <w:pPr>
        <w:spacing w:after="120"/>
        <w:ind w:firstLine="284"/>
        <w:jc w:val="center"/>
        <w:rPr>
          <w:rFonts w:ascii="Garamond" w:hAnsi="Garamond" w:cs="Times New Roman"/>
          <w:b/>
          <w:bCs/>
          <w:sz w:val="22"/>
          <w:szCs w:val="22"/>
          <w:lang w:val="es-VE"/>
        </w:rPr>
      </w:pPr>
      <w:r w:rsidRPr="00361513">
        <w:rPr>
          <w:rFonts w:ascii="Garamond" w:hAnsi="Garamond" w:cs="Times New Roman"/>
          <w:b/>
          <w:bCs/>
          <w:sz w:val="22"/>
          <w:szCs w:val="22"/>
          <w:lang w:val="es-VE"/>
        </w:rPr>
        <w:lastRenderedPageBreak/>
        <w:t>Figura 4</w:t>
      </w:r>
    </w:p>
    <w:p w14:paraId="4CAE9789" w14:textId="77777777" w:rsidR="0085484A" w:rsidRPr="00361513" w:rsidRDefault="0085484A" w:rsidP="0085484A">
      <w:pPr>
        <w:spacing w:after="120" w:line="360" w:lineRule="auto"/>
        <w:ind w:firstLine="284"/>
        <w:jc w:val="center"/>
        <w:rPr>
          <w:rFonts w:ascii="Garamond" w:hAnsi="Garamond" w:cs="Times New Roman"/>
          <w:i/>
          <w:iCs/>
          <w:sz w:val="22"/>
          <w:szCs w:val="22"/>
          <w:lang w:val="es-VE"/>
        </w:rPr>
      </w:pPr>
      <w:r w:rsidRPr="00361513">
        <w:rPr>
          <w:rFonts w:ascii="Garamond" w:hAnsi="Garamond" w:cs="Times New Roman"/>
          <w:i/>
          <w:iCs/>
          <w:sz w:val="22"/>
          <w:szCs w:val="22"/>
          <w:lang w:val="es-VE"/>
        </w:rPr>
        <w:t>Variación de la cantidad de marcas y establecimientos (2019 vs. 2013)</w:t>
      </w:r>
    </w:p>
    <w:p w14:paraId="60F82DC5" w14:textId="77777777" w:rsidR="0085484A" w:rsidRPr="00361513" w:rsidRDefault="0085484A" w:rsidP="0085484A">
      <w:pPr>
        <w:pStyle w:val="Lneadeautor-Profesional"/>
        <w:spacing w:before="0" w:line="240" w:lineRule="auto"/>
        <w:jc w:val="center"/>
        <w:rPr>
          <w:rFonts w:ascii="Garamond" w:hAnsi="Garamond" w:cs="Arial"/>
          <w:sz w:val="22"/>
          <w:szCs w:val="22"/>
          <w:lang w:val="es-ES"/>
        </w:rPr>
      </w:pPr>
      <w:r w:rsidRPr="00361513">
        <w:rPr>
          <w:rFonts w:ascii="Garamond" w:hAnsi="Garamond"/>
          <w:noProof/>
          <w:sz w:val="22"/>
          <w:szCs w:val="22"/>
        </w:rPr>
        <w:fldChar w:fldCharType="begin"/>
      </w:r>
      <w:r w:rsidRPr="00361513">
        <w:rPr>
          <w:rFonts w:ascii="Garamond" w:hAnsi="Garamond"/>
          <w:noProof/>
          <w:sz w:val="22"/>
          <w:szCs w:val="22"/>
        </w:rPr>
        <w:instrText xml:space="preserve"> LINK Excel.Sheet.12 "C:\\Users\\rober\\OneDrive\\Documents\\DOCUMENTS R BASKIN\\ACADÉMICO\\PROYECTOS\\ENSAYO FRANQUICIAS\\Libro1.xlsx!Hoja3![Libro1.xlsx]Hoja3 Gráfico 1" "" \a \p \* MERGEFORMAT </w:instrText>
      </w:r>
      <w:r w:rsidRPr="00361513">
        <w:rPr>
          <w:rFonts w:ascii="Garamond" w:hAnsi="Garamond"/>
          <w:noProof/>
          <w:sz w:val="22"/>
          <w:szCs w:val="22"/>
        </w:rPr>
        <w:fldChar w:fldCharType="separate"/>
      </w:r>
      <w:r w:rsidR="00000000">
        <w:rPr>
          <w:rFonts w:ascii="Garamond" w:hAnsi="Garamond"/>
          <w:noProof/>
          <w:sz w:val="22"/>
          <w:szCs w:val="22"/>
        </w:rPr>
        <w:object w:dxaOrig="7201" w:dyaOrig="4335" w14:anchorId="0C7560CD">
          <v:shape id="_x0000_i1026" type="#_x0000_t75" style="width:5in;height:216.6pt" o:ole="">
            <v:imagedata r:id="rId42" o:title=""/>
          </v:shape>
        </w:object>
      </w:r>
      <w:r w:rsidRPr="00361513">
        <w:rPr>
          <w:rFonts w:ascii="Garamond" w:hAnsi="Garamond"/>
          <w:noProof/>
          <w:sz w:val="22"/>
          <w:szCs w:val="22"/>
        </w:rPr>
        <w:fldChar w:fldCharType="end"/>
      </w:r>
    </w:p>
    <w:p w14:paraId="2C00D7F4" w14:textId="77777777" w:rsidR="0085484A" w:rsidRPr="00361513" w:rsidRDefault="0085484A" w:rsidP="0085484A">
      <w:pPr>
        <w:pStyle w:val="Lneadeautor-Profesional"/>
        <w:spacing w:before="0" w:after="120" w:line="360" w:lineRule="auto"/>
        <w:ind w:firstLine="284"/>
        <w:jc w:val="center"/>
        <w:rPr>
          <w:rFonts w:ascii="Garamond" w:hAnsi="Garamond" w:cs="Arial"/>
          <w:sz w:val="22"/>
          <w:szCs w:val="22"/>
          <w:lang w:val="es-ES"/>
        </w:rPr>
      </w:pPr>
      <w:r w:rsidRPr="00361513">
        <w:rPr>
          <w:rFonts w:ascii="Garamond" w:hAnsi="Garamond" w:cs="Arial"/>
          <w:sz w:val="22"/>
          <w:szCs w:val="22"/>
          <w:lang w:val="es-ES"/>
        </w:rPr>
        <w:t xml:space="preserve">Fuentes: Front </w:t>
      </w:r>
      <w:proofErr w:type="spellStart"/>
      <w:r w:rsidRPr="00361513">
        <w:rPr>
          <w:rFonts w:ascii="Garamond" w:hAnsi="Garamond" w:cs="Arial"/>
          <w:sz w:val="22"/>
          <w:szCs w:val="22"/>
          <w:lang w:val="es-ES"/>
        </w:rPr>
        <w:t>Consulting</w:t>
      </w:r>
      <w:proofErr w:type="spellEnd"/>
      <w:r w:rsidRPr="00361513">
        <w:rPr>
          <w:rFonts w:ascii="Garamond" w:hAnsi="Garamond" w:cs="Arial"/>
          <w:sz w:val="22"/>
          <w:szCs w:val="22"/>
          <w:lang w:val="es-ES"/>
        </w:rPr>
        <w:t xml:space="preserve"> </w:t>
      </w:r>
      <w:proofErr w:type="spellStart"/>
      <w:r w:rsidRPr="00361513">
        <w:rPr>
          <w:rFonts w:ascii="Garamond" w:hAnsi="Garamond" w:cs="Arial"/>
          <w:sz w:val="22"/>
          <w:szCs w:val="22"/>
          <w:lang w:val="es-ES"/>
        </w:rPr>
        <w:t>Group</w:t>
      </w:r>
      <w:proofErr w:type="spellEnd"/>
      <w:r w:rsidRPr="00361513">
        <w:rPr>
          <w:rFonts w:ascii="Garamond" w:hAnsi="Garamond" w:cs="Arial"/>
          <w:sz w:val="22"/>
          <w:szCs w:val="22"/>
          <w:lang w:val="es-ES"/>
        </w:rPr>
        <w:t xml:space="preserve"> (2020) y </w:t>
      </w:r>
      <w:proofErr w:type="spellStart"/>
      <w:r w:rsidRPr="00361513">
        <w:rPr>
          <w:rFonts w:ascii="Garamond" w:hAnsi="Garamond" w:cs="Arial"/>
          <w:sz w:val="22"/>
          <w:szCs w:val="22"/>
          <w:lang w:val="es-ES"/>
        </w:rPr>
        <w:t>Profranquicias</w:t>
      </w:r>
      <w:proofErr w:type="spellEnd"/>
      <w:r w:rsidRPr="00361513">
        <w:rPr>
          <w:rFonts w:ascii="Garamond" w:hAnsi="Garamond" w:cs="Arial"/>
          <w:sz w:val="22"/>
          <w:szCs w:val="22"/>
          <w:lang w:val="es-ES"/>
        </w:rPr>
        <w:t xml:space="preserve"> tomado por Depilarte</w:t>
      </w:r>
      <w:r w:rsidRPr="00361513">
        <w:rPr>
          <w:rStyle w:val="Refdenotaalpie"/>
          <w:rFonts w:ascii="Garamond" w:eastAsia="Garamond" w:hAnsi="Garamond" w:cs="Arial"/>
          <w:sz w:val="22"/>
          <w:szCs w:val="22"/>
          <w:lang w:val="es-ES"/>
        </w:rPr>
        <w:footnoteReference w:id="26"/>
      </w:r>
      <w:r w:rsidRPr="00361513">
        <w:rPr>
          <w:rFonts w:ascii="Garamond" w:hAnsi="Garamond" w:cs="Arial"/>
          <w:sz w:val="22"/>
          <w:szCs w:val="22"/>
          <w:lang w:val="es-ES"/>
        </w:rPr>
        <w:t xml:space="preserve"> y Library</w:t>
      </w:r>
      <w:r w:rsidRPr="00361513">
        <w:rPr>
          <w:rStyle w:val="Refdenotaalpie"/>
          <w:rFonts w:ascii="Garamond" w:eastAsia="Garamond" w:hAnsi="Garamond" w:cs="Arial"/>
          <w:sz w:val="22"/>
          <w:szCs w:val="22"/>
          <w:lang w:val="es-ES"/>
        </w:rPr>
        <w:footnoteReference w:id="27"/>
      </w:r>
      <w:r w:rsidRPr="00361513">
        <w:rPr>
          <w:rFonts w:ascii="Garamond" w:hAnsi="Garamond" w:cs="Arial"/>
          <w:sz w:val="22"/>
          <w:szCs w:val="22"/>
          <w:lang w:val="es-ES"/>
        </w:rPr>
        <w:t>. Elaboración propia.</w:t>
      </w:r>
    </w:p>
    <w:p w14:paraId="37696902" w14:textId="77777777" w:rsidR="0085484A" w:rsidRPr="00361513" w:rsidRDefault="0085484A" w:rsidP="0085484A">
      <w:pPr>
        <w:rPr>
          <w:rFonts w:ascii="Garamond" w:eastAsia="Times New Roman" w:hAnsi="Garamond"/>
          <w:sz w:val="22"/>
          <w:szCs w:val="22"/>
          <w:lang w:val="es-ES"/>
        </w:rPr>
      </w:pPr>
      <w:r w:rsidRPr="00361513">
        <w:rPr>
          <w:rFonts w:ascii="Garamond" w:hAnsi="Garamond"/>
          <w:sz w:val="22"/>
          <w:szCs w:val="22"/>
          <w:lang w:val="es-ES"/>
        </w:rPr>
        <w:br w:type="page"/>
      </w:r>
    </w:p>
    <w:p w14:paraId="61EE427F" w14:textId="77777777" w:rsidR="0085484A" w:rsidRPr="00361513" w:rsidRDefault="0085484A" w:rsidP="0085484A">
      <w:pPr>
        <w:spacing w:after="120"/>
        <w:ind w:firstLine="284"/>
        <w:jc w:val="center"/>
        <w:rPr>
          <w:rFonts w:ascii="Garamond" w:hAnsi="Garamond" w:cs="Times New Roman"/>
          <w:b/>
          <w:bCs/>
          <w:sz w:val="22"/>
          <w:szCs w:val="22"/>
          <w:lang w:val="es-VE"/>
        </w:rPr>
      </w:pPr>
      <w:r w:rsidRPr="00361513">
        <w:rPr>
          <w:rFonts w:ascii="Garamond" w:hAnsi="Garamond" w:cs="Times New Roman"/>
          <w:b/>
          <w:bCs/>
          <w:sz w:val="22"/>
          <w:szCs w:val="22"/>
          <w:lang w:val="es-VE"/>
        </w:rPr>
        <w:lastRenderedPageBreak/>
        <w:t>Figura 5</w:t>
      </w:r>
    </w:p>
    <w:p w14:paraId="0C79FB00" w14:textId="77777777" w:rsidR="0085484A" w:rsidRPr="00361513" w:rsidRDefault="0085484A" w:rsidP="0085484A">
      <w:pPr>
        <w:spacing w:after="120" w:line="360" w:lineRule="auto"/>
        <w:ind w:firstLine="284"/>
        <w:jc w:val="center"/>
        <w:rPr>
          <w:rFonts w:ascii="Garamond" w:hAnsi="Garamond" w:cs="Times New Roman"/>
          <w:i/>
          <w:iCs/>
          <w:sz w:val="22"/>
          <w:szCs w:val="22"/>
          <w:lang w:val="es-VE"/>
        </w:rPr>
      </w:pPr>
      <w:r w:rsidRPr="00361513">
        <w:rPr>
          <w:rFonts w:ascii="Garamond" w:hAnsi="Garamond" w:cs="Times New Roman"/>
          <w:i/>
          <w:iCs/>
          <w:sz w:val="22"/>
          <w:szCs w:val="22"/>
          <w:lang w:val="es-VE"/>
        </w:rPr>
        <w:t>Inflación anual de Venezuela (2009-2020)</w:t>
      </w:r>
    </w:p>
    <w:p w14:paraId="3E9EE1F4" w14:textId="77777777" w:rsidR="0085484A" w:rsidRPr="00361513" w:rsidRDefault="0085484A" w:rsidP="0085484A">
      <w:pPr>
        <w:jc w:val="center"/>
        <w:rPr>
          <w:rFonts w:ascii="Garamond" w:hAnsi="Garamond"/>
          <w:sz w:val="22"/>
          <w:szCs w:val="22"/>
          <w:lang w:val="es-VE"/>
        </w:rPr>
      </w:pPr>
      <w:r w:rsidRPr="00361513">
        <w:rPr>
          <w:rFonts w:ascii="Garamond" w:hAnsi="Garamond"/>
          <w:noProof/>
          <w:sz w:val="22"/>
          <w:szCs w:val="22"/>
          <w:lang w:val="es-VE"/>
        </w:rPr>
        <w:drawing>
          <wp:inline distT="0" distB="0" distL="0" distR="0" wp14:anchorId="2811FAE1" wp14:editId="54D25C15">
            <wp:extent cx="3901440" cy="2354580"/>
            <wp:effectExtent l="0" t="0" r="0" b="0"/>
            <wp:docPr id="1168806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01440" cy="2354580"/>
                    </a:xfrm>
                    <a:prstGeom prst="rect">
                      <a:avLst/>
                    </a:prstGeom>
                    <a:noFill/>
                    <a:ln>
                      <a:noFill/>
                    </a:ln>
                  </pic:spPr>
                </pic:pic>
              </a:graphicData>
            </a:graphic>
          </wp:inline>
        </w:drawing>
      </w:r>
    </w:p>
    <w:p w14:paraId="704F14E5" w14:textId="77777777" w:rsidR="0085484A" w:rsidRPr="00361513" w:rsidRDefault="0085484A" w:rsidP="0085484A">
      <w:pPr>
        <w:spacing w:after="120" w:line="360" w:lineRule="auto"/>
        <w:ind w:firstLine="284"/>
        <w:jc w:val="center"/>
        <w:rPr>
          <w:rFonts w:ascii="Garamond" w:hAnsi="Garamond" w:cs="Times New Roman"/>
          <w:sz w:val="22"/>
          <w:szCs w:val="22"/>
          <w:lang w:val="es-VE"/>
        </w:rPr>
      </w:pPr>
      <w:r w:rsidRPr="00361513">
        <w:rPr>
          <w:rFonts w:ascii="Garamond" w:hAnsi="Garamond" w:cs="Times New Roman"/>
          <w:sz w:val="22"/>
          <w:szCs w:val="22"/>
          <w:lang w:val="es-VE"/>
        </w:rPr>
        <w:t>Fuente: García (2021).</w:t>
      </w:r>
    </w:p>
    <w:p w14:paraId="24E18B6E" w14:textId="77777777" w:rsidR="0085484A" w:rsidRPr="00361513" w:rsidRDefault="0085484A" w:rsidP="0085484A">
      <w:pPr>
        <w:rPr>
          <w:rFonts w:ascii="Garamond" w:eastAsia="Times New Roman" w:hAnsi="Garamond"/>
          <w:sz w:val="22"/>
          <w:szCs w:val="22"/>
          <w:lang w:val="es-ES"/>
        </w:rPr>
      </w:pPr>
      <w:r w:rsidRPr="00361513">
        <w:rPr>
          <w:rFonts w:ascii="Garamond" w:hAnsi="Garamond"/>
          <w:sz w:val="22"/>
          <w:szCs w:val="22"/>
          <w:lang w:val="es-ES"/>
        </w:rPr>
        <w:br w:type="page"/>
      </w:r>
    </w:p>
    <w:p w14:paraId="7BAEC6B6" w14:textId="77777777" w:rsidR="0085484A" w:rsidRPr="00361513" w:rsidRDefault="0085484A" w:rsidP="0085484A">
      <w:pPr>
        <w:spacing w:after="120"/>
        <w:ind w:firstLine="284"/>
        <w:jc w:val="center"/>
        <w:rPr>
          <w:rFonts w:ascii="Garamond" w:hAnsi="Garamond" w:cs="Times New Roman"/>
          <w:b/>
          <w:bCs/>
          <w:sz w:val="22"/>
          <w:szCs w:val="22"/>
          <w:lang w:val="es-VE"/>
        </w:rPr>
      </w:pPr>
      <w:r w:rsidRPr="00361513">
        <w:rPr>
          <w:rFonts w:ascii="Garamond" w:hAnsi="Garamond" w:cs="Times New Roman"/>
          <w:b/>
          <w:bCs/>
          <w:sz w:val="22"/>
          <w:szCs w:val="22"/>
          <w:lang w:val="es-VE"/>
        </w:rPr>
        <w:lastRenderedPageBreak/>
        <w:t>Figura 6</w:t>
      </w:r>
    </w:p>
    <w:p w14:paraId="7B0A2674" w14:textId="77777777" w:rsidR="0085484A" w:rsidRPr="00361513" w:rsidRDefault="0085484A" w:rsidP="0085484A">
      <w:pPr>
        <w:spacing w:after="120" w:line="360" w:lineRule="auto"/>
        <w:ind w:firstLine="284"/>
        <w:jc w:val="center"/>
        <w:rPr>
          <w:rFonts w:ascii="Garamond" w:hAnsi="Garamond" w:cs="Times New Roman"/>
          <w:i/>
          <w:iCs/>
          <w:sz w:val="22"/>
          <w:szCs w:val="22"/>
          <w:lang w:val="es-VE"/>
        </w:rPr>
      </w:pPr>
      <w:r w:rsidRPr="00361513">
        <w:rPr>
          <w:rFonts w:ascii="Garamond" w:hAnsi="Garamond" w:cs="Times New Roman"/>
          <w:i/>
          <w:iCs/>
          <w:sz w:val="22"/>
          <w:szCs w:val="22"/>
          <w:lang w:val="es-VE"/>
        </w:rPr>
        <w:t>Evolución de la liquidez monetaria, Var % (2016-2021)</w:t>
      </w:r>
    </w:p>
    <w:p w14:paraId="4F723789" w14:textId="77777777" w:rsidR="0085484A" w:rsidRPr="00361513" w:rsidRDefault="0085484A" w:rsidP="0085484A">
      <w:pPr>
        <w:jc w:val="center"/>
        <w:rPr>
          <w:rFonts w:ascii="Garamond" w:hAnsi="Garamond"/>
          <w:sz w:val="22"/>
          <w:szCs w:val="22"/>
          <w:lang w:val="es-VE"/>
        </w:rPr>
      </w:pPr>
      <w:r w:rsidRPr="00361513">
        <w:rPr>
          <w:rFonts w:ascii="Garamond" w:hAnsi="Garamond"/>
          <w:noProof/>
          <w:sz w:val="22"/>
          <w:szCs w:val="22"/>
        </w:rPr>
        <w:drawing>
          <wp:inline distT="0" distB="0" distL="0" distR="0" wp14:anchorId="2523835F" wp14:editId="5E73A302">
            <wp:extent cx="4587240" cy="2133600"/>
            <wp:effectExtent l="0" t="0" r="0" b="0"/>
            <wp:docPr id="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87240" cy="2133600"/>
                    </a:xfrm>
                    <a:prstGeom prst="rect">
                      <a:avLst/>
                    </a:prstGeom>
                    <a:noFill/>
                    <a:ln>
                      <a:noFill/>
                    </a:ln>
                  </pic:spPr>
                </pic:pic>
              </a:graphicData>
            </a:graphic>
          </wp:inline>
        </w:drawing>
      </w:r>
    </w:p>
    <w:p w14:paraId="6BC9654C" w14:textId="77777777" w:rsidR="0085484A" w:rsidRPr="00361513" w:rsidRDefault="0085484A" w:rsidP="0085484A">
      <w:pPr>
        <w:spacing w:after="120" w:line="360" w:lineRule="auto"/>
        <w:ind w:firstLine="284"/>
        <w:jc w:val="center"/>
        <w:rPr>
          <w:rFonts w:ascii="Garamond" w:hAnsi="Garamond" w:cs="Times New Roman"/>
          <w:sz w:val="22"/>
          <w:szCs w:val="22"/>
          <w:lang w:val="es-VE"/>
        </w:rPr>
      </w:pPr>
      <w:r w:rsidRPr="00361513">
        <w:rPr>
          <w:rFonts w:ascii="Garamond" w:hAnsi="Garamond" w:cs="Times New Roman"/>
          <w:sz w:val="22"/>
          <w:szCs w:val="22"/>
          <w:lang w:val="es-VE"/>
        </w:rPr>
        <w:t>Fuente: Banca y Negocios (2022).</w:t>
      </w:r>
    </w:p>
    <w:p w14:paraId="28400F58" w14:textId="77777777" w:rsidR="0085484A" w:rsidRPr="00361513" w:rsidRDefault="0085484A" w:rsidP="0085484A">
      <w:pPr>
        <w:rPr>
          <w:rFonts w:ascii="Garamond" w:hAnsi="Garamond"/>
          <w:sz w:val="22"/>
          <w:szCs w:val="22"/>
        </w:rPr>
      </w:pPr>
      <w:r w:rsidRPr="00361513">
        <w:rPr>
          <w:rFonts w:ascii="Garamond" w:hAnsi="Garamond"/>
          <w:sz w:val="22"/>
          <w:szCs w:val="22"/>
        </w:rPr>
        <w:br w:type="page"/>
      </w:r>
    </w:p>
    <w:p w14:paraId="3C996AD3" w14:textId="77777777" w:rsidR="0085484A" w:rsidRPr="00361513" w:rsidRDefault="0085484A" w:rsidP="0085484A">
      <w:pPr>
        <w:spacing w:after="160"/>
        <w:jc w:val="center"/>
        <w:rPr>
          <w:rFonts w:ascii="Garamond" w:eastAsiaTheme="minorHAnsi" w:hAnsi="Garamond"/>
          <w:b/>
          <w:bCs/>
          <w:kern w:val="2"/>
          <w:sz w:val="22"/>
          <w:szCs w:val="22"/>
          <w:lang w:val="es-VE" w:eastAsia="en-US"/>
          <w14:ligatures w14:val="standardContextual"/>
        </w:rPr>
      </w:pPr>
      <w:r w:rsidRPr="00361513">
        <w:rPr>
          <w:rFonts w:ascii="Garamond" w:hAnsi="Garamond" w:cs="Times New Roman"/>
          <w:b/>
          <w:bCs/>
          <w:sz w:val="22"/>
          <w:szCs w:val="22"/>
          <w:lang w:val="es-VE"/>
        </w:rPr>
        <w:lastRenderedPageBreak/>
        <w:t>Figura 7</w:t>
      </w:r>
    </w:p>
    <w:p w14:paraId="64A401E8" w14:textId="77777777" w:rsidR="0085484A" w:rsidRPr="00361513" w:rsidRDefault="0085484A" w:rsidP="0085484A">
      <w:pPr>
        <w:spacing w:after="120" w:line="360" w:lineRule="auto"/>
        <w:ind w:firstLine="284"/>
        <w:jc w:val="center"/>
        <w:rPr>
          <w:rFonts w:ascii="Garamond" w:hAnsi="Garamond" w:cs="Times New Roman"/>
          <w:i/>
          <w:iCs/>
          <w:sz w:val="22"/>
          <w:szCs w:val="22"/>
          <w:lang w:val="es-VE"/>
        </w:rPr>
      </w:pPr>
      <w:r w:rsidRPr="00361513">
        <w:rPr>
          <w:rFonts w:ascii="Garamond" w:hAnsi="Garamond" w:cs="Times New Roman"/>
          <w:i/>
          <w:iCs/>
          <w:sz w:val="22"/>
          <w:szCs w:val="22"/>
          <w:lang w:val="es-VE"/>
        </w:rPr>
        <w:t>PIB e inflación de Venezuela (2017-2019)</w:t>
      </w:r>
    </w:p>
    <w:p w14:paraId="02EA18A5" w14:textId="77777777" w:rsidR="0085484A" w:rsidRPr="00361513" w:rsidRDefault="0085484A" w:rsidP="0085484A">
      <w:pPr>
        <w:jc w:val="center"/>
        <w:rPr>
          <w:rFonts w:ascii="Garamond" w:hAnsi="Garamond"/>
          <w:sz w:val="22"/>
          <w:szCs w:val="22"/>
          <w:lang w:val="es-VE"/>
        </w:rPr>
      </w:pPr>
      <w:r w:rsidRPr="00361513">
        <w:rPr>
          <w:rFonts w:ascii="Garamond" w:hAnsi="Garamond"/>
          <w:noProof/>
          <w:sz w:val="22"/>
          <w:szCs w:val="22"/>
        </w:rPr>
        <w:drawing>
          <wp:inline distT="0" distB="0" distL="0" distR="0" wp14:anchorId="15417938" wp14:editId="0BD405A1">
            <wp:extent cx="4145280" cy="2827020"/>
            <wp:effectExtent l="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45280" cy="2827020"/>
                    </a:xfrm>
                    <a:prstGeom prst="rect">
                      <a:avLst/>
                    </a:prstGeom>
                    <a:noFill/>
                    <a:ln>
                      <a:noFill/>
                    </a:ln>
                  </pic:spPr>
                </pic:pic>
              </a:graphicData>
            </a:graphic>
          </wp:inline>
        </w:drawing>
      </w:r>
    </w:p>
    <w:p w14:paraId="69C032FA" w14:textId="77777777" w:rsidR="0085484A" w:rsidRPr="00361513" w:rsidRDefault="0085484A" w:rsidP="0085484A">
      <w:pPr>
        <w:spacing w:after="120" w:line="360" w:lineRule="auto"/>
        <w:ind w:firstLine="284"/>
        <w:jc w:val="center"/>
        <w:rPr>
          <w:rFonts w:ascii="Garamond" w:hAnsi="Garamond" w:cs="Times New Roman"/>
          <w:sz w:val="22"/>
          <w:szCs w:val="22"/>
        </w:rPr>
      </w:pPr>
      <w:r w:rsidRPr="00361513">
        <w:rPr>
          <w:rFonts w:ascii="Garamond" w:hAnsi="Garamond" w:cs="Times New Roman"/>
          <w:sz w:val="22"/>
          <w:szCs w:val="22"/>
          <w:lang w:val="es-VE"/>
        </w:rPr>
        <w:t xml:space="preserve">Fuente: </w:t>
      </w:r>
      <w:bookmarkStart w:id="17" w:name="_Hlk151471213"/>
      <w:r w:rsidRPr="00361513">
        <w:rPr>
          <w:rFonts w:ascii="Garamond" w:hAnsi="Garamond" w:cs="Times New Roman"/>
          <w:sz w:val="22"/>
          <w:szCs w:val="22"/>
          <w:lang w:val="es-VE"/>
        </w:rPr>
        <w:t xml:space="preserve">CEPAL (2019), </w:t>
      </w:r>
      <w:bookmarkEnd w:id="17"/>
      <w:r w:rsidRPr="00361513">
        <w:rPr>
          <w:rFonts w:ascii="Garamond" w:hAnsi="Garamond" w:cs="Times New Roman"/>
          <w:sz w:val="22"/>
          <w:szCs w:val="22"/>
          <w:lang w:val="es-VE"/>
        </w:rPr>
        <w:t>tomado de cifras oficiales.</w:t>
      </w:r>
    </w:p>
    <w:p w14:paraId="0D709424" w14:textId="77777777" w:rsidR="0085484A" w:rsidRPr="00361513" w:rsidRDefault="0085484A" w:rsidP="0085484A">
      <w:pPr>
        <w:rPr>
          <w:rFonts w:ascii="Garamond" w:hAnsi="Garamond" w:cs="Times New Roman"/>
          <w:sz w:val="22"/>
          <w:szCs w:val="22"/>
        </w:rPr>
      </w:pPr>
      <w:r w:rsidRPr="00361513">
        <w:rPr>
          <w:rFonts w:ascii="Garamond" w:hAnsi="Garamond" w:cs="Times New Roman"/>
          <w:sz w:val="22"/>
          <w:szCs w:val="22"/>
        </w:rPr>
        <w:br w:type="page"/>
      </w:r>
    </w:p>
    <w:p w14:paraId="32EFE21A"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Figura 8</w:t>
      </w:r>
    </w:p>
    <w:p w14:paraId="37C1BBB0"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Evolución de la participación de las franquicias por su origen</w:t>
      </w:r>
    </w:p>
    <w:p w14:paraId="1E4A2A47" w14:textId="77777777" w:rsidR="0085484A" w:rsidRPr="00361513" w:rsidRDefault="0085484A" w:rsidP="0085484A">
      <w:pPr>
        <w:pStyle w:val="Lneadeautor-Profesional"/>
        <w:spacing w:before="0" w:line="240" w:lineRule="auto"/>
        <w:jc w:val="center"/>
        <w:rPr>
          <w:rFonts w:ascii="Garamond" w:hAnsi="Garamond" w:cs="Arial"/>
          <w:sz w:val="22"/>
          <w:szCs w:val="22"/>
          <w:lang w:val="es-MX"/>
        </w:rPr>
      </w:pPr>
      <w:r w:rsidRPr="00361513">
        <w:rPr>
          <w:rFonts w:ascii="Garamond" w:hAnsi="Garamond"/>
          <w:noProof/>
          <w:sz w:val="22"/>
          <w:szCs w:val="22"/>
        </w:rPr>
        <mc:AlternateContent>
          <mc:Choice Requires="wps">
            <w:drawing>
              <wp:anchor distT="0" distB="0" distL="114300" distR="114300" simplePos="0" relativeHeight="251660288" behindDoc="0" locked="0" layoutInCell="1" allowOverlap="1" wp14:anchorId="5FE8B260" wp14:editId="7D0FF240">
                <wp:simplePos x="0" y="0"/>
                <wp:positionH relativeFrom="column">
                  <wp:posOffset>1424940</wp:posOffset>
                </wp:positionH>
                <wp:positionV relativeFrom="paragraph">
                  <wp:posOffset>1543685</wp:posOffset>
                </wp:positionV>
                <wp:extent cx="2962275" cy="219075"/>
                <wp:effectExtent l="0" t="0" r="0" b="0"/>
                <wp:wrapNone/>
                <wp:docPr id="132910578"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219075"/>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768E49" id="AutoShape 55" o:spid="_x0000_s1026" type="#_x0000_t32" style="position:absolute;margin-left:112.2pt;margin-top:121.55pt;width:233.2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" strokecolor="red" strokeweight="2pt">
                <v:stroke endarrow="block"/>
              </v:shape>
            </w:pict>
          </mc:Fallback>
        </mc:AlternateContent>
      </w:r>
      <w:r w:rsidRPr="00361513">
        <w:rPr>
          <w:rFonts w:ascii="Garamond" w:hAnsi="Garamond"/>
          <w:noProof/>
          <w:sz w:val="22"/>
          <w:szCs w:val="22"/>
        </w:rPr>
        <w:fldChar w:fldCharType="begin"/>
      </w:r>
      <w:r w:rsidRPr="00361513">
        <w:rPr>
          <w:rFonts w:ascii="Garamond" w:hAnsi="Garamond"/>
          <w:noProof/>
          <w:sz w:val="22"/>
          <w:szCs w:val="22"/>
        </w:rPr>
        <w:instrText xml:space="preserve"> LINK Excel.Sheet.12 "C:\\Users\\rober\\OneDrive\\Documents\\DOCUMENTS R BASKIN\\ACADÉMICO\\PROYECTOS\\ENSAYO FRANQUICIAS\\Libro1.xlsx!Hoja2![Libro1.xlsx]Hoja2 Gráfico 1" "" \a \p \* MERGEFORMAT </w:instrText>
      </w:r>
      <w:r w:rsidRPr="00361513">
        <w:rPr>
          <w:rFonts w:ascii="Garamond" w:hAnsi="Garamond"/>
          <w:noProof/>
          <w:sz w:val="22"/>
          <w:szCs w:val="22"/>
        </w:rPr>
        <w:fldChar w:fldCharType="separate"/>
      </w:r>
      <w:r w:rsidR="00000000">
        <w:rPr>
          <w:rFonts w:ascii="Garamond" w:hAnsi="Garamond"/>
          <w:noProof/>
          <w:sz w:val="22"/>
          <w:szCs w:val="22"/>
        </w:rPr>
        <w:object w:dxaOrig="7201" w:dyaOrig="4635" w14:anchorId="0E0F5278">
          <v:shape id="_x0000_i1027" type="#_x0000_t75" style="width:343.2pt;height:220.8pt" o:ole="">
            <v:imagedata r:id="rId46" o:title=""/>
          </v:shape>
        </w:object>
      </w:r>
      <w:r w:rsidRPr="00361513">
        <w:rPr>
          <w:rFonts w:ascii="Garamond" w:hAnsi="Garamond"/>
          <w:noProof/>
          <w:sz w:val="22"/>
          <w:szCs w:val="22"/>
        </w:rPr>
        <w:fldChar w:fldCharType="end"/>
      </w:r>
    </w:p>
    <w:p w14:paraId="1E44A961" w14:textId="77777777" w:rsidR="0085484A" w:rsidRPr="00361513" w:rsidRDefault="0085484A" w:rsidP="0085484A">
      <w:pPr>
        <w:pStyle w:val="Lneadeautor-Profesional"/>
        <w:spacing w:before="0" w:after="120" w:line="360" w:lineRule="auto"/>
        <w:ind w:firstLine="284"/>
        <w:jc w:val="center"/>
        <w:rPr>
          <w:rFonts w:ascii="Garamond" w:hAnsi="Garamond" w:cs="Arial"/>
          <w:sz w:val="22"/>
          <w:szCs w:val="22"/>
          <w:lang w:val="es-ES"/>
        </w:rPr>
      </w:pPr>
      <w:r w:rsidRPr="00361513">
        <w:rPr>
          <w:rFonts w:ascii="Garamond" w:hAnsi="Garamond" w:cs="Arial"/>
          <w:sz w:val="22"/>
          <w:szCs w:val="22"/>
          <w:lang w:val="es-ES"/>
        </w:rPr>
        <w:t xml:space="preserve">Fuente: Front </w:t>
      </w:r>
      <w:proofErr w:type="spellStart"/>
      <w:r w:rsidRPr="00361513">
        <w:rPr>
          <w:rFonts w:ascii="Garamond" w:hAnsi="Garamond" w:cs="Arial"/>
          <w:sz w:val="22"/>
          <w:szCs w:val="22"/>
          <w:lang w:val="es-ES"/>
        </w:rPr>
        <w:t>Consulting</w:t>
      </w:r>
      <w:proofErr w:type="spellEnd"/>
      <w:r w:rsidRPr="00361513">
        <w:rPr>
          <w:rFonts w:ascii="Garamond" w:hAnsi="Garamond" w:cs="Arial"/>
          <w:sz w:val="22"/>
          <w:szCs w:val="22"/>
          <w:lang w:val="es-ES"/>
        </w:rPr>
        <w:t xml:space="preserve"> </w:t>
      </w:r>
      <w:proofErr w:type="spellStart"/>
      <w:r w:rsidRPr="00361513">
        <w:rPr>
          <w:rFonts w:ascii="Garamond" w:hAnsi="Garamond" w:cs="Arial"/>
          <w:sz w:val="22"/>
          <w:szCs w:val="22"/>
          <w:lang w:val="es-ES"/>
        </w:rPr>
        <w:t>Group</w:t>
      </w:r>
      <w:proofErr w:type="spellEnd"/>
      <w:r w:rsidRPr="00361513">
        <w:rPr>
          <w:rFonts w:ascii="Garamond" w:hAnsi="Garamond" w:cs="Arial"/>
          <w:sz w:val="22"/>
          <w:szCs w:val="22"/>
          <w:lang w:val="es-ES"/>
        </w:rPr>
        <w:t xml:space="preserve"> (2020) y </w:t>
      </w:r>
      <w:proofErr w:type="spellStart"/>
      <w:r w:rsidRPr="00361513">
        <w:rPr>
          <w:rFonts w:ascii="Garamond" w:hAnsi="Garamond" w:cs="Arial"/>
          <w:sz w:val="22"/>
          <w:szCs w:val="22"/>
          <w:lang w:val="es-ES"/>
        </w:rPr>
        <w:t>Profranquicias</w:t>
      </w:r>
      <w:proofErr w:type="spellEnd"/>
      <w:r w:rsidRPr="00361513">
        <w:rPr>
          <w:rFonts w:ascii="Garamond" w:hAnsi="Garamond" w:cs="Arial"/>
          <w:sz w:val="22"/>
          <w:szCs w:val="22"/>
          <w:lang w:val="es-ES"/>
        </w:rPr>
        <w:t xml:space="preserve"> tomado por Library</w:t>
      </w:r>
      <w:r w:rsidRPr="00361513">
        <w:rPr>
          <w:rStyle w:val="Refdenotaalpie"/>
          <w:rFonts w:ascii="Garamond" w:eastAsia="Garamond" w:hAnsi="Garamond" w:cs="Arial"/>
          <w:sz w:val="22"/>
          <w:szCs w:val="22"/>
          <w:lang w:val="es-ES"/>
        </w:rPr>
        <w:footnoteReference w:id="28"/>
      </w:r>
      <w:r w:rsidRPr="00361513">
        <w:rPr>
          <w:rFonts w:ascii="Garamond" w:hAnsi="Garamond" w:cs="Arial"/>
          <w:sz w:val="22"/>
          <w:szCs w:val="22"/>
          <w:lang w:val="es-ES"/>
        </w:rPr>
        <w:t>. Elaboración propia.</w:t>
      </w:r>
    </w:p>
    <w:p w14:paraId="4B22C1EF" w14:textId="77777777" w:rsidR="0085484A" w:rsidRPr="00361513" w:rsidRDefault="0085484A" w:rsidP="0085484A">
      <w:pPr>
        <w:rPr>
          <w:rFonts w:ascii="Garamond" w:eastAsia="Times New Roman" w:hAnsi="Garamond"/>
          <w:sz w:val="22"/>
          <w:szCs w:val="22"/>
          <w:lang w:val="es-ES"/>
        </w:rPr>
      </w:pPr>
      <w:r w:rsidRPr="00361513">
        <w:rPr>
          <w:rFonts w:ascii="Garamond" w:hAnsi="Garamond"/>
          <w:sz w:val="22"/>
          <w:szCs w:val="22"/>
          <w:lang w:val="es-ES"/>
        </w:rPr>
        <w:br w:type="page"/>
      </w:r>
    </w:p>
    <w:p w14:paraId="0F76C38C" w14:textId="77777777" w:rsidR="0085484A" w:rsidRPr="00361513" w:rsidRDefault="0085484A" w:rsidP="0085484A">
      <w:pPr>
        <w:pStyle w:val="Lneadeautor-Profesional"/>
        <w:spacing w:before="0" w:after="120" w:line="240" w:lineRule="auto"/>
        <w:ind w:firstLine="284"/>
        <w:jc w:val="center"/>
        <w:rPr>
          <w:rFonts w:ascii="Garamond" w:hAnsi="Garamond" w:cs="Arial"/>
          <w:b/>
          <w:bCs/>
          <w:sz w:val="22"/>
          <w:szCs w:val="22"/>
          <w:lang w:val="es-VE"/>
        </w:rPr>
      </w:pPr>
      <w:r w:rsidRPr="00361513">
        <w:rPr>
          <w:rFonts w:ascii="Garamond" w:hAnsi="Garamond" w:cs="Arial"/>
          <w:b/>
          <w:bCs/>
          <w:sz w:val="22"/>
          <w:szCs w:val="22"/>
          <w:lang w:val="es-VE"/>
        </w:rPr>
        <w:lastRenderedPageBreak/>
        <w:t>Figura 9</w:t>
      </w:r>
    </w:p>
    <w:p w14:paraId="5A387D8B"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Elementos de la tormenta perfecta para el negocio de franquicias en Venezuela</w:t>
      </w:r>
    </w:p>
    <w:p w14:paraId="4435135D" w14:textId="77777777" w:rsidR="0085484A" w:rsidRPr="00361513" w:rsidRDefault="0085484A" w:rsidP="0085484A">
      <w:pPr>
        <w:pStyle w:val="Lneadeautor-Profesional"/>
        <w:spacing w:line="240" w:lineRule="auto"/>
        <w:rPr>
          <w:rFonts w:ascii="Garamond" w:hAnsi="Garamond" w:cs="Arial"/>
          <w:i/>
          <w:iCs/>
          <w:sz w:val="22"/>
          <w:szCs w:val="22"/>
          <w:lang w:val="es-ES"/>
        </w:rPr>
      </w:pPr>
      <w:r w:rsidRPr="00361513">
        <w:rPr>
          <w:rFonts w:ascii="Garamond" w:hAnsi="Garamond" w:cs="Arial"/>
          <w:noProof/>
          <w:sz w:val="22"/>
          <w:szCs w:val="22"/>
          <w:lang w:val="es-ES"/>
        </w:rPr>
        <w:drawing>
          <wp:anchor distT="0" distB="0" distL="114300" distR="114300" simplePos="0" relativeHeight="251661312" behindDoc="1" locked="0" layoutInCell="1" allowOverlap="1" wp14:anchorId="67CD783C" wp14:editId="508A80B8">
            <wp:simplePos x="0" y="0"/>
            <wp:positionH relativeFrom="column">
              <wp:posOffset>964565</wp:posOffset>
            </wp:positionH>
            <wp:positionV relativeFrom="paragraph">
              <wp:posOffset>99695</wp:posOffset>
            </wp:positionV>
            <wp:extent cx="3682365" cy="3687445"/>
            <wp:effectExtent l="0" t="0" r="13335" b="0"/>
            <wp:wrapTight wrapText="bothSides">
              <wp:wrapPolygon edited="0">
                <wp:start x="9833" y="223"/>
                <wp:lineTo x="9051" y="781"/>
                <wp:lineTo x="7710" y="1897"/>
                <wp:lineTo x="7487" y="4017"/>
                <wp:lineTo x="8381" y="5803"/>
                <wp:lineTo x="2682" y="5914"/>
                <wp:lineTo x="223" y="6472"/>
                <wp:lineTo x="0" y="8369"/>
                <wp:lineTo x="0" y="9708"/>
                <wp:lineTo x="447" y="11159"/>
                <wp:lineTo x="559" y="11828"/>
                <wp:lineTo x="5252" y="12944"/>
                <wp:lineTo x="7822" y="12944"/>
                <wp:lineTo x="8046" y="14730"/>
                <wp:lineTo x="5364" y="14841"/>
                <wp:lineTo x="3129" y="15623"/>
                <wp:lineTo x="2794" y="18412"/>
                <wp:lineTo x="3464" y="20086"/>
                <wp:lineTo x="3464" y="20198"/>
                <wp:lineTo x="4917" y="21090"/>
                <wp:lineTo x="5140" y="21314"/>
                <wp:lineTo x="16426" y="21314"/>
                <wp:lineTo x="16650" y="21090"/>
                <wp:lineTo x="18102" y="20198"/>
                <wp:lineTo x="18214" y="20086"/>
                <wp:lineTo x="18885" y="18301"/>
                <wp:lineTo x="18549" y="15734"/>
                <wp:lineTo x="16091" y="14841"/>
                <wp:lineTo x="13409" y="14730"/>
                <wp:lineTo x="13856" y="12944"/>
                <wp:lineTo x="16426" y="12944"/>
                <wp:lineTo x="21231" y="11717"/>
                <wp:lineTo x="21120" y="11159"/>
                <wp:lineTo x="21566" y="10155"/>
                <wp:lineTo x="21566" y="6472"/>
                <wp:lineTo x="18885" y="5914"/>
                <wp:lineTo x="13297" y="5803"/>
                <wp:lineTo x="14080" y="4129"/>
                <wp:lineTo x="13968" y="2009"/>
                <wp:lineTo x="12515" y="781"/>
                <wp:lineTo x="11733" y="223"/>
                <wp:lineTo x="9833" y="223"/>
              </wp:wrapPolygon>
            </wp:wrapTight>
            <wp:docPr id="38"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page">
              <wp14:pctWidth>0</wp14:pctWidth>
            </wp14:sizeRelH>
            <wp14:sizeRelV relativeFrom="page">
              <wp14:pctHeight>0</wp14:pctHeight>
            </wp14:sizeRelV>
          </wp:anchor>
        </w:drawing>
      </w:r>
    </w:p>
    <w:p w14:paraId="4334B6C5" w14:textId="77777777" w:rsidR="0085484A" w:rsidRPr="00361513" w:rsidRDefault="0085484A" w:rsidP="0085484A">
      <w:pPr>
        <w:pStyle w:val="Lneadeautor-Profesional"/>
        <w:spacing w:line="240" w:lineRule="auto"/>
        <w:rPr>
          <w:rFonts w:ascii="Garamond" w:hAnsi="Garamond" w:cs="Arial"/>
          <w:sz w:val="22"/>
          <w:szCs w:val="22"/>
          <w:lang w:val="es-ES"/>
        </w:rPr>
      </w:pPr>
    </w:p>
    <w:p w14:paraId="58547131" w14:textId="77777777" w:rsidR="0085484A" w:rsidRPr="00361513" w:rsidRDefault="0085484A" w:rsidP="0085484A">
      <w:pPr>
        <w:pStyle w:val="Lneadeautor-Profesional"/>
        <w:spacing w:line="240" w:lineRule="auto"/>
        <w:rPr>
          <w:rFonts w:ascii="Garamond" w:hAnsi="Garamond" w:cs="Arial"/>
          <w:sz w:val="22"/>
          <w:szCs w:val="22"/>
          <w:lang w:val="es-ES"/>
        </w:rPr>
      </w:pPr>
    </w:p>
    <w:p w14:paraId="3A874589" w14:textId="77777777" w:rsidR="0085484A" w:rsidRPr="00361513" w:rsidRDefault="0085484A" w:rsidP="0085484A">
      <w:pPr>
        <w:pStyle w:val="Lneadeautor-Profesional"/>
        <w:spacing w:line="240" w:lineRule="auto"/>
        <w:rPr>
          <w:rFonts w:ascii="Garamond" w:hAnsi="Garamond" w:cs="Arial"/>
          <w:sz w:val="22"/>
          <w:szCs w:val="22"/>
          <w:lang w:val="es-ES"/>
        </w:rPr>
      </w:pPr>
    </w:p>
    <w:p w14:paraId="72835F59" w14:textId="77777777" w:rsidR="0085484A" w:rsidRPr="00361513" w:rsidRDefault="0085484A" w:rsidP="0085484A">
      <w:pPr>
        <w:pStyle w:val="Lneadeautor-Profesional"/>
        <w:spacing w:line="240" w:lineRule="auto"/>
        <w:rPr>
          <w:rFonts w:ascii="Garamond" w:hAnsi="Garamond" w:cs="Arial"/>
          <w:sz w:val="22"/>
          <w:szCs w:val="22"/>
          <w:lang w:val="es-ES"/>
        </w:rPr>
      </w:pPr>
    </w:p>
    <w:p w14:paraId="34EDDD95" w14:textId="77777777" w:rsidR="0085484A" w:rsidRPr="00361513" w:rsidRDefault="0085484A" w:rsidP="0085484A">
      <w:pPr>
        <w:pStyle w:val="Lneadeautor-Profesional"/>
        <w:spacing w:line="240" w:lineRule="auto"/>
        <w:rPr>
          <w:rFonts w:ascii="Garamond" w:hAnsi="Garamond" w:cs="Arial"/>
          <w:sz w:val="22"/>
          <w:szCs w:val="22"/>
          <w:lang w:val="es-ES"/>
        </w:rPr>
      </w:pPr>
    </w:p>
    <w:p w14:paraId="245A6789" w14:textId="77777777" w:rsidR="0085484A" w:rsidRPr="00361513" w:rsidRDefault="0085484A" w:rsidP="0085484A">
      <w:pPr>
        <w:pStyle w:val="Lneadeautor-Profesional"/>
        <w:spacing w:line="240" w:lineRule="auto"/>
        <w:rPr>
          <w:rFonts w:ascii="Garamond" w:hAnsi="Garamond" w:cs="Arial"/>
          <w:sz w:val="22"/>
          <w:szCs w:val="22"/>
          <w:lang w:val="es-ES"/>
        </w:rPr>
      </w:pPr>
    </w:p>
    <w:p w14:paraId="3B42B468" w14:textId="77777777" w:rsidR="0085484A" w:rsidRPr="00361513" w:rsidRDefault="0085484A" w:rsidP="0085484A">
      <w:pPr>
        <w:pStyle w:val="Lneadeautor-Profesional"/>
        <w:spacing w:line="240" w:lineRule="auto"/>
        <w:rPr>
          <w:rFonts w:ascii="Garamond" w:hAnsi="Garamond" w:cs="Arial"/>
          <w:sz w:val="22"/>
          <w:szCs w:val="22"/>
          <w:lang w:val="es-ES"/>
        </w:rPr>
      </w:pPr>
    </w:p>
    <w:p w14:paraId="090FD81F" w14:textId="77777777" w:rsidR="0085484A" w:rsidRPr="00361513" w:rsidRDefault="0085484A" w:rsidP="0085484A">
      <w:pPr>
        <w:pStyle w:val="Lneadeautor-Profesional"/>
        <w:spacing w:line="240" w:lineRule="auto"/>
        <w:rPr>
          <w:rFonts w:ascii="Garamond" w:hAnsi="Garamond" w:cs="Arial"/>
          <w:sz w:val="22"/>
          <w:szCs w:val="22"/>
          <w:lang w:val="es-ES"/>
        </w:rPr>
      </w:pPr>
    </w:p>
    <w:p w14:paraId="3FE2C4AD" w14:textId="77777777" w:rsidR="0085484A" w:rsidRPr="00361513" w:rsidRDefault="0085484A" w:rsidP="0085484A">
      <w:pPr>
        <w:pStyle w:val="Lneadeautor-Profesional"/>
        <w:spacing w:line="240" w:lineRule="auto"/>
        <w:rPr>
          <w:rFonts w:ascii="Garamond" w:hAnsi="Garamond" w:cs="Arial"/>
          <w:sz w:val="22"/>
          <w:szCs w:val="22"/>
          <w:lang w:val="es-ES"/>
        </w:rPr>
      </w:pPr>
    </w:p>
    <w:p w14:paraId="799FE926" w14:textId="77777777" w:rsidR="0085484A" w:rsidRPr="00361513" w:rsidRDefault="0085484A" w:rsidP="0085484A">
      <w:pPr>
        <w:pStyle w:val="Lneadeautor-Profesional"/>
        <w:spacing w:line="240" w:lineRule="auto"/>
        <w:rPr>
          <w:rFonts w:ascii="Garamond" w:hAnsi="Garamond" w:cs="Arial"/>
          <w:sz w:val="22"/>
          <w:szCs w:val="22"/>
          <w:lang w:val="es-ES"/>
        </w:rPr>
      </w:pPr>
    </w:p>
    <w:p w14:paraId="06C061E0" w14:textId="77777777" w:rsidR="0085484A" w:rsidRPr="00361513" w:rsidRDefault="0085484A" w:rsidP="0085484A">
      <w:pPr>
        <w:pStyle w:val="Lneadeautor-Profesional"/>
        <w:spacing w:line="240" w:lineRule="auto"/>
        <w:rPr>
          <w:rFonts w:ascii="Garamond" w:hAnsi="Garamond" w:cs="Arial"/>
          <w:sz w:val="22"/>
          <w:szCs w:val="22"/>
          <w:lang w:val="es-ES"/>
        </w:rPr>
      </w:pPr>
    </w:p>
    <w:p w14:paraId="1D7786A6" w14:textId="77777777" w:rsidR="0085484A" w:rsidRPr="00361513" w:rsidRDefault="0085484A" w:rsidP="0085484A">
      <w:pPr>
        <w:pStyle w:val="Lneadeautor-Profesional"/>
        <w:spacing w:line="240" w:lineRule="auto"/>
        <w:jc w:val="center"/>
        <w:rPr>
          <w:rFonts w:ascii="Garamond" w:hAnsi="Garamond" w:cs="Arial"/>
          <w:sz w:val="22"/>
          <w:szCs w:val="22"/>
          <w:lang w:val="es-ES"/>
        </w:rPr>
      </w:pPr>
    </w:p>
    <w:p w14:paraId="0D755198" w14:textId="77777777" w:rsidR="0085484A" w:rsidRPr="00361513" w:rsidRDefault="0085484A" w:rsidP="0085484A">
      <w:pPr>
        <w:pStyle w:val="Lneadeautor-Profesional"/>
        <w:spacing w:line="240" w:lineRule="auto"/>
        <w:jc w:val="center"/>
        <w:rPr>
          <w:rFonts w:ascii="Garamond" w:hAnsi="Garamond" w:cs="Arial"/>
          <w:sz w:val="22"/>
          <w:szCs w:val="22"/>
          <w:lang w:val="es-ES"/>
        </w:rPr>
      </w:pPr>
    </w:p>
    <w:p w14:paraId="68C7EC0A" w14:textId="77777777" w:rsidR="0085484A" w:rsidRPr="00361513" w:rsidRDefault="0085484A" w:rsidP="0085484A">
      <w:pPr>
        <w:pStyle w:val="Lneadeautor-Profesional"/>
        <w:spacing w:line="240" w:lineRule="auto"/>
        <w:jc w:val="center"/>
        <w:rPr>
          <w:rFonts w:ascii="Garamond" w:hAnsi="Garamond" w:cs="Arial"/>
          <w:sz w:val="22"/>
          <w:szCs w:val="22"/>
          <w:lang w:val="es-ES"/>
        </w:rPr>
      </w:pPr>
    </w:p>
    <w:p w14:paraId="58B721D5" w14:textId="77777777" w:rsidR="0085484A" w:rsidRPr="00361513" w:rsidRDefault="0085484A" w:rsidP="0085484A">
      <w:pPr>
        <w:pStyle w:val="Lneadeautor-Profesional"/>
        <w:spacing w:line="240" w:lineRule="auto"/>
        <w:jc w:val="center"/>
        <w:rPr>
          <w:rFonts w:ascii="Garamond" w:hAnsi="Garamond" w:cs="Arial"/>
          <w:sz w:val="22"/>
          <w:szCs w:val="22"/>
          <w:lang w:val="es-ES"/>
        </w:rPr>
      </w:pPr>
    </w:p>
    <w:p w14:paraId="0499DF4B" w14:textId="77777777" w:rsidR="0085484A" w:rsidRPr="00361513" w:rsidRDefault="0085484A" w:rsidP="0085484A">
      <w:pPr>
        <w:pStyle w:val="Lneadeautor-Profesional"/>
        <w:spacing w:line="240" w:lineRule="auto"/>
        <w:jc w:val="center"/>
        <w:rPr>
          <w:rFonts w:ascii="Garamond" w:hAnsi="Garamond" w:cs="Arial"/>
          <w:sz w:val="22"/>
          <w:szCs w:val="22"/>
          <w:lang w:val="es-ES"/>
        </w:rPr>
      </w:pPr>
    </w:p>
    <w:p w14:paraId="1E17FDD7" w14:textId="77777777" w:rsidR="0085484A" w:rsidRPr="00361513" w:rsidRDefault="0085484A" w:rsidP="0085484A">
      <w:pPr>
        <w:pStyle w:val="Lneadeautor-Profesional"/>
        <w:spacing w:line="240" w:lineRule="auto"/>
        <w:jc w:val="center"/>
        <w:rPr>
          <w:rFonts w:ascii="Garamond" w:hAnsi="Garamond" w:cs="Arial"/>
          <w:sz w:val="22"/>
          <w:szCs w:val="22"/>
          <w:lang w:val="es-ES"/>
        </w:rPr>
      </w:pPr>
    </w:p>
    <w:p w14:paraId="1971E06C" w14:textId="77777777" w:rsidR="0085484A" w:rsidRPr="00361513" w:rsidRDefault="0085484A" w:rsidP="0085484A">
      <w:pPr>
        <w:pStyle w:val="Lneadeautor-Profesional"/>
        <w:spacing w:line="240" w:lineRule="auto"/>
        <w:jc w:val="center"/>
        <w:rPr>
          <w:rFonts w:ascii="Garamond" w:hAnsi="Garamond" w:cs="Arial"/>
          <w:sz w:val="22"/>
          <w:szCs w:val="22"/>
          <w:lang w:val="es-ES"/>
        </w:rPr>
      </w:pPr>
    </w:p>
    <w:p w14:paraId="40BB555E" w14:textId="77777777" w:rsidR="0085484A" w:rsidRPr="00361513" w:rsidRDefault="0085484A" w:rsidP="0085484A">
      <w:pPr>
        <w:pStyle w:val="Lneadeautor-Profesional"/>
        <w:spacing w:line="240" w:lineRule="auto"/>
        <w:jc w:val="center"/>
        <w:rPr>
          <w:rFonts w:ascii="Garamond" w:hAnsi="Garamond" w:cs="Arial"/>
          <w:sz w:val="22"/>
          <w:szCs w:val="22"/>
          <w:lang w:val="es-ES"/>
        </w:rPr>
      </w:pPr>
    </w:p>
    <w:p w14:paraId="6DC6D196"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ES"/>
        </w:rPr>
      </w:pPr>
      <w:r w:rsidRPr="00361513">
        <w:rPr>
          <w:rFonts w:ascii="Garamond" w:hAnsi="Garamond" w:cs="Arial"/>
          <w:sz w:val="22"/>
          <w:szCs w:val="22"/>
          <w:lang w:val="es-ES"/>
        </w:rPr>
        <w:t>Fuente: Elaboración propia.</w:t>
      </w:r>
    </w:p>
    <w:p w14:paraId="7F634A8B" w14:textId="77777777" w:rsidR="0085484A" w:rsidRPr="00361513" w:rsidRDefault="0085484A" w:rsidP="0085484A">
      <w:pPr>
        <w:rPr>
          <w:rFonts w:ascii="Garamond" w:eastAsia="Times New Roman" w:hAnsi="Garamond"/>
          <w:sz w:val="22"/>
          <w:szCs w:val="22"/>
          <w:lang w:val="es-ES"/>
        </w:rPr>
      </w:pPr>
      <w:r w:rsidRPr="00361513">
        <w:rPr>
          <w:rFonts w:ascii="Garamond" w:hAnsi="Garamond"/>
          <w:sz w:val="22"/>
          <w:szCs w:val="22"/>
          <w:lang w:val="es-ES"/>
        </w:rPr>
        <w:br w:type="page"/>
      </w:r>
    </w:p>
    <w:p w14:paraId="1F2FBBCC"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Tabla 1</w:t>
      </w:r>
    </w:p>
    <w:p w14:paraId="054439FC"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Cronología de las variables de la tormenta perfecta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3051"/>
        <w:gridCol w:w="2850"/>
      </w:tblGrid>
      <w:tr w:rsidR="0085484A" w:rsidRPr="00361513" w14:paraId="292829BB" w14:textId="77777777" w:rsidTr="00C73ED7">
        <w:tc>
          <w:tcPr>
            <w:tcW w:w="3153" w:type="dxa"/>
            <w:tcBorders>
              <w:bottom w:val="single" w:sz="4" w:space="0" w:color="auto"/>
            </w:tcBorders>
          </w:tcPr>
          <w:p w14:paraId="257126DB" w14:textId="77777777" w:rsidR="0085484A" w:rsidRPr="00361513" w:rsidRDefault="0085484A" w:rsidP="00C73ED7">
            <w:pPr>
              <w:rPr>
                <w:rFonts w:ascii="Garamond" w:hAnsi="Garamond"/>
                <w:sz w:val="22"/>
                <w:szCs w:val="22"/>
              </w:rPr>
            </w:pPr>
            <w:r w:rsidRPr="00361513">
              <w:rPr>
                <w:rFonts w:ascii="Garamond" w:hAnsi="Garamond"/>
                <w:sz w:val="22"/>
                <w:szCs w:val="22"/>
              </w:rPr>
              <w:t>Factor</w:t>
            </w:r>
          </w:p>
        </w:tc>
        <w:tc>
          <w:tcPr>
            <w:tcW w:w="3051" w:type="dxa"/>
            <w:tcBorders>
              <w:bottom w:val="single" w:sz="4" w:space="0" w:color="auto"/>
            </w:tcBorders>
          </w:tcPr>
          <w:p w14:paraId="00EC5CC7" w14:textId="77777777" w:rsidR="0085484A" w:rsidRPr="00361513" w:rsidRDefault="0085484A" w:rsidP="00C73ED7">
            <w:pPr>
              <w:rPr>
                <w:rFonts w:ascii="Garamond" w:hAnsi="Garamond"/>
                <w:sz w:val="22"/>
                <w:szCs w:val="22"/>
              </w:rPr>
            </w:pPr>
            <w:r w:rsidRPr="00361513">
              <w:rPr>
                <w:rFonts w:ascii="Garamond" w:hAnsi="Garamond"/>
                <w:sz w:val="22"/>
                <w:szCs w:val="22"/>
              </w:rPr>
              <w:t>Duración</w:t>
            </w:r>
          </w:p>
        </w:tc>
        <w:tc>
          <w:tcPr>
            <w:tcW w:w="2850" w:type="dxa"/>
            <w:tcBorders>
              <w:bottom w:val="single" w:sz="4" w:space="0" w:color="auto"/>
            </w:tcBorders>
          </w:tcPr>
          <w:p w14:paraId="06B00122" w14:textId="77777777" w:rsidR="0085484A" w:rsidRPr="00361513" w:rsidRDefault="0085484A" w:rsidP="00C73ED7">
            <w:pPr>
              <w:rPr>
                <w:rFonts w:ascii="Garamond" w:hAnsi="Garamond"/>
                <w:sz w:val="22"/>
                <w:szCs w:val="22"/>
              </w:rPr>
            </w:pPr>
            <w:r w:rsidRPr="00361513">
              <w:rPr>
                <w:rFonts w:ascii="Garamond" w:hAnsi="Garamond"/>
                <w:sz w:val="22"/>
                <w:szCs w:val="22"/>
              </w:rPr>
              <w:t>Consecuencia</w:t>
            </w:r>
          </w:p>
        </w:tc>
      </w:tr>
      <w:tr w:rsidR="0085484A" w:rsidRPr="00361513" w14:paraId="50D71F54" w14:textId="77777777" w:rsidTr="00C73ED7">
        <w:tc>
          <w:tcPr>
            <w:tcW w:w="3153" w:type="dxa"/>
            <w:tcBorders>
              <w:bottom w:val="nil"/>
            </w:tcBorders>
          </w:tcPr>
          <w:p w14:paraId="04D5A8A4" w14:textId="77777777" w:rsidR="0085484A" w:rsidRPr="00361513" w:rsidRDefault="0085484A" w:rsidP="00C73ED7">
            <w:pPr>
              <w:rPr>
                <w:rFonts w:ascii="Garamond" w:hAnsi="Garamond"/>
                <w:sz w:val="22"/>
                <w:szCs w:val="22"/>
              </w:rPr>
            </w:pPr>
            <w:r w:rsidRPr="00361513">
              <w:rPr>
                <w:rFonts w:ascii="Garamond" w:hAnsi="Garamond"/>
                <w:sz w:val="22"/>
                <w:szCs w:val="22"/>
              </w:rPr>
              <w:t>Control cambiario</w:t>
            </w:r>
          </w:p>
        </w:tc>
        <w:tc>
          <w:tcPr>
            <w:tcW w:w="3051" w:type="dxa"/>
            <w:tcBorders>
              <w:bottom w:val="nil"/>
            </w:tcBorders>
          </w:tcPr>
          <w:p w14:paraId="13B3522B" w14:textId="77777777" w:rsidR="0085484A" w:rsidRPr="00361513" w:rsidRDefault="0085484A" w:rsidP="00C73ED7">
            <w:pPr>
              <w:rPr>
                <w:rFonts w:ascii="Garamond" w:hAnsi="Garamond"/>
                <w:sz w:val="22"/>
                <w:szCs w:val="22"/>
              </w:rPr>
            </w:pPr>
            <w:r w:rsidRPr="00361513">
              <w:rPr>
                <w:rFonts w:ascii="Garamond" w:hAnsi="Garamond"/>
                <w:sz w:val="22"/>
                <w:szCs w:val="22"/>
              </w:rPr>
              <w:t>Enero 2003-agosto 2018</w:t>
            </w:r>
          </w:p>
        </w:tc>
        <w:tc>
          <w:tcPr>
            <w:tcW w:w="2850" w:type="dxa"/>
            <w:tcBorders>
              <w:bottom w:val="nil"/>
            </w:tcBorders>
          </w:tcPr>
          <w:p w14:paraId="6163E864" w14:textId="77777777" w:rsidR="0085484A" w:rsidRPr="00361513" w:rsidRDefault="0085484A" w:rsidP="00C73ED7">
            <w:pPr>
              <w:rPr>
                <w:rFonts w:ascii="Garamond" w:hAnsi="Garamond"/>
                <w:sz w:val="22"/>
                <w:szCs w:val="22"/>
              </w:rPr>
            </w:pPr>
            <w:r w:rsidRPr="00361513">
              <w:rPr>
                <w:rFonts w:ascii="Garamond" w:hAnsi="Garamond"/>
                <w:sz w:val="22"/>
                <w:szCs w:val="22"/>
              </w:rPr>
              <w:t>Dificulta la importación de insumos</w:t>
            </w:r>
          </w:p>
        </w:tc>
      </w:tr>
      <w:tr w:rsidR="0085484A" w:rsidRPr="00361513" w14:paraId="385A6F20" w14:textId="77777777" w:rsidTr="00C73ED7">
        <w:tc>
          <w:tcPr>
            <w:tcW w:w="3153" w:type="dxa"/>
            <w:tcBorders>
              <w:top w:val="nil"/>
              <w:bottom w:val="nil"/>
            </w:tcBorders>
          </w:tcPr>
          <w:p w14:paraId="67D9B753" w14:textId="77777777" w:rsidR="0085484A" w:rsidRPr="00361513" w:rsidRDefault="0085484A" w:rsidP="00C73ED7">
            <w:pPr>
              <w:rPr>
                <w:rFonts w:ascii="Garamond" w:hAnsi="Garamond"/>
                <w:sz w:val="22"/>
                <w:szCs w:val="22"/>
              </w:rPr>
            </w:pPr>
            <w:r w:rsidRPr="00361513">
              <w:rPr>
                <w:rFonts w:ascii="Garamond" w:hAnsi="Garamond"/>
                <w:sz w:val="22"/>
                <w:szCs w:val="22"/>
              </w:rPr>
              <w:t>Control de precios</w:t>
            </w:r>
          </w:p>
        </w:tc>
        <w:tc>
          <w:tcPr>
            <w:tcW w:w="3051" w:type="dxa"/>
            <w:tcBorders>
              <w:top w:val="nil"/>
              <w:bottom w:val="nil"/>
            </w:tcBorders>
          </w:tcPr>
          <w:p w14:paraId="265AD4E1" w14:textId="77777777" w:rsidR="0085484A" w:rsidRPr="00361513" w:rsidRDefault="0085484A" w:rsidP="00C73ED7">
            <w:pPr>
              <w:rPr>
                <w:rFonts w:ascii="Garamond" w:hAnsi="Garamond"/>
                <w:sz w:val="22"/>
                <w:szCs w:val="22"/>
              </w:rPr>
            </w:pPr>
            <w:r w:rsidRPr="00361513">
              <w:rPr>
                <w:rFonts w:ascii="Garamond" w:hAnsi="Garamond"/>
                <w:sz w:val="22"/>
                <w:szCs w:val="22"/>
              </w:rPr>
              <w:t>Febrero 2003-vigente, n/a</w:t>
            </w:r>
          </w:p>
        </w:tc>
        <w:tc>
          <w:tcPr>
            <w:tcW w:w="2850" w:type="dxa"/>
            <w:tcBorders>
              <w:top w:val="nil"/>
              <w:bottom w:val="nil"/>
            </w:tcBorders>
          </w:tcPr>
          <w:p w14:paraId="05A57A88" w14:textId="77777777" w:rsidR="0085484A" w:rsidRPr="00361513" w:rsidRDefault="0085484A" w:rsidP="00C73ED7">
            <w:pPr>
              <w:rPr>
                <w:rFonts w:ascii="Garamond" w:hAnsi="Garamond"/>
                <w:sz w:val="22"/>
                <w:szCs w:val="22"/>
              </w:rPr>
            </w:pPr>
            <w:r w:rsidRPr="00361513">
              <w:rPr>
                <w:rFonts w:ascii="Garamond" w:hAnsi="Garamond"/>
                <w:sz w:val="22"/>
                <w:szCs w:val="22"/>
              </w:rPr>
              <w:t>Reduce los márgenes de ganancia</w:t>
            </w:r>
          </w:p>
        </w:tc>
      </w:tr>
      <w:tr w:rsidR="0085484A" w:rsidRPr="00361513" w14:paraId="57E3D42E" w14:textId="77777777" w:rsidTr="00C73ED7">
        <w:tc>
          <w:tcPr>
            <w:tcW w:w="3153" w:type="dxa"/>
            <w:tcBorders>
              <w:top w:val="nil"/>
              <w:bottom w:val="nil"/>
            </w:tcBorders>
          </w:tcPr>
          <w:p w14:paraId="0065EF8D" w14:textId="77777777" w:rsidR="0085484A" w:rsidRPr="00361513" w:rsidRDefault="0085484A" w:rsidP="00C73ED7">
            <w:pPr>
              <w:rPr>
                <w:rFonts w:ascii="Garamond" w:hAnsi="Garamond"/>
                <w:sz w:val="22"/>
                <w:szCs w:val="22"/>
              </w:rPr>
            </w:pPr>
            <w:r w:rsidRPr="00361513">
              <w:rPr>
                <w:rFonts w:ascii="Garamond" w:hAnsi="Garamond"/>
                <w:sz w:val="22"/>
                <w:szCs w:val="22"/>
              </w:rPr>
              <w:t>Prohibición repatriación capitales</w:t>
            </w:r>
          </w:p>
        </w:tc>
        <w:tc>
          <w:tcPr>
            <w:tcW w:w="3051" w:type="dxa"/>
            <w:tcBorders>
              <w:top w:val="nil"/>
              <w:bottom w:val="nil"/>
            </w:tcBorders>
          </w:tcPr>
          <w:p w14:paraId="61A3AE4A" w14:textId="77777777" w:rsidR="0085484A" w:rsidRPr="00361513" w:rsidRDefault="0085484A" w:rsidP="00C73ED7">
            <w:pPr>
              <w:rPr>
                <w:rFonts w:ascii="Garamond" w:hAnsi="Garamond"/>
                <w:sz w:val="22"/>
                <w:szCs w:val="22"/>
              </w:rPr>
            </w:pPr>
            <w:r w:rsidRPr="00361513">
              <w:rPr>
                <w:rFonts w:ascii="Garamond" w:hAnsi="Garamond"/>
                <w:sz w:val="22"/>
                <w:szCs w:val="22"/>
              </w:rPr>
              <w:t>Febrero 2003-agosto 2018</w:t>
            </w:r>
          </w:p>
        </w:tc>
        <w:tc>
          <w:tcPr>
            <w:tcW w:w="2850" w:type="dxa"/>
            <w:tcBorders>
              <w:top w:val="nil"/>
              <w:bottom w:val="nil"/>
            </w:tcBorders>
          </w:tcPr>
          <w:p w14:paraId="5F624452" w14:textId="77777777" w:rsidR="0085484A" w:rsidRPr="00361513" w:rsidRDefault="0085484A" w:rsidP="00C73ED7">
            <w:pPr>
              <w:rPr>
                <w:rFonts w:ascii="Garamond" w:hAnsi="Garamond"/>
                <w:sz w:val="22"/>
                <w:szCs w:val="22"/>
              </w:rPr>
            </w:pPr>
            <w:r w:rsidRPr="00361513">
              <w:rPr>
                <w:rFonts w:ascii="Garamond" w:hAnsi="Garamond"/>
                <w:sz w:val="22"/>
                <w:szCs w:val="22"/>
              </w:rPr>
              <w:t>Impide regreso de inversiones</w:t>
            </w:r>
          </w:p>
        </w:tc>
      </w:tr>
      <w:tr w:rsidR="0085484A" w:rsidRPr="00361513" w14:paraId="38D26D2B" w14:textId="77777777" w:rsidTr="00C73ED7">
        <w:tc>
          <w:tcPr>
            <w:tcW w:w="3153" w:type="dxa"/>
            <w:tcBorders>
              <w:top w:val="nil"/>
              <w:bottom w:val="nil"/>
            </w:tcBorders>
          </w:tcPr>
          <w:p w14:paraId="5A4FD31C" w14:textId="77777777" w:rsidR="0085484A" w:rsidRPr="00361513" w:rsidRDefault="0085484A" w:rsidP="00C73ED7">
            <w:pPr>
              <w:rPr>
                <w:rFonts w:ascii="Garamond" w:hAnsi="Garamond"/>
                <w:sz w:val="22"/>
                <w:szCs w:val="22"/>
              </w:rPr>
            </w:pPr>
            <w:r w:rsidRPr="00361513">
              <w:rPr>
                <w:rFonts w:ascii="Garamond" w:hAnsi="Garamond"/>
                <w:sz w:val="22"/>
                <w:szCs w:val="22"/>
              </w:rPr>
              <w:t>Límite a las ganancias</w:t>
            </w:r>
          </w:p>
        </w:tc>
        <w:tc>
          <w:tcPr>
            <w:tcW w:w="3051" w:type="dxa"/>
            <w:tcBorders>
              <w:top w:val="nil"/>
              <w:bottom w:val="nil"/>
            </w:tcBorders>
          </w:tcPr>
          <w:p w14:paraId="4362B050" w14:textId="77777777" w:rsidR="0085484A" w:rsidRPr="00361513" w:rsidRDefault="0085484A" w:rsidP="00C73ED7">
            <w:pPr>
              <w:rPr>
                <w:rFonts w:ascii="Garamond" w:hAnsi="Garamond"/>
                <w:sz w:val="22"/>
                <w:szCs w:val="22"/>
              </w:rPr>
            </w:pPr>
            <w:r w:rsidRPr="00361513">
              <w:rPr>
                <w:rFonts w:ascii="Garamond" w:hAnsi="Garamond"/>
                <w:sz w:val="22"/>
                <w:szCs w:val="22"/>
              </w:rPr>
              <w:t>Enero 2014-agosto 2018*</w:t>
            </w:r>
          </w:p>
        </w:tc>
        <w:tc>
          <w:tcPr>
            <w:tcW w:w="2850" w:type="dxa"/>
            <w:tcBorders>
              <w:top w:val="nil"/>
              <w:bottom w:val="nil"/>
            </w:tcBorders>
          </w:tcPr>
          <w:p w14:paraId="3C12D06B" w14:textId="77777777" w:rsidR="0085484A" w:rsidRPr="00361513" w:rsidRDefault="0085484A" w:rsidP="00C73ED7">
            <w:pPr>
              <w:rPr>
                <w:rFonts w:ascii="Garamond" w:hAnsi="Garamond"/>
                <w:sz w:val="22"/>
                <w:szCs w:val="22"/>
              </w:rPr>
            </w:pPr>
            <w:r w:rsidRPr="00361513">
              <w:rPr>
                <w:rFonts w:ascii="Garamond" w:hAnsi="Garamond"/>
                <w:sz w:val="22"/>
                <w:szCs w:val="22"/>
              </w:rPr>
              <w:t>Restringe el crecimiento</w:t>
            </w:r>
          </w:p>
        </w:tc>
      </w:tr>
      <w:tr w:rsidR="0085484A" w:rsidRPr="00361513" w14:paraId="078FCDDA" w14:textId="77777777" w:rsidTr="00C73ED7">
        <w:tc>
          <w:tcPr>
            <w:tcW w:w="3153" w:type="dxa"/>
            <w:tcBorders>
              <w:top w:val="nil"/>
            </w:tcBorders>
          </w:tcPr>
          <w:p w14:paraId="7BB2CB5B" w14:textId="77777777" w:rsidR="0085484A" w:rsidRPr="00361513" w:rsidRDefault="0085484A" w:rsidP="00C73ED7">
            <w:pPr>
              <w:rPr>
                <w:rFonts w:ascii="Garamond" w:hAnsi="Garamond"/>
                <w:sz w:val="22"/>
                <w:szCs w:val="22"/>
              </w:rPr>
            </w:pPr>
            <w:r w:rsidRPr="00361513">
              <w:rPr>
                <w:rFonts w:ascii="Garamond" w:hAnsi="Garamond"/>
                <w:sz w:val="22"/>
                <w:szCs w:val="22"/>
              </w:rPr>
              <w:t>Hiperinflación</w:t>
            </w:r>
          </w:p>
        </w:tc>
        <w:tc>
          <w:tcPr>
            <w:tcW w:w="3051" w:type="dxa"/>
            <w:tcBorders>
              <w:top w:val="nil"/>
            </w:tcBorders>
          </w:tcPr>
          <w:p w14:paraId="15305FDE" w14:textId="77777777" w:rsidR="0085484A" w:rsidRPr="00361513" w:rsidRDefault="0085484A" w:rsidP="00C73ED7">
            <w:pPr>
              <w:rPr>
                <w:rFonts w:ascii="Garamond" w:hAnsi="Garamond"/>
                <w:sz w:val="22"/>
                <w:szCs w:val="22"/>
              </w:rPr>
            </w:pPr>
            <w:r w:rsidRPr="00361513">
              <w:rPr>
                <w:rFonts w:ascii="Garamond" w:hAnsi="Garamond"/>
                <w:sz w:val="22"/>
                <w:szCs w:val="22"/>
              </w:rPr>
              <w:t>Noviembre 2017-diciembre 2021**</w:t>
            </w:r>
          </w:p>
        </w:tc>
        <w:tc>
          <w:tcPr>
            <w:tcW w:w="2850" w:type="dxa"/>
            <w:tcBorders>
              <w:top w:val="nil"/>
            </w:tcBorders>
          </w:tcPr>
          <w:p w14:paraId="7BDA7A39" w14:textId="77777777" w:rsidR="0085484A" w:rsidRPr="00361513" w:rsidRDefault="0085484A" w:rsidP="00C73ED7">
            <w:pPr>
              <w:rPr>
                <w:rFonts w:ascii="Garamond" w:hAnsi="Garamond"/>
                <w:sz w:val="22"/>
                <w:szCs w:val="22"/>
              </w:rPr>
            </w:pPr>
            <w:r w:rsidRPr="00361513">
              <w:rPr>
                <w:rFonts w:ascii="Garamond" w:hAnsi="Garamond"/>
                <w:sz w:val="22"/>
                <w:szCs w:val="22"/>
              </w:rPr>
              <w:t>Incrementa todos los precios/costos</w:t>
            </w:r>
          </w:p>
        </w:tc>
      </w:tr>
    </w:tbl>
    <w:p w14:paraId="32D8E276"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ES"/>
        </w:rPr>
      </w:pPr>
      <w:r w:rsidRPr="00361513">
        <w:rPr>
          <w:rFonts w:ascii="Garamond" w:hAnsi="Garamond" w:cs="Arial"/>
          <w:sz w:val="22"/>
          <w:szCs w:val="22"/>
          <w:lang w:val="es-ES"/>
        </w:rPr>
        <w:t xml:space="preserve">Fuente: Google </w:t>
      </w:r>
      <w:proofErr w:type="spellStart"/>
      <w:r w:rsidRPr="00361513">
        <w:rPr>
          <w:rFonts w:ascii="Garamond" w:hAnsi="Garamond" w:cs="Arial"/>
          <w:sz w:val="22"/>
          <w:szCs w:val="22"/>
          <w:lang w:val="es-ES"/>
        </w:rPr>
        <w:t>AI</w:t>
      </w:r>
      <w:proofErr w:type="spellEnd"/>
      <w:r w:rsidRPr="00361513">
        <w:rPr>
          <w:rFonts w:ascii="Garamond" w:hAnsi="Garamond" w:cs="Arial"/>
          <w:sz w:val="22"/>
          <w:szCs w:val="22"/>
          <w:lang w:val="es-ES"/>
        </w:rPr>
        <w:t xml:space="preserve"> (2023). Elaboración propia.</w:t>
      </w:r>
    </w:p>
    <w:p w14:paraId="4574A089" w14:textId="77777777" w:rsidR="0085484A" w:rsidRPr="007974F5" w:rsidRDefault="0085484A" w:rsidP="0085484A">
      <w:pPr>
        <w:pStyle w:val="Lneadeautor-Profesional"/>
        <w:spacing w:before="0" w:after="120" w:line="360" w:lineRule="auto"/>
        <w:ind w:firstLine="284"/>
        <w:rPr>
          <w:rFonts w:ascii="Garamond" w:hAnsi="Garamond" w:cs="Arial"/>
          <w:sz w:val="22"/>
          <w:szCs w:val="22"/>
          <w:lang w:val="es-ES"/>
        </w:rPr>
      </w:pPr>
      <w:r w:rsidRPr="007974F5">
        <w:rPr>
          <w:rFonts w:ascii="Garamond" w:hAnsi="Garamond" w:cs="Arial"/>
          <w:sz w:val="22"/>
          <w:szCs w:val="22"/>
          <w:lang w:val="es-ES"/>
        </w:rPr>
        <w:t xml:space="preserve">Nota: * El </w:t>
      </w:r>
      <w:r w:rsidRPr="00361513">
        <w:rPr>
          <w:rFonts w:ascii="Garamond" w:hAnsi="Garamond" w:cs="Arial"/>
          <w:sz w:val="22"/>
          <w:szCs w:val="22"/>
          <w:lang w:val="es-ES"/>
        </w:rPr>
        <w:t>G</w:t>
      </w:r>
      <w:r w:rsidRPr="007974F5">
        <w:rPr>
          <w:rFonts w:ascii="Garamond" w:hAnsi="Garamond" w:cs="Arial"/>
          <w:sz w:val="22"/>
          <w:szCs w:val="22"/>
          <w:lang w:val="es-ES"/>
        </w:rPr>
        <w:t>obierno sigue teniendo la potestad de fijar los precios y márgenes de ganancia de los sectores considerados estratégicos o prioritarios, como los alimentos, las medicinas, el combustible y la electricidad.</w:t>
      </w:r>
    </w:p>
    <w:p w14:paraId="263F6F2E" w14:textId="77777777" w:rsidR="0085484A" w:rsidRPr="00361513" w:rsidRDefault="0085484A" w:rsidP="0085484A">
      <w:pPr>
        <w:pStyle w:val="Lneadeautor-Profesional"/>
        <w:spacing w:before="0" w:after="120" w:line="360" w:lineRule="auto"/>
        <w:ind w:firstLine="284"/>
        <w:rPr>
          <w:rFonts w:ascii="Garamond" w:hAnsi="Garamond" w:cs="Arial"/>
          <w:sz w:val="22"/>
          <w:szCs w:val="22"/>
          <w:lang w:val="es-MX"/>
        </w:rPr>
      </w:pPr>
      <w:r w:rsidRPr="007974F5">
        <w:rPr>
          <w:rFonts w:ascii="Garamond" w:hAnsi="Garamond" w:cs="Arial"/>
          <w:sz w:val="22"/>
          <w:szCs w:val="22"/>
          <w:lang w:val="es-ES"/>
        </w:rPr>
        <w:t>** Se supera a la hiperinflación</w:t>
      </w:r>
      <w:r w:rsidRPr="007974F5">
        <w:rPr>
          <w:rFonts w:ascii="Garamond" w:hAnsi="Garamond" w:cs="Arial"/>
          <w:sz w:val="22"/>
          <w:szCs w:val="22"/>
          <w:lang w:val="es-MX"/>
        </w:rPr>
        <w:t xml:space="preserve"> fácticamente un año antes, solo que se oficializa después de doce meses estando por debajo del 50</w:t>
      </w:r>
      <w:r w:rsidRPr="00361513">
        <w:rPr>
          <w:rFonts w:ascii="Garamond" w:hAnsi="Garamond" w:cs="Arial"/>
          <w:sz w:val="22"/>
          <w:szCs w:val="22"/>
          <w:lang w:val="es-MX"/>
        </w:rPr>
        <w:t> </w:t>
      </w:r>
      <w:r w:rsidRPr="007974F5">
        <w:rPr>
          <w:rFonts w:ascii="Garamond" w:hAnsi="Garamond" w:cs="Arial"/>
          <w:sz w:val="22"/>
          <w:szCs w:val="22"/>
          <w:lang w:val="es-MX"/>
        </w:rPr>
        <w:t>% de inflación mensual.</w:t>
      </w:r>
    </w:p>
    <w:p w14:paraId="6A98EF28" w14:textId="77777777" w:rsidR="0085484A" w:rsidRPr="00361513" w:rsidRDefault="0085484A" w:rsidP="0085484A">
      <w:pPr>
        <w:rPr>
          <w:rFonts w:ascii="Garamond" w:hAnsi="Garamond"/>
          <w:b/>
          <w:bCs/>
          <w:sz w:val="22"/>
          <w:szCs w:val="22"/>
        </w:rPr>
      </w:pPr>
    </w:p>
    <w:p w14:paraId="081BBB42" w14:textId="77777777" w:rsidR="0085484A" w:rsidRPr="00361513" w:rsidRDefault="0085484A" w:rsidP="0085484A">
      <w:pPr>
        <w:rPr>
          <w:rFonts w:ascii="Garamond" w:hAnsi="Garamond"/>
          <w:b/>
          <w:bCs/>
          <w:sz w:val="22"/>
          <w:szCs w:val="22"/>
        </w:rPr>
      </w:pPr>
      <w:r w:rsidRPr="00361513">
        <w:rPr>
          <w:rFonts w:ascii="Garamond" w:hAnsi="Garamond"/>
          <w:b/>
          <w:bCs/>
          <w:sz w:val="22"/>
          <w:szCs w:val="22"/>
        </w:rPr>
        <w:br w:type="page"/>
      </w:r>
    </w:p>
    <w:p w14:paraId="2AEB91C5"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Figura 10</w:t>
      </w:r>
    </w:p>
    <w:p w14:paraId="2A43EE49"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Evolución del PIB de Venezuela, según FMI</w:t>
      </w:r>
    </w:p>
    <w:p w14:paraId="0B193772"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Variación anual del Producto Interno Bruto (PIB)</w:t>
      </w:r>
    </w:p>
    <w:p w14:paraId="6170CA7B" w14:textId="77777777" w:rsidR="0085484A" w:rsidRPr="00361513" w:rsidRDefault="0085484A" w:rsidP="0085484A">
      <w:pPr>
        <w:pStyle w:val="Lneadeautor-Profesional"/>
        <w:spacing w:before="0" w:line="240" w:lineRule="auto"/>
        <w:rPr>
          <w:rFonts w:ascii="Garamond" w:hAnsi="Garamond" w:cs="Arial"/>
          <w:sz w:val="22"/>
          <w:szCs w:val="22"/>
          <w:lang w:val="es-ES"/>
        </w:rPr>
      </w:pPr>
      <w:r w:rsidRPr="00361513">
        <w:rPr>
          <w:rFonts w:ascii="Garamond" w:hAnsi="Garamond"/>
          <w:noProof/>
          <w:sz w:val="22"/>
          <w:szCs w:val="22"/>
        </w:rPr>
        <w:drawing>
          <wp:inline distT="0" distB="0" distL="0" distR="0" wp14:anchorId="6C78F466" wp14:editId="7744D9EC">
            <wp:extent cx="5608320" cy="2781300"/>
            <wp:effectExtent l="0" t="0" r="0" b="0"/>
            <wp:docPr id="19302498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08320" cy="2781300"/>
                    </a:xfrm>
                    <a:prstGeom prst="rect">
                      <a:avLst/>
                    </a:prstGeom>
                    <a:noFill/>
                    <a:ln>
                      <a:noFill/>
                    </a:ln>
                  </pic:spPr>
                </pic:pic>
              </a:graphicData>
            </a:graphic>
          </wp:inline>
        </w:drawing>
      </w:r>
    </w:p>
    <w:p w14:paraId="3F14C81F"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ES"/>
        </w:rPr>
      </w:pPr>
      <w:r w:rsidRPr="00361513">
        <w:rPr>
          <w:rFonts w:ascii="Garamond" w:hAnsi="Garamond" w:cs="Arial"/>
          <w:sz w:val="22"/>
          <w:szCs w:val="22"/>
          <w:lang w:val="es-ES"/>
        </w:rPr>
        <w:t xml:space="preserve">Fuente: FMI, tomado por </w:t>
      </w:r>
      <w:proofErr w:type="spellStart"/>
      <w:r w:rsidRPr="00361513">
        <w:rPr>
          <w:rFonts w:ascii="Garamond" w:hAnsi="Garamond" w:cs="Arial"/>
          <w:sz w:val="22"/>
          <w:szCs w:val="22"/>
          <w:lang w:val="es-ES"/>
        </w:rPr>
        <w:t>Epdata</w:t>
      </w:r>
      <w:proofErr w:type="spellEnd"/>
      <w:r w:rsidRPr="00361513">
        <w:rPr>
          <w:rStyle w:val="Refdenotaalpie"/>
          <w:rFonts w:ascii="Garamond" w:hAnsi="Garamond" w:cs="Arial"/>
          <w:sz w:val="22"/>
          <w:szCs w:val="22"/>
          <w:lang w:val="es-ES"/>
        </w:rPr>
        <w:footnoteReference w:id="29"/>
      </w:r>
      <w:r w:rsidRPr="00361513">
        <w:rPr>
          <w:rFonts w:ascii="Garamond" w:hAnsi="Garamond" w:cs="Arial"/>
          <w:sz w:val="22"/>
          <w:szCs w:val="22"/>
          <w:lang w:val="es-ES"/>
        </w:rPr>
        <w:t>.</w:t>
      </w:r>
    </w:p>
    <w:p w14:paraId="1B4E1545" w14:textId="77777777" w:rsidR="0085484A" w:rsidRPr="00361513" w:rsidRDefault="0085484A" w:rsidP="0085484A">
      <w:pPr>
        <w:rPr>
          <w:rFonts w:ascii="Garamond" w:hAnsi="Garamond"/>
          <w:b/>
          <w:bCs/>
          <w:sz w:val="22"/>
          <w:szCs w:val="22"/>
        </w:rPr>
      </w:pPr>
      <w:r w:rsidRPr="00361513">
        <w:rPr>
          <w:rFonts w:ascii="Garamond" w:hAnsi="Garamond"/>
          <w:b/>
          <w:bCs/>
          <w:sz w:val="22"/>
          <w:szCs w:val="22"/>
        </w:rPr>
        <w:br w:type="page"/>
      </w:r>
    </w:p>
    <w:p w14:paraId="1D92C0E6"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Figura 11</w:t>
      </w:r>
    </w:p>
    <w:p w14:paraId="21FF0050"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 xml:space="preserve">PIB per cápita en economías intermedias de América Latina ($ </w:t>
      </w:r>
      <w:proofErr w:type="spellStart"/>
      <w:r w:rsidRPr="00361513">
        <w:rPr>
          <w:rFonts w:ascii="Garamond" w:hAnsi="Garamond"/>
          <w:i/>
          <w:iCs/>
          <w:sz w:val="22"/>
          <w:szCs w:val="22"/>
          <w:lang w:val="es-VE"/>
        </w:rPr>
        <w:t>ppp</w:t>
      </w:r>
      <w:proofErr w:type="spellEnd"/>
      <w:r w:rsidRPr="00361513">
        <w:rPr>
          <w:rFonts w:ascii="Garamond" w:hAnsi="Garamond"/>
          <w:i/>
          <w:iCs/>
          <w:sz w:val="22"/>
          <w:szCs w:val="22"/>
          <w:lang w:val="es-VE"/>
        </w:rPr>
        <w:t xml:space="preserve"> 2017)</w:t>
      </w:r>
    </w:p>
    <w:p w14:paraId="4EBBBED9" w14:textId="77777777" w:rsidR="0085484A" w:rsidRPr="00361513" w:rsidRDefault="0085484A" w:rsidP="0085484A">
      <w:pPr>
        <w:pStyle w:val="Lneadeautor-Profesional"/>
        <w:spacing w:before="0" w:line="240" w:lineRule="auto"/>
        <w:jc w:val="center"/>
        <w:rPr>
          <w:rFonts w:ascii="Garamond" w:hAnsi="Garamond" w:cs="Arial"/>
          <w:sz w:val="22"/>
          <w:szCs w:val="22"/>
          <w:lang w:val="es-ES"/>
        </w:rPr>
      </w:pPr>
      <w:r w:rsidRPr="00361513">
        <w:rPr>
          <w:rFonts w:ascii="Garamond" w:hAnsi="Garamond"/>
          <w:noProof/>
          <w:sz w:val="22"/>
          <w:szCs w:val="22"/>
        </w:rPr>
        <w:drawing>
          <wp:inline distT="0" distB="0" distL="0" distR="0" wp14:anchorId="27693017" wp14:editId="0966B7DA">
            <wp:extent cx="4655820" cy="2918460"/>
            <wp:effectExtent l="0" t="0" r="0"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55820" cy="2918460"/>
                    </a:xfrm>
                    <a:prstGeom prst="rect">
                      <a:avLst/>
                    </a:prstGeom>
                    <a:noFill/>
                    <a:ln>
                      <a:noFill/>
                    </a:ln>
                  </pic:spPr>
                </pic:pic>
              </a:graphicData>
            </a:graphic>
          </wp:inline>
        </w:drawing>
      </w:r>
    </w:p>
    <w:p w14:paraId="1395771B"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ES"/>
        </w:rPr>
      </w:pPr>
      <w:r w:rsidRPr="00361513">
        <w:rPr>
          <w:rFonts w:ascii="Garamond" w:hAnsi="Garamond" w:cs="Arial"/>
          <w:sz w:val="22"/>
          <w:szCs w:val="22"/>
          <w:lang w:val="es-ES"/>
        </w:rPr>
        <w:t xml:space="preserve">Fuentes: </w:t>
      </w:r>
      <w:proofErr w:type="spellStart"/>
      <w:r w:rsidRPr="00361513">
        <w:rPr>
          <w:rFonts w:ascii="Garamond" w:hAnsi="Garamond" w:cs="Arial"/>
          <w:sz w:val="22"/>
          <w:szCs w:val="22"/>
          <w:lang w:val="es-ES"/>
        </w:rPr>
        <w:t>IMF</w:t>
      </w:r>
      <w:proofErr w:type="spellEnd"/>
      <w:r w:rsidRPr="00361513">
        <w:rPr>
          <w:rFonts w:ascii="Garamond" w:hAnsi="Garamond" w:cs="Arial"/>
          <w:sz w:val="22"/>
          <w:szCs w:val="22"/>
          <w:lang w:val="es-ES"/>
        </w:rPr>
        <w:t xml:space="preserve">, </w:t>
      </w:r>
      <w:proofErr w:type="spellStart"/>
      <w:r w:rsidRPr="00361513">
        <w:rPr>
          <w:rFonts w:ascii="Garamond" w:hAnsi="Garamond" w:cs="Arial"/>
          <w:sz w:val="22"/>
          <w:szCs w:val="22"/>
          <w:lang w:val="es-ES"/>
        </w:rPr>
        <w:t>World</w:t>
      </w:r>
      <w:proofErr w:type="spellEnd"/>
      <w:r w:rsidRPr="00361513">
        <w:rPr>
          <w:rFonts w:ascii="Garamond" w:hAnsi="Garamond" w:cs="Arial"/>
          <w:sz w:val="22"/>
          <w:szCs w:val="22"/>
          <w:lang w:val="es-ES"/>
        </w:rPr>
        <w:t xml:space="preserve"> </w:t>
      </w:r>
      <w:proofErr w:type="spellStart"/>
      <w:r w:rsidRPr="00361513">
        <w:rPr>
          <w:rFonts w:ascii="Garamond" w:hAnsi="Garamond" w:cs="Arial"/>
          <w:sz w:val="22"/>
          <w:szCs w:val="22"/>
          <w:lang w:val="es-ES"/>
        </w:rPr>
        <w:t>Economic</w:t>
      </w:r>
      <w:proofErr w:type="spellEnd"/>
      <w:r w:rsidRPr="00361513">
        <w:rPr>
          <w:rFonts w:ascii="Garamond" w:hAnsi="Garamond" w:cs="Arial"/>
          <w:sz w:val="22"/>
          <w:szCs w:val="22"/>
          <w:lang w:val="es-ES"/>
        </w:rPr>
        <w:t xml:space="preserve"> Outlook </w:t>
      </w:r>
      <w:proofErr w:type="spellStart"/>
      <w:r w:rsidRPr="00361513">
        <w:rPr>
          <w:rFonts w:ascii="Garamond" w:hAnsi="Garamond" w:cs="Arial"/>
          <w:sz w:val="22"/>
          <w:szCs w:val="22"/>
          <w:lang w:val="es-ES"/>
        </w:rPr>
        <w:t>Database</w:t>
      </w:r>
      <w:proofErr w:type="spellEnd"/>
      <w:r w:rsidRPr="00361513">
        <w:rPr>
          <w:rFonts w:ascii="Garamond" w:hAnsi="Garamond" w:cs="Arial"/>
          <w:sz w:val="22"/>
          <w:szCs w:val="22"/>
          <w:lang w:val="es-ES"/>
        </w:rPr>
        <w:t xml:space="preserve">, tomado por </w:t>
      </w:r>
      <w:proofErr w:type="spellStart"/>
      <w:r w:rsidRPr="00361513">
        <w:rPr>
          <w:rFonts w:ascii="Garamond" w:hAnsi="Garamond" w:cs="Arial"/>
          <w:sz w:val="22"/>
          <w:szCs w:val="22"/>
          <w:lang w:val="es-ES"/>
        </w:rPr>
        <w:t>IIES</w:t>
      </w:r>
      <w:proofErr w:type="spellEnd"/>
      <w:r w:rsidRPr="00361513">
        <w:rPr>
          <w:rFonts w:ascii="Garamond" w:hAnsi="Garamond" w:cs="Arial"/>
          <w:sz w:val="22"/>
          <w:szCs w:val="22"/>
          <w:lang w:val="es-ES"/>
        </w:rPr>
        <w:t xml:space="preserve"> UCAB (2023a, p. 19).</w:t>
      </w:r>
    </w:p>
    <w:p w14:paraId="68070C57" w14:textId="77777777" w:rsidR="0085484A" w:rsidRPr="00361513" w:rsidRDefault="0085484A" w:rsidP="0085484A">
      <w:pPr>
        <w:rPr>
          <w:rFonts w:ascii="Garamond" w:eastAsia="Times New Roman" w:hAnsi="Garamond"/>
          <w:sz w:val="22"/>
          <w:szCs w:val="22"/>
          <w:lang w:val="es-ES"/>
        </w:rPr>
      </w:pPr>
      <w:r w:rsidRPr="00361513">
        <w:rPr>
          <w:rFonts w:ascii="Garamond" w:hAnsi="Garamond"/>
          <w:sz w:val="22"/>
          <w:szCs w:val="22"/>
          <w:lang w:val="es-ES"/>
        </w:rPr>
        <w:br w:type="page"/>
      </w:r>
    </w:p>
    <w:p w14:paraId="71715505"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Figura 12</w:t>
      </w:r>
    </w:p>
    <w:p w14:paraId="23D7A4D8"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Países con mayor presencia de franquicias venezolanas (2019)</w:t>
      </w:r>
    </w:p>
    <w:p w14:paraId="22DBA80B" w14:textId="77777777" w:rsidR="0085484A" w:rsidRPr="00361513" w:rsidRDefault="0085484A" w:rsidP="0085484A">
      <w:pPr>
        <w:pStyle w:val="Tindependiente-Profesional"/>
        <w:spacing w:after="0" w:line="240" w:lineRule="auto"/>
        <w:jc w:val="center"/>
        <w:rPr>
          <w:rFonts w:ascii="Garamond" w:hAnsi="Garamond" w:cs="Arial"/>
          <w:sz w:val="22"/>
          <w:szCs w:val="22"/>
        </w:rPr>
      </w:pPr>
      <w:r w:rsidRPr="00361513">
        <w:rPr>
          <w:rFonts w:ascii="Garamond" w:hAnsi="Garamond" w:cs="Arial"/>
          <w:sz w:val="22"/>
          <w:szCs w:val="22"/>
        </w:rPr>
        <w:fldChar w:fldCharType="begin"/>
      </w:r>
      <w:r w:rsidRPr="00361513">
        <w:rPr>
          <w:rFonts w:ascii="Garamond" w:hAnsi="Garamond" w:cs="Arial"/>
          <w:sz w:val="22"/>
          <w:szCs w:val="22"/>
        </w:rPr>
        <w:instrText xml:space="preserve"> LINK Excel.Sheet.12 "C:\\Users\\rober\\OneDrive\\Documents\\DOCUMENTS R BASKIN\\ACADÉMICO\\PROYECTOS\\ENSAYO FRANQUICIAS\\Libro1.xlsx!Hoja4![Libro1.xlsx]Hoja4 Gráfico 1" "" \a \p \* MERGEFORMAT </w:instrText>
      </w:r>
      <w:r w:rsidRPr="00361513">
        <w:rPr>
          <w:rFonts w:ascii="Garamond" w:hAnsi="Garamond" w:cs="Arial"/>
          <w:sz w:val="22"/>
          <w:szCs w:val="22"/>
        </w:rPr>
        <w:fldChar w:fldCharType="separate"/>
      </w:r>
      <w:r w:rsidR="00000000">
        <w:rPr>
          <w:rFonts w:ascii="Garamond" w:hAnsi="Garamond" w:cs="Arial"/>
          <w:sz w:val="22"/>
          <w:szCs w:val="22"/>
        </w:rPr>
        <w:object w:dxaOrig="7215" w:dyaOrig="4335" w14:anchorId="7CDB8FB2">
          <v:shape id="_x0000_i1028" type="#_x0000_t75" style="width:345pt;height:207pt" o:ole="">
            <v:imagedata r:id="rId54" o:title=""/>
          </v:shape>
        </w:object>
      </w:r>
      <w:r w:rsidRPr="00361513">
        <w:rPr>
          <w:rFonts w:ascii="Garamond" w:hAnsi="Garamond" w:cs="Arial"/>
          <w:sz w:val="22"/>
          <w:szCs w:val="22"/>
        </w:rPr>
        <w:fldChar w:fldCharType="end"/>
      </w:r>
    </w:p>
    <w:p w14:paraId="5FCA82F7"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ES"/>
        </w:rPr>
      </w:pPr>
      <w:r w:rsidRPr="00361513">
        <w:rPr>
          <w:rFonts w:ascii="Garamond" w:hAnsi="Garamond" w:cs="Arial"/>
          <w:sz w:val="22"/>
          <w:szCs w:val="22"/>
          <w:lang w:val="es-ES"/>
        </w:rPr>
        <w:t xml:space="preserve">Fuente: Front </w:t>
      </w:r>
      <w:proofErr w:type="spellStart"/>
      <w:r w:rsidRPr="00361513">
        <w:rPr>
          <w:rFonts w:ascii="Garamond" w:hAnsi="Garamond" w:cs="Arial"/>
          <w:sz w:val="22"/>
          <w:szCs w:val="22"/>
          <w:lang w:val="es-ES"/>
        </w:rPr>
        <w:t>Consulting</w:t>
      </w:r>
      <w:proofErr w:type="spellEnd"/>
      <w:r w:rsidRPr="00361513">
        <w:rPr>
          <w:rFonts w:ascii="Garamond" w:hAnsi="Garamond" w:cs="Arial"/>
          <w:sz w:val="22"/>
          <w:szCs w:val="22"/>
          <w:lang w:val="es-ES"/>
        </w:rPr>
        <w:t xml:space="preserve"> </w:t>
      </w:r>
      <w:proofErr w:type="spellStart"/>
      <w:r w:rsidRPr="00361513">
        <w:rPr>
          <w:rFonts w:ascii="Garamond" w:hAnsi="Garamond" w:cs="Arial"/>
          <w:sz w:val="22"/>
          <w:szCs w:val="22"/>
          <w:lang w:val="es-ES"/>
        </w:rPr>
        <w:t>Group</w:t>
      </w:r>
      <w:proofErr w:type="spellEnd"/>
      <w:r w:rsidRPr="00361513">
        <w:rPr>
          <w:rFonts w:ascii="Garamond" w:hAnsi="Garamond" w:cs="Arial"/>
          <w:sz w:val="22"/>
          <w:szCs w:val="22"/>
          <w:lang w:val="es-ES"/>
        </w:rPr>
        <w:t xml:space="preserve"> (2020). Elaboración propia.</w:t>
      </w:r>
    </w:p>
    <w:p w14:paraId="770F16D1" w14:textId="77777777" w:rsidR="0085484A" w:rsidRPr="00361513" w:rsidRDefault="0085484A" w:rsidP="0085484A">
      <w:pPr>
        <w:rPr>
          <w:rFonts w:ascii="Garamond" w:eastAsia="Times New Roman" w:hAnsi="Garamond"/>
          <w:sz w:val="22"/>
          <w:szCs w:val="22"/>
          <w:lang w:val="es-ES"/>
        </w:rPr>
      </w:pPr>
      <w:r w:rsidRPr="00361513">
        <w:rPr>
          <w:rFonts w:ascii="Garamond" w:hAnsi="Garamond"/>
          <w:sz w:val="22"/>
          <w:szCs w:val="22"/>
          <w:lang w:val="es-ES"/>
        </w:rPr>
        <w:br w:type="page"/>
      </w:r>
    </w:p>
    <w:p w14:paraId="18EB4F02"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Figura 13</w:t>
      </w:r>
    </w:p>
    <w:p w14:paraId="1642B59A"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Producción y exportación de petróleo de Venezuela (</w:t>
      </w:r>
      <w:proofErr w:type="spellStart"/>
      <w:r w:rsidRPr="00361513">
        <w:rPr>
          <w:rFonts w:ascii="Garamond" w:hAnsi="Garamond"/>
          <w:i/>
          <w:iCs/>
          <w:sz w:val="22"/>
          <w:szCs w:val="22"/>
          <w:lang w:val="es-VE"/>
        </w:rPr>
        <w:t>mbd</w:t>
      </w:r>
      <w:proofErr w:type="spellEnd"/>
      <w:r w:rsidRPr="00361513">
        <w:rPr>
          <w:rFonts w:ascii="Garamond" w:hAnsi="Garamond"/>
          <w:i/>
          <w:iCs/>
          <w:sz w:val="22"/>
          <w:szCs w:val="22"/>
          <w:lang w:val="es-VE"/>
        </w:rPr>
        <w:t>)</w:t>
      </w:r>
    </w:p>
    <w:p w14:paraId="183D9F6D" w14:textId="77777777" w:rsidR="0085484A" w:rsidRPr="00361513" w:rsidRDefault="0085484A" w:rsidP="0085484A">
      <w:pPr>
        <w:pStyle w:val="Tindependiente-Profesional"/>
        <w:spacing w:after="0" w:line="240" w:lineRule="auto"/>
        <w:jc w:val="center"/>
        <w:rPr>
          <w:rFonts w:ascii="Garamond" w:hAnsi="Garamond" w:cs="Arial"/>
          <w:sz w:val="22"/>
          <w:szCs w:val="22"/>
          <w:lang w:val="es-MX"/>
        </w:rPr>
      </w:pPr>
      <w:r w:rsidRPr="00361513">
        <w:rPr>
          <w:rFonts w:ascii="Garamond" w:hAnsi="Garamond"/>
          <w:noProof/>
          <w:sz w:val="22"/>
          <w:szCs w:val="22"/>
        </w:rPr>
        <w:drawing>
          <wp:inline distT="0" distB="0" distL="0" distR="0" wp14:anchorId="44A7E356" wp14:editId="77C93C78">
            <wp:extent cx="5608320" cy="2842260"/>
            <wp:effectExtent l="0" t="0" r="0" b="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08320" cy="2842260"/>
                    </a:xfrm>
                    <a:prstGeom prst="rect">
                      <a:avLst/>
                    </a:prstGeom>
                    <a:noFill/>
                    <a:ln>
                      <a:noFill/>
                    </a:ln>
                  </pic:spPr>
                </pic:pic>
              </a:graphicData>
            </a:graphic>
          </wp:inline>
        </w:drawing>
      </w:r>
    </w:p>
    <w:p w14:paraId="0F19E135"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ES"/>
        </w:rPr>
      </w:pPr>
      <w:r w:rsidRPr="00361513">
        <w:rPr>
          <w:rFonts w:ascii="Garamond" w:hAnsi="Garamond" w:cs="Arial"/>
          <w:sz w:val="22"/>
          <w:szCs w:val="22"/>
          <w:lang w:val="es-ES"/>
        </w:rPr>
        <w:t xml:space="preserve">Fuente: </w:t>
      </w:r>
      <w:proofErr w:type="spellStart"/>
      <w:r w:rsidRPr="00361513">
        <w:rPr>
          <w:rFonts w:ascii="Garamond" w:hAnsi="Garamond" w:cs="Arial"/>
          <w:sz w:val="22"/>
          <w:szCs w:val="22"/>
          <w:lang w:val="es-ES"/>
        </w:rPr>
        <w:t>OPEC</w:t>
      </w:r>
      <w:proofErr w:type="spellEnd"/>
      <w:r w:rsidRPr="00361513">
        <w:rPr>
          <w:rFonts w:ascii="Garamond" w:hAnsi="Garamond" w:cs="Arial"/>
          <w:sz w:val="22"/>
          <w:szCs w:val="22"/>
          <w:lang w:val="es-ES"/>
        </w:rPr>
        <w:t xml:space="preserve"> y cálculos propios, tomado por </w:t>
      </w:r>
      <w:proofErr w:type="spellStart"/>
      <w:r w:rsidRPr="00361513">
        <w:rPr>
          <w:rFonts w:ascii="Garamond" w:hAnsi="Garamond" w:cs="Arial"/>
          <w:sz w:val="22"/>
          <w:szCs w:val="22"/>
          <w:lang w:val="es-ES"/>
        </w:rPr>
        <w:t>IIES</w:t>
      </w:r>
      <w:proofErr w:type="spellEnd"/>
      <w:r w:rsidRPr="00361513">
        <w:rPr>
          <w:rFonts w:ascii="Garamond" w:hAnsi="Garamond" w:cs="Arial"/>
          <w:sz w:val="22"/>
          <w:szCs w:val="22"/>
          <w:lang w:val="es-ES"/>
        </w:rPr>
        <w:t xml:space="preserve"> UCAB (2023b, p. 13).</w:t>
      </w:r>
    </w:p>
    <w:p w14:paraId="6EE1621A" w14:textId="77777777" w:rsidR="0085484A" w:rsidRPr="00361513" w:rsidRDefault="0085484A" w:rsidP="0085484A">
      <w:pPr>
        <w:pStyle w:val="Lneadeautor-Profesional"/>
        <w:spacing w:before="0" w:after="120" w:line="360" w:lineRule="auto"/>
        <w:ind w:firstLine="284"/>
        <w:rPr>
          <w:rFonts w:ascii="Garamond" w:hAnsi="Garamond" w:cs="Arial"/>
          <w:sz w:val="22"/>
          <w:szCs w:val="22"/>
          <w:lang w:val="es-ES"/>
        </w:rPr>
      </w:pPr>
      <w:r w:rsidRPr="00361513">
        <w:rPr>
          <w:rFonts w:ascii="Garamond" w:hAnsi="Garamond" w:cs="Arial"/>
          <w:sz w:val="22"/>
          <w:szCs w:val="22"/>
          <w:lang w:val="es-ES"/>
        </w:rPr>
        <w:t>Nota: No considera efecto por levantamiento de sanciones EE. UU.</w:t>
      </w:r>
    </w:p>
    <w:p w14:paraId="577D73F5" w14:textId="77777777" w:rsidR="0085484A" w:rsidRPr="00361513" w:rsidRDefault="0085484A" w:rsidP="0085484A">
      <w:pPr>
        <w:pStyle w:val="Tindependiente-Profesional"/>
        <w:spacing w:after="0" w:line="240" w:lineRule="auto"/>
        <w:jc w:val="both"/>
        <w:rPr>
          <w:rFonts w:ascii="Garamond" w:hAnsi="Garamond" w:cs="Arial"/>
          <w:sz w:val="22"/>
          <w:szCs w:val="22"/>
          <w:lang w:val="es-MX"/>
        </w:rPr>
      </w:pPr>
    </w:p>
    <w:p w14:paraId="02D6693B"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MX"/>
        </w:rPr>
        <w:br w:type="column"/>
      </w:r>
      <w:r w:rsidRPr="00361513">
        <w:rPr>
          <w:rFonts w:ascii="Garamond" w:hAnsi="Garamond"/>
          <w:b/>
          <w:bCs/>
          <w:sz w:val="22"/>
          <w:szCs w:val="22"/>
          <w:lang w:val="es-VE"/>
        </w:rPr>
        <w:lastRenderedPageBreak/>
        <w:t>Figura 14</w:t>
      </w:r>
    </w:p>
    <w:p w14:paraId="768FAD22" w14:textId="77777777" w:rsidR="0085484A" w:rsidRPr="00361513" w:rsidRDefault="0085484A" w:rsidP="0085484A">
      <w:pPr>
        <w:spacing w:line="278" w:lineRule="auto"/>
        <w:jc w:val="center"/>
        <w:rPr>
          <w:rFonts w:ascii="Garamond" w:hAnsi="Garamond"/>
          <w:i/>
          <w:iCs/>
          <w:sz w:val="22"/>
          <w:szCs w:val="22"/>
          <w:lang w:val="es-VE"/>
        </w:rPr>
      </w:pPr>
      <w:r w:rsidRPr="00361513">
        <w:rPr>
          <w:rFonts w:ascii="Garamond" w:hAnsi="Garamond"/>
          <w:i/>
          <w:iCs/>
          <w:sz w:val="22"/>
          <w:szCs w:val="22"/>
          <w:lang w:val="es-VE"/>
        </w:rPr>
        <w:t>Exportación de petróleo de Venezuela (2022-2023)</w:t>
      </w:r>
    </w:p>
    <w:p w14:paraId="00F1F41C" w14:textId="77777777" w:rsidR="0085484A" w:rsidRPr="00361513" w:rsidRDefault="0085484A" w:rsidP="0085484A">
      <w:pPr>
        <w:pStyle w:val="Tindependiente-Profesional"/>
        <w:spacing w:line="240" w:lineRule="auto"/>
        <w:jc w:val="center"/>
        <w:rPr>
          <w:rFonts w:ascii="Garamond" w:hAnsi="Garamond" w:cs="Arial"/>
          <w:sz w:val="22"/>
          <w:szCs w:val="22"/>
          <w:lang w:val="es-MX"/>
        </w:rPr>
      </w:pPr>
      <w:r w:rsidRPr="00361513">
        <w:rPr>
          <w:rFonts w:ascii="Garamond" w:hAnsi="Garamond"/>
          <w:noProof/>
          <w:sz w:val="22"/>
          <w:szCs w:val="22"/>
        </w:rPr>
        <mc:AlternateContent>
          <mc:Choice Requires="wps">
            <w:drawing>
              <wp:anchor distT="0" distB="0" distL="114300" distR="114300" simplePos="0" relativeHeight="251662336" behindDoc="0" locked="0" layoutInCell="1" allowOverlap="1" wp14:anchorId="7E21CCD0" wp14:editId="71BB4643">
                <wp:simplePos x="0" y="0"/>
                <wp:positionH relativeFrom="column">
                  <wp:posOffset>1845945</wp:posOffset>
                </wp:positionH>
                <wp:positionV relativeFrom="paragraph">
                  <wp:posOffset>1134745</wp:posOffset>
                </wp:positionV>
                <wp:extent cx="2352675" cy="533400"/>
                <wp:effectExtent l="0" t="0" r="0" b="0"/>
                <wp:wrapNone/>
                <wp:docPr id="1653515750"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52675" cy="533400"/>
                        </a:xfrm>
                        <a:prstGeom prst="straightConnector1">
                          <a:avLst/>
                        </a:prstGeom>
                        <a:noFill/>
                        <a:ln w="19050">
                          <a:solidFill>
                            <a:srgbClr val="2E74B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F62E9" id="AutoShape 56" o:spid="_x0000_s1026" type="#_x0000_t32" style="position:absolute;margin-left:145.35pt;margin-top:89.35pt;width:185.25pt;height:42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" strokecolor="#2e74b5" strokeweight="1.5pt">
                <v:stroke endarrow="block"/>
              </v:shape>
            </w:pict>
          </mc:Fallback>
        </mc:AlternateContent>
      </w:r>
      <w:r w:rsidRPr="00361513">
        <w:rPr>
          <w:rFonts w:ascii="Garamond" w:hAnsi="Garamond"/>
          <w:noProof/>
          <w:sz w:val="22"/>
          <w:szCs w:val="22"/>
        </w:rPr>
        <w:drawing>
          <wp:inline distT="0" distB="0" distL="0" distR="0" wp14:anchorId="38837E8A" wp14:editId="279A33E6">
            <wp:extent cx="4282440" cy="2842260"/>
            <wp:effectExtent l="0" t="0" r="0" b="0"/>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82440" cy="2842260"/>
                    </a:xfrm>
                    <a:prstGeom prst="rect">
                      <a:avLst/>
                    </a:prstGeom>
                    <a:noFill/>
                    <a:ln>
                      <a:noFill/>
                    </a:ln>
                  </pic:spPr>
                </pic:pic>
              </a:graphicData>
            </a:graphic>
          </wp:inline>
        </w:drawing>
      </w:r>
    </w:p>
    <w:p w14:paraId="5D2E78DD" w14:textId="3C02A421" w:rsidR="0085484A" w:rsidRPr="00361513" w:rsidRDefault="0085484A" w:rsidP="0085484A">
      <w:pPr>
        <w:pStyle w:val="Lneadeautor-Profesional"/>
        <w:spacing w:before="0" w:after="120" w:line="360" w:lineRule="auto"/>
        <w:jc w:val="center"/>
        <w:rPr>
          <w:rFonts w:ascii="Garamond" w:hAnsi="Garamond" w:cs="Arial"/>
          <w:sz w:val="22"/>
          <w:szCs w:val="22"/>
          <w:lang w:val="es-MX"/>
        </w:rPr>
      </w:pPr>
      <w:r w:rsidRPr="00361513">
        <w:rPr>
          <w:rFonts w:ascii="Garamond" w:hAnsi="Garamond" w:cs="Arial"/>
          <w:sz w:val="22"/>
          <w:szCs w:val="22"/>
          <w:lang w:val="es-MX"/>
        </w:rPr>
        <w:t xml:space="preserve">Fuente: Horarios de carga de PDVSA, datos de seguimiento de los petroleros </w:t>
      </w:r>
      <w:r w:rsidR="0071769C" w:rsidRPr="00361513">
        <w:rPr>
          <w:rFonts w:ascii="Garamond" w:hAnsi="Garamond" w:cs="Arial"/>
          <w:sz w:val="22"/>
          <w:szCs w:val="22"/>
          <w:lang w:val="es-MX"/>
        </w:rPr>
        <w:br/>
      </w:r>
      <w:proofErr w:type="spellStart"/>
      <w:r w:rsidRPr="00361513">
        <w:rPr>
          <w:rFonts w:ascii="Garamond" w:hAnsi="Garamond" w:cs="Arial"/>
          <w:sz w:val="22"/>
          <w:szCs w:val="22"/>
          <w:lang w:val="es-MX"/>
        </w:rPr>
        <w:t>Refinitiv</w:t>
      </w:r>
      <w:proofErr w:type="spellEnd"/>
      <w:r w:rsidRPr="00361513">
        <w:rPr>
          <w:rFonts w:ascii="Garamond" w:hAnsi="Garamond" w:cs="Arial"/>
          <w:sz w:val="22"/>
          <w:szCs w:val="22"/>
          <w:lang w:val="es-MX"/>
        </w:rPr>
        <w:t xml:space="preserve"> </w:t>
      </w:r>
      <w:proofErr w:type="spellStart"/>
      <w:r w:rsidRPr="00361513">
        <w:rPr>
          <w:rFonts w:ascii="Garamond" w:hAnsi="Garamond" w:cs="Arial"/>
          <w:sz w:val="22"/>
          <w:szCs w:val="22"/>
          <w:lang w:val="es-MX"/>
        </w:rPr>
        <w:t>Eikon</w:t>
      </w:r>
      <w:proofErr w:type="spellEnd"/>
      <w:r w:rsidRPr="00361513">
        <w:rPr>
          <w:rFonts w:ascii="Garamond" w:hAnsi="Garamond" w:cs="Arial"/>
          <w:sz w:val="22"/>
          <w:szCs w:val="22"/>
          <w:lang w:val="es-MX"/>
        </w:rPr>
        <w:t xml:space="preserve">, tomado por </w:t>
      </w:r>
      <w:r w:rsidRPr="00361513">
        <w:rPr>
          <w:rFonts w:ascii="Garamond" w:hAnsi="Garamond" w:cs="Arial"/>
          <w:i/>
          <w:iCs/>
          <w:sz w:val="22"/>
          <w:szCs w:val="22"/>
          <w:lang w:val="es-MX"/>
        </w:rPr>
        <w:t>Reuters</w:t>
      </w:r>
      <w:r w:rsidRPr="00361513">
        <w:rPr>
          <w:rStyle w:val="Refdenotaalpie"/>
          <w:rFonts w:ascii="Garamond" w:eastAsia="Garamond" w:hAnsi="Garamond" w:cs="Arial"/>
          <w:i/>
          <w:iCs/>
          <w:sz w:val="22"/>
          <w:szCs w:val="22"/>
          <w:lang w:val="es-MX"/>
        </w:rPr>
        <w:footnoteReference w:id="30"/>
      </w:r>
      <w:r w:rsidRPr="00361513">
        <w:rPr>
          <w:rFonts w:ascii="Garamond" w:hAnsi="Garamond" w:cs="Arial"/>
          <w:sz w:val="22"/>
          <w:szCs w:val="22"/>
          <w:lang w:val="es-MX"/>
        </w:rPr>
        <w:t>.</w:t>
      </w:r>
    </w:p>
    <w:p w14:paraId="5ADF93F2" w14:textId="77777777" w:rsidR="0085484A" w:rsidRPr="00361513" w:rsidRDefault="0085484A" w:rsidP="0085484A">
      <w:pPr>
        <w:rPr>
          <w:rFonts w:ascii="Garamond" w:hAnsi="Garamond"/>
          <w:b/>
          <w:bCs/>
          <w:sz w:val="22"/>
          <w:szCs w:val="22"/>
        </w:rPr>
      </w:pPr>
      <w:r w:rsidRPr="00361513">
        <w:rPr>
          <w:rFonts w:ascii="Garamond" w:hAnsi="Garamond"/>
          <w:b/>
          <w:bCs/>
          <w:sz w:val="22"/>
          <w:szCs w:val="22"/>
        </w:rPr>
        <w:br w:type="page"/>
      </w:r>
    </w:p>
    <w:p w14:paraId="4E3B922A"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Figura 15</w:t>
      </w:r>
    </w:p>
    <w:p w14:paraId="5E633AA2" w14:textId="77777777" w:rsidR="0085484A" w:rsidRPr="00361513" w:rsidRDefault="0085484A" w:rsidP="0085484A">
      <w:pPr>
        <w:jc w:val="center"/>
        <w:rPr>
          <w:rFonts w:ascii="Garamond" w:hAnsi="Garamond"/>
          <w:i/>
          <w:iCs/>
          <w:sz w:val="22"/>
          <w:szCs w:val="22"/>
          <w:lang w:val="es-VE"/>
        </w:rPr>
      </w:pPr>
      <w:r w:rsidRPr="00361513">
        <w:rPr>
          <w:rFonts w:ascii="Garamond" w:hAnsi="Garamond"/>
          <w:i/>
          <w:iCs/>
          <w:sz w:val="22"/>
          <w:szCs w:val="22"/>
          <w:lang w:val="es-VE"/>
        </w:rPr>
        <w:t>Brecha entre demanda y oferta mundial de petróleo (2019-2030)</w:t>
      </w:r>
    </w:p>
    <w:p w14:paraId="1FCD4FD7" w14:textId="77777777" w:rsidR="0085484A" w:rsidRPr="00361513" w:rsidRDefault="0085484A" w:rsidP="0085484A">
      <w:pPr>
        <w:pStyle w:val="Tindependiente-Profesional"/>
        <w:spacing w:after="0" w:line="240" w:lineRule="auto"/>
        <w:jc w:val="center"/>
        <w:rPr>
          <w:rFonts w:ascii="Garamond" w:hAnsi="Garamond" w:cs="Arial"/>
          <w:sz w:val="22"/>
          <w:szCs w:val="22"/>
          <w:lang w:val="es-MX"/>
        </w:rPr>
      </w:pPr>
      <w:r w:rsidRPr="00361513">
        <w:rPr>
          <w:rFonts w:ascii="Garamond" w:hAnsi="Garamond"/>
          <w:noProof/>
          <w:sz w:val="22"/>
          <w:szCs w:val="22"/>
        </w:rPr>
        <w:drawing>
          <wp:inline distT="0" distB="0" distL="0" distR="0" wp14:anchorId="61C5C822" wp14:editId="7B9BA86C">
            <wp:extent cx="4808220" cy="2872740"/>
            <wp:effectExtent l="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08220" cy="2872740"/>
                    </a:xfrm>
                    <a:prstGeom prst="rect">
                      <a:avLst/>
                    </a:prstGeom>
                    <a:noFill/>
                    <a:ln>
                      <a:noFill/>
                    </a:ln>
                  </pic:spPr>
                </pic:pic>
              </a:graphicData>
            </a:graphic>
          </wp:inline>
        </w:drawing>
      </w:r>
    </w:p>
    <w:p w14:paraId="227CAFAB"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MX"/>
        </w:rPr>
      </w:pPr>
      <w:r w:rsidRPr="00361513">
        <w:rPr>
          <w:rFonts w:ascii="Garamond" w:hAnsi="Garamond" w:cs="Arial"/>
          <w:sz w:val="22"/>
          <w:szCs w:val="22"/>
          <w:lang w:val="es-MX"/>
        </w:rPr>
        <w:t>Fuente: International Energy Agency y estimaciones de Neil Atkinson, tomado por Ojea (2022).</w:t>
      </w:r>
    </w:p>
    <w:p w14:paraId="246BEE51" w14:textId="77777777" w:rsidR="0085484A" w:rsidRPr="00361513" w:rsidRDefault="0085484A" w:rsidP="0085484A">
      <w:pPr>
        <w:rPr>
          <w:rFonts w:ascii="Garamond" w:hAnsi="Garamond"/>
          <w:b/>
          <w:bCs/>
          <w:sz w:val="22"/>
          <w:szCs w:val="22"/>
        </w:rPr>
      </w:pPr>
      <w:r w:rsidRPr="00361513">
        <w:rPr>
          <w:rFonts w:ascii="Garamond" w:hAnsi="Garamond"/>
          <w:b/>
          <w:bCs/>
          <w:sz w:val="22"/>
          <w:szCs w:val="22"/>
        </w:rPr>
        <w:br w:type="page"/>
      </w:r>
    </w:p>
    <w:p w14:paraId="5BA25FEF"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Figura 16</w:t>
      </w:r>
    </w:p>
    <w:p w14:paraId="7F472ABD" w14:textId="77777777" w:rsidR="0085484A" w:rsidRPr="00361513" w:rsidRDefault="0085484A" w:rsidP="0085484A">
      <w:pPr>
        <w:spacing w:line="360" w:lineRule="auto"/>
        <w:jc w:val="center"/>
        <w:rPr>
          <w:rFonts w:ascii="Garamond" w:hAnsi="Garamond"/>
          <w:i/>
          <w:iCs/>
          <w:sz w:val="22"/>
          <w:szCs w:val="22"/>
          <w:lang w:val="es-VE"/>
        </w:rPr>
      </w:pPr>
      <w:r w:rsidRPr="00361513">
        <w:rPr>
          <w:rFonts w:ascii="Garamond" w:hAnsi="Garamond"/>
          <w:i/>
          <w:iCs/>
          <w:sz w:val="22"/>
          <w:szCs w:val="22"/>
          <w:lang w:val="es-VE"/>
        </w:rPr>
        <w:t>Efectos de la pandemia en los ingresos económicos individuales</w:t>
      </w:r>
    </w:p>
    <w:p w14:paraId="683F8979" w14:textId="77777777" w:rsidR="0085484A" w:rsidRPr="00361513" w:rsidRDefault="0085484A" w:rsidP="0085484A">
      <w:pPr>
        <w:pStyle w:val="Tindependiente-Profesional"/>
        <w:spacing w:after="0" w:line="240" w:lineRule="auto"/>
        <w:jc w:val="center"/>
        <w:rPr>
          <w:rFonts w:ascii="Garamond" w:hAnsi="Garamond" w:cs="Arial"/>
          <w:sz w:val="22"/>
          <w:szCs w:val="22"/>
          <w:lang w:val="es-MX"/>
        </w:rPr>
      </w:pPr>
      <w:r w:rsidRPr="00361513">
        <w:rPr>
          <w:rFonts w:ascii="Garamond" w:hAnsi="Garamond"/>
          <w:noProof/>
          <w:sz w:val="22"/>
          <w:szCs w:val="22"/>
        </w:rPr>
        <w:drawing>
          <wp:inline distT="0" distB="0" distL="0" distR="0" wp14:anchorId="1D9942E7" wp14:editId="1BA86193">
            <wp:extent cx="4282440" cy="2705100"/>
            <wp:effectExtent l="0" t="0" r="0" b="0"/>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82440" cy="2705100"/>
                    </a:xfrm>
                    <a:prstGeom prst="rect">
                      <a:avLst/>
                    </a:prstGeom>
                    <a:noFill/>
                    <a:ln>
                      <a:noFill/>
                    </a:ln>
                  </pic:spPr>
                </pic:pic>
              </a:graphicData>
            </a:graphic>
          </wp:inline>
        </w:drawing>
      </w:r>
    </w:p>
    <w:p w14:paraId="6889C7B0"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fr-FR"/>
        </w:rPr>
      </w:pPr>
      <w:proofErr w:type="gramStart"/>
      <w:r w:rsidRPr="00361513">
        <w:rPr>
          <w:rFonts w:ascii="Garamond" w:hAnsi="Garamond" w:cs="Arial"/>
          <w:sz w:val="22"/>
          <w:szCs w:val="22"/>
          <w:lang w:val="fr-FR"/>
        </w:rPr>
        <w:t>Fuente:</w:t>
      </w:r>
      <w:proofErr w:type="gramEnd"/>
      <w:r w:rsidRPr="00361513">
        <w:rPr>
          <w:rFonts w:ascii="Garamond" w:hAnsi="Garamond" w:cs="Arial"/>
          <w:sz w:val="22"/>
          <w:szCs w:val="22"/>
          <w:lang w:val="fr-FR"/>
        </w:rPr>
        <w:t xml:space="preserve"> GEM (2023, p. 16). </w:t>
      </w:r>
      <w:proofErr w:type="spellStart"/>
      <w:r w:rsidRPr="00361513">
        <w:rPr>
          <w:rFonts w:ascii="Garamond" w:hAnsi="Garamond" w:cs="Arial"/>
          <w:sz w:val="22"/>
          <w:szCs w:val="22"/>
          <w:lang w:val="fr-FR"/>
        </w:rPr>
        <w:t>Adult</w:t>
      </w:r>
      <w:proofErr w:type="spellEnd"/>
      <w:r w:rsidRPr="00361513">
        <w:rPr>
          <w:rFonts w:ascii="Garamond" w:hAnsi="Garamond" w:cs="Arial"/>
          <w:sz w:val="22"/>
          <w:szCs w:val="22"/>
          <w:lang w:val="fr-FR"/>
        </w:rPr>
        <w:t xml:space="preserve"> population Survey 2022.</w:t>
      </w:r>
    </w:p>
    <w:p w14:paraId="08BE97E3" w14:textId="77777777" w:rsidR="0085484A" w:rsidRPr="00361513" w:rsidRDefault="0085484A" w:rsidP="0085484A">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xml:space="preserve">Nota: En Venezuela, el 79% (adultos entre los 18 y 64 años) manifestó disminución de recursos económicos del hogar por la pandemia. Este país fue uno de los cinco más golpeados. Nivel C: economías de menor ingreso, con PIB </w:t>
      </w:r>
      <w:r w:rsidRPr="00361513">
        <w:rPr>
          <w:rFonts w:ascii="Garamond" w:hAnsi="Garamond" w:cs="Arial"/>
          <w:i/>
          <w:iCs/>
          <w:sz w:val="22"/>
          <w:szCs w:val="22"/>
          <w:lang w:val="es-ES"/>
        </w:rPr>
        <w:t>per cápita</w:t>
      </w:r>
      <w:r w:rsidRPr="00361513">
        <w:rPr>
          <w:rFonts w:ascii="Garamond" w:hAnsi="Garamond" w:cs="Arial"/>
          <w:sz w:val="22"/>
          <w:szCs w:val="22"/>
          <w:lang w:val="es-ES"/>
        </w:rPr>
        <w:t xml:space="preserve"> menor a 20 000 dólares estadounidenses.</w:t>
      </w:r>
    </w:p>
    <w:p w14:paraId="12D596FD" w14:textId="77777777" w:rsidR="0085484A" w:rsidRPr="00361513" w:rsidRDefault="0085484A" w:rsidP="0085484A">
      <w:pPr>
        <w:pStyle w:val="Lneadeautor-Profesional"/>
        <w:spacing w:before="0" w:after="120" w:line="360" w:lineRule="auto"/>
        <w:ind w:firstLine="284"/>
        <w:jc w:val="both"/>
        <w:rPr>
          <w:rFonts w:ascii="Garamond" w:hAnsi="Garamond" w:cs="Arial"/>
          <w:sz w:val="22"/>
          <w:szCs w:val="22"/>
          <w:lang w:val="es-MX"/>
        </w:rPr>
      </w:pPr>
    </w:p>
    <w:p w14:paraId="270E323E" w14:textId="77777777" w:rsidR="0085484A" w:rsidRPr="00361513" w:rsidRDefault="0085484A" w:rsidP="0085484A">
      <w:pPr>
        <w:pStyle w:val="Tindependiente-Profesional"/>
        <w:spacing w:after="0" w:line="240" w:lineRule="auto"/>
        <w:jc w:val="both"/>
        <w:rPr>
          <w:rFonts w:ascii="Garamond" w:hAnsi="Garamond" w:cs="Arial"/>
          <w:sz w:val="22"/>
          <w:szCs w:val="22"/>
          <w:lang w:val="es-MX"/>
        </w:rPr>
      </w:pPr>
    </w:p>
    <w:p w14:paraId="66AA2F31"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MX"/>
        </w:rPr>
        <w:br w:type="column"/>
      </w:r>
      <w:r w:rsidRPr="00361513">
        <w:rPr>
          <w:rFonts w:ascii="Garamond" w:hAnsi="Garamond"/>
          <w:b/>
          <w:bCs/>
          <w:sz w:val="22"/>
          <w:szCs w:val="22"/>
          <w:lang w:val="es-VE"/>
        </w:rPr>
        <w:lastRenderedPageBreak/>
        <w:t>Figura 17</w:t>
      </w:r>
    </w:p>
    <w:p w14:paraId="29E14D42" w14:textId="77777777" w:rsidR="0085484A" w:rsidRPr="00361513" w:rsidRDefault="0085484A" w:rsidP="0085484A">
      <w:pPr>
        <w:spacing w:line="360" w:lineRule="auto"/>
        <w:jc w:val="center"/>
        <w:rPr>
          <w:rFonts w:ascii="Garamond" w:hAnsi="Garamond"/>
          <w:i/>
          <w:iCs/>
          <w:sz w:val="22"/>
          <w:szCs w:val="22"/>
          <w:lang w:val="es-VE"/>
        </w:rPr>
      </w:pPr>
      <w:r w:rsidRPr="00361513">
        <w:rPr>
          <w:rFonts w:ascii="Garamond" w:hAnsi="Garamond"/>
          <w:i/>
          <w:iCs/>
          <w:sz w:val="22"/>
          <w:szCs w:val="22"/>
          <w:lang w:val="es-VE"/>
        </w:rPr>
        <w:t>Adultos con expectativas de iniciar un negocio propio en los próximos 3 años</w:t>
      </w:r>
    </w:p>
    <w:p w14:paraId="435DAA61" w14:textId="77777777" w:rsidR="0085484A" w:rsidRPr="00361513" w:rsidRDefault="0085484A" w:rsidP="0085484A">
      <w:pPr>
        <w:pStyle w:val="Tindependiente-Profesional"/>
        <w:spacing w:after="0" w:line="240" w:lineRule="auto"/>
        <w:jc w:val="both"/>
        <w:rPr>
          <w:rFonts w:ascii="Garamond" w:hAnsi="Garamond" w:cs="Arial"/>
          <w:sz w:val="22"/>
          <w:szCs w:val="22"/>
          <w:lang w:val="es-MX"/>
        </w:rPr>
      </w:pPr>
      <w:r w:rsidRPr="00361513">
        <w:rPr>
          <w:rFonts w:ascii="Garamond" w:hAnsi="Garamond"/>
          <w:noProof/>
          <w:sz w:val="22"/>
          <w:szCs w:val="22"/>
        </w:rPr>
        <w:drawing>
          <wp:inline distT="0" distB="0" distL="0" distR="0" wp14:anchorId="25B40D16" wp14:editId="0766BFD1">
            <wp:extent cx="5615940" cy="3223260"/>
            <wp:effectExtent l="0" t="0" r="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15940" cy="3223260"/>
                    </a:xfrm>
                    <a:prstGeom prst="rect">
                      <a:avLst/>
                    </a:prstGeom>
                    <a:noFill/>
                    <a:ln>
                      <a:noFill/>
                    </a:ln>
                  </pic:spPr>
                </pic:pic>
              </a:graphicData>
            </a:graphic>
          </wp:inline>
        </w:drawing>
      </w:r>
    </w:p>
    <w:p w14:paraId="7B5E1710"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MX"/>
        </w:rPr>
      </w:pPr>
      <w:r w:rsidRPr="00361513">
        <w:rPr>
          <w:rFonts w:ascii="Garamond" w:hAnsi="Garamond" w:cs="Arial"/>
          <w:sz w:val="22"/>
          <w:szCs w:val="22"/>
          <w:lang w:val="es-VE"/>
        </w:rPr>
        <w:t>Fuente: GEM (2023, p. 46).</w:t>
      </w:r>
    </w:p>
    <w:p w14:paraId="63A7BA1F" w14:textId="77777777" w:rsidR="0085484A" w:rsidRPr="00361513" w:rsidRDefault="0085484A" w:rsidP="0085484A">
      <w:pPr>
        <w:rPr>
          <w:rFonts w:ascii="Garamond" w:hAnsi="Garamond"/>
          <w:b/>
          <w:bCs/>
          <w:sz w:val="22"/>
          <w:szCs w:val="22"/>
        </w:rPr>
      </w:pPr>
      <w:r w:rsidRPr="00361513">
        <w:rPr>
          <w:rFonts w:ascii="Garamond" w:hAnsi="Garamond"/>
          <w:b/>
          <w:bCs/>
          <w:sz w:val="22"/>
          <w:szCs w:val="22"/>
        </w:rPr>
        <w:br w:type="page"/>
      </w:r>
    </w:p>
    <w:p w14:paraId="349C1419" w14:textId="77777777" w:rsidR="0085484A" w:rsidRPr="00361513" w:rsidRDefault="0085484A" w:rsidP="0085484A">
      <w:pPr>
        <w:jc w:val="center"/>
        <w:rPr>
          <w:rFonts w:ascii="Garamond" w:hAnsi="Garamond"/>
          <w:b/>
          <w:bCs/>
          <w:sz w:val="22"/>
          <w:szCs w:val="22"/>
          <w:lang w:val="es-VE"/>
        </w:rPr>
      </w:pPr>
      <w:r w:rsidRPr="00361513">
        <w:rPr>
          <w:rFonts w:ascii="Garamond" w:hAnsi="Garamond"/>
          <w:b/>
          <w:bCs/>
          <w:sz w:val="22"/>
          <w:szCs w:val="22"/>
          <w:lang w:val="es-VE"/>
        </w:rPr>
        <w:lastRenderedPageBreak/>
        <w:t>Figura 18</w:t>
      </w:r>
    </w:p>
    <w:p w14:paraId="62BBDEF1" w14:textId="77777777" w:rsidR="0085484A" w:rsidRPr="00361513" w:rsidRDefault="0085484A" w:rsidP="0085484A">
      <w:pPr>
        <w:spacing w:line="360" w:lineRule="auto"/>
        <w:jc w:val="center"/>
        <w:rPr>
          <w:rFonts w:ascii="Garamond" w:hAnsi="Garamond"/>
          <w:i/>
          <w:iCs/>
          <w:sz w:val="22"/>
          <w:szCs w:val="22"/>
          <w:lang w:val="es-VE"/>
        </w:rPr>
      </w:pPr>
      <w:r w:rsidRPr="00361513">
        <w:rPr>
          <w:rFonts w:ascii="Garamond" w:hAnsi="Garamond"/>
          <w:i/>
          <w:iCs/>
          <w:sz w:val="22"/>
          <w:szCs w:val="22"/>
          <w:lang w:val="es-VE"/>
        </w:rPr>
        <w:t>Juicio de expertos sobre las condiciones del marco empresarial (Venezuela)</w:t>
      </w:r>
    </w:p>
    <w:p w14:paraId="5C64B7EA" w14:textId="77777777" w:rsidR="0085484A" w:rsidRPr="00361513" w:rsidRDefault="0085484A" w:rsidP="0085484A">
      <w:pPr>
        <w:pStyle w:val="Tindependiente-Profesional"/>
        <w:spacing w:after="0" w:line="240" w:lineRule="auto"/>
        <w:jc w:val="center"/>
        <w:rPr>
          <w:rFonts w:ascii="Garamond" w:hAnsi="Garamond" w:cs="Arial"/>
          <w:sz w:val="22"/>
          <w:szCs w:val="22"/>
          <w:lang w:val="es-MX"/>
        </w:rPr>
      </w:pPr>
      <w:r w:rsidRPr="00361513">
        <w:rPr>
          <w:rFonts w:ascii="Garamond" w:hAnsi="Garamond"/>
          <w:noProof/>
          <w:sz w:val="22"/>
          <w:szCs w:val="22"/>
        </w:rPr>
        <w:drawing>
          <wp:inline distT="0" distB="0" distL="0" distR="0" wp14:anchorId="0BD95898" wp14:editId="2C288461">
            <wp:extent cx="5326380" cy="2674620"/>
            <wp:effectExtent l="0" t="0" r="0" b="0"/>
            <wp:docPr id="16" name="Imagen 1" descr="Gráfico, Gráfico radia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 descr="Gráfico, Gráfico radial&#10;&#10;El contenido generado por IA puede ser incorrecto."/>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26380" cy="2674620"/>
                    </a:xfrm>
                    <a:prstGeom prst="rect">
                      <a:avLst/>
                    </a:prstGeom>
                    <a:noFill/>
                    <a:ln>
                      <a:noFill/>
                    </a:ln>
                  </pic:spPr>
                </pic:pic>
              </a:graphicData>
            </a:graphic>
          </wp:inline>
        </w:drawing>
      </w:r>
    </w:p>
    <w:p w14:paraId="1EF06939" w14:textId="77777777" w:rsidR="0085484A" w:rsidRPr="00361513" w:rsidRDefault="0085484A" w:rsidP="0085484A">
      <w:pPr>
        <w:pStyle w:val="Lneadeautor-Profesional"/>
        <w:spacing w:before="0" w:after="120" w:line="360" w:lineRule="auto"/>
        <w:jc w:val="center"/>
        <w:rPr>
          <w:rFonts w:ascii="Garamond" w:hAnsi="Garamond" w:cs="Arial"/>
          <w:sz w:val="22"/>
          <w:szCs w:val="22"/>
          <w:lang w:val="es-MX"/>
        </w:rPr>
      </w:pPr>
      <w:r w:rsidRPr="00361513">
        <w:rPr>
          <w:rFonts w:ascii="Garamond" w:hAnsi="Garamond" w:cs="Arial"/>
          <w:sz w:val="22"/>
          <w:szCs w:val="22"/>
          <w:lang w:val="es-MX"/>
        </w:rPr>
        <w:t>Fuente: GEM (2023, p. 214).</w:t>
      </w:r>
    </w:p>
    <w:p w14:paraId="080161B0" w14:textId="77777777" w:rsidR="0085484A" w:rsidRPr="00361513" w:rsidRDefault="0085484A" w:rsidP="0085484A">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Nota: * Venezuela solo mejora con respecto al promedio general en el atributo relacionado a la disponibilidad de cursos para emprendedores y la apertura del mercado para incursionar.</w:t>
      </w:r>
    </w:p>
    <w:p w14:paraId="085F5DCE" w14:textId="73D2D9C7" w:rsidR="008E6179" w:rsidRPr="00361513" w:rsidRDefault="0085484A" w:rsidP="0085484A">
      <w:pPr>
        <w:pStyle w:val="Lneadeautor-Profesional"/>
        <w:spacing w:before="0" w:after="120" w:line="360" w:lineRule="auto"/>
        <w:ind w:firstLine="284"/>
        <w:jc w:val="both"/>
        <w:rPr>
          <w:rFonts w:ascii="Garamond" w:hAnsi="Garamond" w:cs="Arial"/>
          <w:sz w:val="22"/>
          <w:szCs w:val="22"/>
          <w:lang w:val="es-ES"/>
        </w:rPr>
      </w:pPr>
      <w:r w:rsidRPr="00361513">
        <w:rPr>
          <w:rFonts w:ascii="Garamond" w:hAnsi="Garamond" w:cs="Arial"/>
          <w:sz w:val="22"/>
          <w:szCs w:val="22"/>
          <w:lang w:val="es-ES"/>
        </w:rPr>
        <w:t>** La mayoría de las variables en la región al igual que en el caso del país, se mueven en los puntos de la escala que asocian al ítem con algún nivel de resultado inadecuado.</w:t>
      </w:r>
    </w:p>
    <w:sectPr w:rsidR="008E6179" w:rsidRPr="00361513" w:rsidSect="009B6324">
      <w:headerReference w:type="default" r:id="rId61"/>
      <w:footerReference w:type="even" r:id="rId62"/>
      <w:footerReference w:type="default" r:id="rId63"/>
      <w:headerReference w:type="first" r:id="rId64"/>
      <w:footerReference w:type="first" r:id="rId65"/>
      <w:pgSz w:w="12240" w:h="15840"/>
      <w:pgMar w:top="713" w:right="1041" w:bottom="1417" w:left="1275" w:header="714" w:footer="566" w:gutter="0"/>
      <w:pgNumType w:start="5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7A57D" w14:textId="77777777" w:rsidR="00275F67" w:rsidRDefault="00275F67">
      <w:r>
        <w:separator/>
      </w:r>
    </w:p>
  </w:endnote>
  <w:endnote w:type="continuationSeparator" w:id="0">
    <w:p w14:paraId="4BF9D48C" w14:textId="77777777" w:rsidR="00275F67" w:rsidRDefault="00275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w">
    <w:altName w:val="Cambria"/>
    <w:panose1 w:val="00000000000000000000"/>
    <w:charset w:val="00"/>
    <w:family w:val="roman"/>
    <w:notTrueType/>
    <w:pitch w:val="default"/>
  </w:font>
  <w:font w:name="Fv">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379F" w14:textId="77777777" w:rsidR="00732CA1"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FAB817C" w14:textId="77777777" w:rsidR="00732CA1" w:rsidRDefault="00732CA1">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B4DD" w14:textId="776321BF" w:rsidR="00732CA1" w:rsidRDefault="00434070" w:rsidP="00434070">
    <w:pPr>
      <w:pBdr>
        <w:top w:val="nil"/>
        <w:left w:val="nil"/>
        <w:bottom w:val="nil"/>
        <w:right w:val="nil"/>
        <w:between w:val="nil"/>
      </w:pBdr>
      <w:tabs>
        <w:tab w:val="center" w:pos="4419"/>
      </w:tabs>
      <w:jc w:val="right"/>
      <w:rPr>
        <w:rFonts w:ascii="Garamond" w:eastAsia="Garamond" w:hAnsi="Garamond" w:cs="Garamond"/>
        <w:color w:val="000000"/>
        <w:sz w:val="16"/>
        <w:szCs w:val="16"/>
      </w:rPr>
    </w:pPr>
    <w:r w:rsidRPr="0028387A">
      <w:rPr>
        <w:i/>
        <w:iCs/>
        <w:noProof/>
      </w:rPr>
      <mc:AlternateContent>
        <mc:Choice Requires="wps">
          <w:drawing>
            <wp:anchor distT="0" distB="0" distL="114300" distR="114300" simplePos="0" relativeHeight="251661312" behindDoc="0" locked="0" layoutInCell="1" hidden="0" allowOverlap="1" wp14:anchorId="614629DE" wp14:editId="09CD7468">
              <wp:simplePos x="0" y="0"/>
              <wp:positionH relativeFrom="column">
                <wp:posOffset>6073140</wp:posOffset>
              </wp:positionH>
              <wp:positionV relativeFrom="paragraph">
                <wp:posOffset>38100</wp:posOffset>
              </wp:positionV>
              <wp:extent cx="0" cy="812800"/>
              <wp:effectExtent l="0" t="0" r="38100" b="25400"/>
              <wp:wrapNone/>
              <wp:docPr id="1" name="Conector recto de flecha 1"/>
              <wp:cNvGraphicFramePr/>
              <a:graphic xmlns:a="http://schemas.openxmlformats.org/drawingml/2006/main">
                <a:graphicData uri="http://schemas.microsoft.com/office/word/2010/wordprocessingShape">
                  <wps:wsp>
                    <wps:cNvCnPr/>
                    <wps:spPr>
                      <a:xfrm>
                        <a:off x="0" y="0"/>
                        <a:ext cx="0" cy="8128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5108B46B" id="_x0000_t32" coordsize="21600,21600" o:spt="32" o:oned="t" path="m,l21600,21600e" filled="f">
              <v:path arrowok="t" fillok="f" o:connecttype="none"/>
              <o:lock v:ext="edit" shapetype="t"/>
            </v:shapetype>
            <v:shape id="Conector recto de flecha 1" o:spid="_x0000_s1026" type="#_x0000_t32" style="position:absolute;margin-left:478.2pt;margin-top:3pt;width:0;height:6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" strokecolor="black [3200]">
              <v:stroke joinstyle="miter"/>
            </v:shape>
          </w:pict>
        </mc:Fallback>
      </mc:AlternateContent>
    </w:r>
    <w:r w:rsidRPr="0028387A">
      <w:rPr>
        <w:rFonts w:ascii="Garamond" w:eastAsia="Garamond" w:hAnsi="Garamond" w:cs="Garamond"/>
        <w:i/>
        <w:iCs/>
        <w:sz w:val="16"/>
        <w:szCs w:val="16"/>
      </w:rPr>
      <w:t>Temas de Coyuntura</w:t>
    </w:r>
    <w:r>
      <w:rPr>
        <w:rFonts w:ascii="Garamond" w:eastAsia="Garamond" w:hAnsi="Garamond" w:cs="Garamond"/>
        <w:sz w:val="16"/>
        <w:szCs w:val="16"/>
      </w:rPr>
      <w:t xml:space="preserve"> n.º 9</w:t>
    </w:r>
    <w:r w:rsidR="00E04A61">
      <w:rPr>
        <w:rFonts w:ascii="Garamond" w:eastAsia="Garamond" w:hAnsi="Garamond" w:cs="Garamond"/>
        <w:sz w:val="16"/>
        <w:szCs w:val="16"/>
      </w:rPr>
      <w:t>2</w:t>
    </w:r>
    <w:r w:rsidR="00CE57AA">
      <w:rPr>
        <w:rFonts w:ascii="Garamond" w:eastAsia="Garamond" w:hAnsi="Garamond" w:cs="Garamond"/>
        <w:sz w:val="16"/>
        <w:szCs w:val="16"/>
      </w:rPr>
      <w:t xml:space="preserve">    </w:t>
    </w:r>
    <w:r w:rsidR="00CF7551">
      <w:rPr>
        <w:rFonts w:ascii="Garamond" w:eastAsia="Garamond" w:hAnsi="Garamond" w:cs="Garamond"/>
        <w:sz w:val="16"/>
        <w:szCs w:val="16"/>
      </w:rPr>
      <w:t xml:space="preserve">    </w:t>
    </w:r>
    <w:r>
      <w:rPr>
        <w:rFonts w:ascii="Garamond" w:eastAsia="Garamond" w:hAnsi="Garamond" w:cs="Garamond"/>
        <w:sz w:val="16"/>
        <w:szCs w:val="16"/>
      </w:rPr>
      <w:t xml:space="preserve">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Pr>
        <w:rFonts w:ascii="Garamond" w:eastAsia="Garamond" w:hAnsi="Garamond" w:cs="Garamond"/>
        <w:noProof/>
        <w:color w:val="000000"/>
        <w:sz w:val="22"/>
        <w:szCs w:val="22"/>
      </w:rPr>
      <w:t>8</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p>
  <w:p w14:paraId="15924CC4" w14:textId="3E9B8F66" w:rsidR="00732CA1" w:rsidRDefault="00CF7551">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  </w:t>
    </w:r>
    <w:r w:rsidR="00434070">
      <w:rPr>
        <w:rFonts w:ascii="Garamond" w:eastAsia="Garamond" w:hAnsi="Garamond" w:cs="Garamond"/>
        <w:color w:val="000000"/>
        <w:sz w:val="16"/>
        <w:szCs w:val="16"/>
      </w:rPr>
      <w:t xml:space="preserve">Semestre </w:t>
    </w:r>
    <w:r w:rsidR="00E04A61">
      <w:rPr>
        <w:rFonts w:ascii="Garamond" w:eastAsia="Garamond" w:hAnsi="Garamond" w:cs="Garamond"/>
        <w:sz w:val="16"/>
        <w:szCs w:val="16"/>
      </w:rPr>
      <w:t>jul</w:t>
    </w:r>
    <w:r w:rsidR="0028387A">
      <w:rPr>
        <w:rFonts w:ascii="Garamond" w:eastAsia="Garamond" w:hAnsi="Garamond" w:cs="Garamond"/>
        <w:color w:val="000000"/>
        <w:sz w:val="16"/>
        <w:szCs w:val="16"/>
      </w:rPr>
      <w:t>.-</w:t>
    </w:r>
    <w:r w:rsidR="00E04A61">
      <w:rPr>
        <w:rFonts w:ascii="Garamond" w:eastAsia="Garamond" w:hAnsi="Garamond" w:cs="Garamond"/>
        <w:sz w:val="16"/>
        <w:szCs w:val="16"/>
      </w:rPr>
      <w:t>dic</w:t>
    </w:r>
    <w:r w:rsidR="00434070">
      <w:rPr>
        <w:rFonts w:ascii="Garamond" w:eastAsia="Garamond" w:hAnsi="Garamond" w:cs="Garamond"/>
        <w:color w:val="000000"/>
        <w:sz w:val="16"/>
        <w:szCs w:val="16"/>
      </w:rPr>
      <w:t xml:space="preserve">. </w:t>
    </w:r>
    <w:r w:rsidR="00434070">
      <w:rPr>
        <w:rFonts w:ascii="Garamond" w:eastAsia="Garamond" w:hAnsi="Garamond" w:cs="Garamond"/>
        <w:sz w:val="16"/>
        <w:szCs w:val="16"/>
      </w:rPr>
      <w:t>202</w:t>
    </w:r>
    <w:r w:rsidR="00146368">
      <w:rPr>
        <w:rFonts w:ascii="Garamond" w:eastAsia="Garamond" w:hAnsi="Garamond" w:cs="Garamond"/>
        <w:sz w:val="16"/>
        <w:szCs w:val="16"/>
      </w:rPr>
      <w:t>5</w:t>
    </w:r>
  </w:p>
  <w:p w14:paraId="2897C3CF" w14:textId="77777777" w:rsidR="00732CA1"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22CB" w14:textId="246E7D32" w:rsidR="00732CA1" w:rsidRDefault="0043407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r>
      <w:rPr>
        <w:noProof/>
      </w:rPr>
      <mc:AlternateContent>
        <mc:Choice Requires="wps">
          <w:drawing>
            <wp:anchor distT="0" distB="0" distL="114300" distR="114300" simplePos="0" relativeHeight="251662336" behindDoc="0" locked="0" layoutInCell="1" hidden="0" allowOverlap="1" wp14:anchorId="6D85B54E" wp14:editId="6A0D1440">
              <wp:simplePos x="0" y="0"/>
              <wp:positionH relativeFrom="column">
                <wp:posOffset>6019800</wp:posOffset>
              </wp:positionH>
              <wp:positionV relativeFrom="paragraph">
                <wp:posOffset>268605</wp:posOffset>
              </wp:positionV>
              <wp:extent cx="0" cy="813435"/>
              <wp:effectExtent l="0" t="0" r="38100" b="24765"/>
              <wp:wrapNone/>
              <wp:docPr id="3" name="Conector recto de flecha 3"/>
              <wp:cNvGraphicFramePr/>
              <a:graphic xmlns:a="http://schemas.openxmlformats.org/drawingml/2006/main">
                <a:graphicData uri="http://schemas.microsoft.com/office/word/2010/wordprocessingShape">
                  <wps:wsp>
                    <wps:cNvCnPr/>
                    <wps:spPr>
                      <a:xfrm>
                        <a:off x="0" y="0"/>
                        <a:ext cx="0" cy="81343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0E3D282E" id="_x0000_t32" coordsize="21600,21600" o:spt="32" o:oned="t" path="m,l21600,21600e" filled="f">
              <v:path arrowok="t" fillok="f" o:connecttype="none"/>
              <o:lock v:ext="edit" shapetype="t"/>
            </v:shapetype>
            <v:shape id="Conector recto de flecha 3" o:spid="_x0000_s1026" type="#_x0000_t32" style="position:absolute;margin-left:474pt;margin-top:21.15pt;width:0;height:6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" strokecolor="black [3200]">
              <v:stroke joinstyle="miter"/>
            </v:shape>
          </w:pict>
        </mc:Fallback>
      </mc:AlternateContent>
    </w:r>
  </w:p>
  <w:p w14:paraId="618DB011" w14:textId="1B14E4FD"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sidRPr="0097493B">
      <w:rPr>
        <w:rFonts w:ascii="Garamond" w:eastAsia="Garamond" w:hAnsi="Garamond" w:cs="Garamond"/>
        <w:i/>
        <w:iCs/>
        <w:color w:val="000000"/>
        <w:sz w:val="16"/>
        <w:szCs w:val="16"/>
      </w:rPr>
      <w:t>Temas de Coyuntura</w:t>
    </w:r>
    <w:r>
      <w:rPr>
        <w:rFonts w:ascii="Garamond" w:eastAsia="Garamond" w:hAnsi="Garamond" w:cs="Garamond"/>
        <w:color w:val="000000"/>
        <w:sz w:val="16"/>
        <w:szCs w:val="16"/>
      </w:rPr>
      <w:t xml:space="preserve">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9</w:t>
    </w:r>
    <w:r w:rsidR="00E04A61">
      <w:rPr>
        <w:rFonts w:ascii="Garamond" w:eastAsia="Garamond" w:hAnsi="Garamond" w:cs="Garamond"/>
        <w:sz w:val="16"/>
        <w:szCs w:val="16"/>
      </w:rPr>
      <w:t>2</w:t>
    </w:r>
  </w:p>
  <w:p w14:paraId="13A872B7" w14:textId="40E4B3ED"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sidR="00E04A61">
      <w:rPr>
        <w:rFonts w:ascii="Garamond" w:eastAsia="Garamond" w:hAnsi="Garamond" w:cs="Garamond"/>
        <w:sz w:val="16"/>
        <w:szCs w:val="16"/>
      </w:rPr>
      <w:t>jul</w:t>
    </w:r>
    <w:r w:rsidR="0097493B">
      <w:rPr>
        <w:rFonts w:ascii="Garamond" w:eastAsia="Garamond" w:hAnsi="Garamond" w:cs="Garamond"/>
        <w:color w:val="000000"/>
        <w:sz w:val="16"/>
        <w:szCs w:val="16"/>
      </w:rPr>
      <w:t>.-</w:t>
    </w:r>
    <w:r w:rsidR="00E04A61">
      <w:rPr>
        <w:rFonts w:ascii="Garamond" w:eastAsia="Garamond" w:hAnsi="Garamond" w:cs="Garamond"/>
        <w:sz w:val="16"/>
        <w:szCs w:val="16"/>
      </w:rPr>
      <w:t>dic</w:t>
    </w:r>
    <w:r>
      <w:rPr>
        <w:rFonts w:ascii="Garamond" w:eastAsia="Garamond" w:hAnsi="Garamond" w:cs="Garamond"/>
        <w:color w:val="000000"/>
        <w:sz w:val="16"/>
        <w:szCs w:val="16"/>
      </w:rPr>
      <w:t xml:space="preserve">. </w:t>
    </w:r>
    <w:r>
      <w:rPr>
        <w:rFonts w:ascii="Garamond" w:eastAsia="Garamond" w:hAnsi="Garamond" w:cs="Garamond"/>
        <w:sz w:val="16"/>
        <w:szCs w:val="16"/>
      </w:rPr>
      <w:t>202</w:t>
    </w:r>
    <w:r w:rsidR="0054382B">
      <w:rPr>
        <w:rFonts w:ascii="Garamond" w:eastAsia="Garamond" w:hAnsi="Garamond" w:cs="Garamond"/>
        <w:sz w:val="16"/>
        <w:szCs w:val="16"/>
      </w:rPr>
      <w:t>5</w:t>
    </w:r>
  </w:p>
  <w:p w14:paraId="40459798" w14:textId="77777777" w:rsidR="00732CA1"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9F91A" w14:textId="77777777" w:rsidR="00275F67" w:rsidRDefault="00275F67">
      <w:r>
        <w:separator/>
      </w:r>
    </w:p>
  </w:footnote>
  <w:footnote w:type="continuationSeparator" w:id="0">
    <w:p w14:paraId="1AC5C433" w14:textId="77777777" w:rsidR="00275F67" w:rsidRDefault="00275F67">
      <w:r>
        <w:continuationSeparator/>
      </w:r>
    </w:p>
  </w:footnote>
  <w:footnote w:id="1">
    <w:p w14:paraId="037B07D4" w14:textId="5D5BDC8E" w:rsidR="00C20CBB" w:rsidRPr="007F6664" w:rsidRDefault="00C20CBB">
      <w:pPr>
        <w:pStyle w:val="Textonotapie"/>
        <w:rPr>
          <w:rFonts w:ascii="Garamond" w:hAnsi="Garamond"/>
          <w:lang w:val="es-VE"/>
        </w:rPr>
      </w:pPr>
      <w:r w:rsidRPr="007F6664">
        <w:rPr>
          <w:rStyle w:val="Refdenotaalpie"/>
          <w:rFonts w:ascii="Garamond" w:hAnsi="Garamond"/>
        </w:rPr>
        <w:footnoteRef/>
      </w:r>
      <w:r w:rsidRPr="007F6664">
        <w:rPr>
          <w:rFonts w:ascii="Garamond" w:hAnsi="Garamond"/>
          <w:lang w:val="es-VE"/>
        </w:rPr>
        <w:t xml:space="preserve"> Figura 1 en la página </w:t>
      </w:r>
      <w:r w:rsidR="00824BCE">
        <w:rPr>
          <w:rFonts w:ascii="Garamond" w:hAnsi="Garamond"/>
          <w:lang w:val="es-VE"/>
        </w:rPr>
        <w:t>70</w:t>
      </w:r>
      <w:r w:rsidRPr="007F6664">
        <w:rPr>
          <w:rFonts w:ascii="Garamond" w:hAnsi="Garamond"/>
          <w:lang w:val="es-VE"/>
        </w:rPr>
        <w:t>.</w:t>
      </w:r>
    </w:p>
  </w:footnote>
  <w:footnote w:id="2">
    <w:p w14:paraId="18A3238E" w14:textId="444FC83F" w:rsidR="00C20CBB" w:rsidRPr="007F6664" w:rsidRDefault="00C20CBB">
      <w:pPr>
        <w:pStyle w:val="Textonotapie"/>
        <w:rPr>
          <w:rFonts w:ascii="Garamond" w:hAnsi="Garamond"/>
          <w:lang w:val="es-VE"/>
        </w:rPr>
      </w:pPr>
      <w:r w:rsidRPr="007F6664">
        <w:rPr>
          <w:rStyle w:val="Refdenotaalpie"/>
          <w:rFonts w:ascii="Garamond" w:hAnsi="Garamond"/>
        </w:rPr>
        <w:footnoteRef/>
      </w:r>
      <w:r w:rsidRPr="007F6664">
        <w:rPr>
          <w:rFonts w:ascii="Garamond" w:hAnsi="Garamond"/>
          <w:lang w:val="es-VE"/>
        </w:rPr>
        <w:t xml:space="preserve"> Figura 2 en la página </w:t>
      </w:r>
      <w:r w:rsidR="00824BCE">
        <w:rPr>
          <w:rFonts w:ascii="Garamond" w:hAnsi="Garamond"/>
          <w:lang w:val="es-VE"/>
        </w:rPr>
        <w:t>71</w:t>
      </w:r>
      <w:r w:rsidRPr="007F6664">
        <w:rPr>
          <w:rFonts w:ascii="Garamond" w:hAnsi="Garamond"/>
          <w:lang w:val="es-VE"/>
        </w:rPr>
        <w:t>.</w:t>
      </w:r>
    </w:p>
  </w:footnote>
  <w:footnote w:id="3">
    <w:p w14:paraId="1BD7A175" w14:textId="25A60853" w:rsidR="00224BAA" w:rsidRPr="007F6664" w:rsidRDefault="00224BAA">
      <w:pPr>
        <w:pStyle w:val="Textonotapie"/>
        <w:rPr>
          <w:rFonts w:ascii="Garamond" w:hAnsi="Garamond"/>
          <w:lang w:val="es-VE"/>
        </w:rPr>
      </w:pPr>
      <w:r w:rsidRPr="007F6664">
        <w:rPr>
          <w:rStyle w:val="Refdenotaalpie"/>
          <w:rFonts w:ascii="Garamond" w:hAnsi="Garamond"/>
        </w:rPr>
        <w:footnoteRef/>
      </w:r>
      <w:r w:rsidRPr="007F6664">
        <w:rPr>
          <w:rFonts w:ascii="Garamond" w:hAnsi="Garamond"/>
          <w:lang w:val="es-VE"/>
        </w:rPr>
        <w:t xml:space="preserve"> Figura 3 en la página </w:t>
      </w:r>
      <w:r w:rsidR="00824BCE">
        <w:rPr>
          <w:rFonts w:ascii="Garamond" w:hAnsi="Garamond"/>
          <w:lang w:val="es-VE"/>
        </w:rPr>
        <w:t>72</w:t>
      </w:r>
      <w:r w:rsidRPr="007F6664">
        <w:rPr>
          <w:rFonts w:ascii="Garamond" w:hAnsi="Garamond"/>
          <w:lang w:val="es-VE"/>
        </w:rPr>
        <w:t>.</w:t>
      </w:r>
    </w:p>
  </w:footnote>
  <w:footnote w:id="4">
    <w:p w14:paraId="7807CA79" w14:textId="2AE18574" w:rsidR="00224BAA" w:rsidRPr="007F6664" w:rsidRDefault="00224BAA">
      <w:pPr>
        <w:pStyle w:val="Textonotapie"/>
        <w:rPr>
          <w:rFonts w:ascii="Garamond" w:hAnsi="Garamond"/>
          <w:lang w:val="es-VE"/>
        </w:rPr>
      </w:pPr>
      <w:r w:rsidRPr="007F6664">
        <w:rPr>
          <w:rStyle w:val="Refdenotaalpie"/>
          <w:rFonts w:ascii="Garamond" w:hAnsi="Garamond"/>
        </w:rPr>
        <w:footnoteRef/>
      </w:r>
      <w:r w:rsidRPr="007F6664">
        <w:rPr>
          <w:rFonts w:ascii="Garamond" w:hAnsi="Garamond"/>
          <w:lang w:val="es-VE"/>
        </w:rPr>
        <w:t xml:space="preserve"> Figura 4 en la página </w:t>
      </w:r>
      <w:r w:rsidR="00824BCE">
        <w:rPr>
          <w:rFonts w:ascii="Garamond" w:hAnsi="Garamond"/>
          <w:lang w:val="es-VE"/>
        </w:rPr>
        <w:t>73</w:t>
      </w:r>
      <w:r w:rsidRPr="007F6664">
        <w:rPr>
          <w:rFonts w:ascii="Garamond" w:hAnsi="Garamond"/>
          <w:lang w:val="es-VE"/>
        </w:rPr>
        <w:t>.</w:t>
      </w:r>
    </w:p>
  </w:footnote>
  <w:footnote w:id="5">
    <w:p w14:paraId="58426DCF" w14:textId="77777777" w:rsidR="00AE4220" w:rsidRPr="007F6664" w:rsidRDefault="00AE4220" w:rsidP="00AE4220">
      <w:pPr>
        <w:pStyle w:val="Textonotapie"/>
        <w:rPr>
          <w:rFonts w:ascii="Garamond" w:hAnsi="Garamond"/>
          <w:lang w:val="es-VE"/>
        </w:rPr>
      </w:pPr>
      <w:r w:rsidRPr="007F6664">
        <w:rPr>
          <w:rStyle w:val="Refdenotaalpie"/>
          <w:rFonts w:ascii="Garamond" w:hAnsi="Garamond"/>
        </w:rPr>
        <w:footnoteRef/>
      </w:r>
      <w:r w:rsidRPr="007F6664">
        <w:rPr>
          <w:rFonts w:ascii="Garamond" w:hAnsi="Garamond"/>
          <w:lang w:val="es-VE"/>
        </w:rPr>
        <w:t xml:space="preserve"> En: </w:t>
      </w:r>
      <w:hyperlink r:id="rId1" w:history="1">
        <w:r w:rsidRPr="007F6664">
          <w:rPr>
            <w:rStyle w:val="Hipervnculo"/>
            <w:rFonts w:ascii="Garamond" w:hAnsi="Garamond" w:cs="Calibri"/>
            <w:lang w:val="es-VE"/>
          </w:rPr>
          <w:t>https://economipedia.com/definiciones/hiperinflacion.html</w:t>
        </w:r>
      </w:hyperlink>
      <w:r w:rsidRPr="007F6664">
        <w:rPr>
          <w:rFonts w:ascii="Garamond" w:hAnsi="Garamond" w:cs="Calibri"/>
          <w:lang w:val="es-VE"/>
        </w:rPr>
        <w:t>.</w:t>
      </w:r>
    </w:p>
  </w:footnote>
  <w:footnote w:id="6">
    <w:p w14:paraId="1D419705" w14:textId="7B0AAA1B" w:rsidR="00A437A5" w:rsidRPr="007F6664" w:rsidRDefault="00A437A5">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5 en la página </w:t>
      </w:r>
      <w:r w:rsidR="00824BCE">
        <w:rPr>
          <w:rFonts w:ascii="Garamond" w:hAnsi="Garamond"/>
          <w:lang w:val="es-VE"/>
        </w:rPr>
        <w:t>74</w:t>
      </w:r>
      <w:r w:rsidRPr="007F6664">
        <w:rPr>
          <w:rFonts w:ascii="Garamond" w:hAnsi="Garamond"/>
          <w:lang w:val="es-VE"/>
        </w:rPr>
        <w:t>.</w:t>
      </w:r>
    </w:p>
  </w:footnote>
  <w:footnote w:id="7">
    <w:p w14:paraId="5CF74ECA" w14:textId="174030EA" w:rsidR="00A437A5" w:rsidRPr="007F6664" w:rsidRDefault="00A437A5">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6 en la página </w:t>
      </w:r>
      <w:r w:rsidR="00824BCE">
        <w:rPr>
          <w:rFonts w:ascii="Garamond" w:hAnsi="Garamond"/>
          <w:lang w:val="es-VE"/>
        </w:rPr>
        <w:t>75</w:t>
      </w:r>
      <w:r w:rsidRPr="007F6664">
        <w:rPr>
          <w:rFonts w:ascii="Garamond" w:hAnsi="Garamond"/>
          <w:lang w:val="es-VE"/>
        </w:rPr>
        <w:t>.</w:t>
      </w:r>
    </w:p>
  </w:footnote>
  <w:footnote w:id="8">
    <w:p w14:paraId="44E1080E" w14:textId="73383944" w:rsidR="00A437A5" w:rsidRPr="007F6664" w:rsidRDefault="00A437A5">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7 en la página </w:t>
      </w:r>
      <w:r w:rsidR="00824BCE">
        <w:rPr>
          <w:rFonts w:ascii="Garamond" w:hAnsi="Garamond"/>
          <w:lang w:val="es-VE"/>
        </w:rPr>
        <w:t>76</w:t>
      </w:r>
      <w:r w:rsidRPr="007F6664">
        <w:rPr>
          <w:rFonts w:ascii="Garamond" w:hAnsi="Garamond"/>
          <w:lang w:val="es-VE"/>
        </w:rPr>
        <w:t>.</w:t>
      </w:r>
    </w:p>
  </w:footnote>
  <w:footnote w:id="9">
    <w:p w14:paraId="66553742" w14:textId="3233C9DF" w:rsidR="00533B50" w:rsidRPr="007F6664" w:rsidRDefault="00533B50">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8 en la página </w:t>
      </w:r>
      <w:r w:rsidR="00824BCE">
        <w:rPr>
          <w:rFonts w:ascii="Garamond" w:hAnsi="Garamond"/>
          <w:lang w:val="es-VE"/>
        </w:rPr>
        <w:t>77</w:t>
      </w:r>
      <w:r w:rsidRPr="007F6664">
        <w:rPr>
          <w:rFonts w:ascii="Garamond" w:hAnsi="Garamond"/>
          <w:lang w:val="es-VE"/>
        </w:rPr>
        <w:t>.</w:t>
      </w:r>
    </w:p>
  </w:footnote>
  <w:footnote w:id="10">
    <w:p w14:paraId="0BD936D4" w14:textId="4FB3DBF0" w:rsidR="00D8062C" w:rsidRPr="007F6664" w:rsidRDefault="00D8062C">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9 en la página </w:t>
      </w:r>
      <w:r w:rsidR="00824BCE">
        <w:rPr>
          <w:rFonts w:ascii="Garamond" w:hAnsi="Garamond"/>
          <w:lang w:val="es-VE"/>
        </w:rPr>
        <w:t>78</w:t>
      </w:r>
      <w:r w:rsidRPr="007F6664">
        <w:rPr>
          <w:rFonts w:ascii="Garamond" w:hAnsi="Garamond"/>
          <w:lang w:val="es-VE"/>
        </w:rPr>
        <w:t>.</w:t>
      </w:r>
    </w:p>
  </w:footnote>
  <w:footnote w:id="11">
    <w:p w14:paraId="14C638CC" w14:textId="74951EC4" w:rsidR="00D8062C" w:rsidRPr="007F6664" w:rsidRDefault="00D8062C">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Tabla 1 en la página</w:t>
      </w:r>
      <w:r w:rsidR="00824BCE">
        <w:rPr>
          <w:rFonts w:ascii="Garamond" w:hAnsi="Garamond"/>
          <w:lang w:val="es-VE"/>
        </w:rPr>
        <w:t xml:space="preserve"> 79</w:t>
      </w:r>
      <w:r w:rsidRPr="007F6664">
        <w:rPr>
          <w:rFonts w:ascii="Garamond" w:hAnsi="Garamond"/>
          <w:lang w:val="es-VE"/>
        </w:rPr>
        <w:t>.</w:t>
      </w:r>
    </w:p>
  </w:footnote>
  <w:footnote w:id="12">
    <w:p w14:paraId="71711080" w14:textId="2796CF57" w:rsidR="002546CC" w:rsidRPr="007F6664" w:rsidRDefault="002546CC">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10 en la página </w:t>
      </w:r>
      <w:r w:rsidR="00824BCE">
        <w:rPr>
          <w:rFonts w:ascii="Garamond" w:hAnsi="Garamond"/>
          <w:lang w:val="es-VE"/>
        </w:rPr>
        <w:t>80</w:t>
      </w:r>
      <w:r w:rsidRPr="007F6664">
        <w:rPr>
          <w:rFonts w:ascii="Garamond" w:hAnsi="Garamond"/>
          <w:lang w:val="es-VE"/>
        </w:rPr>
        <w:t>.</w:t>
      </w:r>
    </w:p>
  </w:footnote>
  <w:footnote w:id="13">
    <w:p w14:paraId="011A336A" w14:textId="5B860506" w:rsidR="002546CC" w:rsidRPr="007F6664" w:rsidRDefault="002546CC">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Figura 1</w:t>
      </w:r>
      <w:r w:rsidR="008831CA" w:rsidRPr="007F6664">
        <w:rPr>
          <w:rFonts w:ascii="Garamond" w:hAnsi="Garamond"/>
          <w:lang w:val="es-VE"/>
        </w:rPr>
        <w:t>1</w:t>
      </w:r>
      <w:r w:rsidRPr="007F6664">
        <w:rPr>
          <w:rFonts w:ascii="Garamond" w:hAnsi="Garamond"/>
          <w:lang w:val="es-VE"/>
        </w:rPr>
        <w:t xml:space="preserve"> en la página </w:t>
      </w:r>
      <w:r w:rsidR="00824BCE">
        <w:rPr>
          <w:rFonts w:ascii="Garamond" w:hAnsi="Garamond"/>
          <w:lang w:val="es-VE"/>
        </w:rPr>
        <w:t>81</w:t>
      </w:r>
      <w:r w:rsidRPr="007F6664">
        <w:rPr>
          <w:rFonts w:ascii="Garamond" w:hAnsi="Garamond"/>
          <w:lang w:val="es-VE"/>
        </w:rPr>
        <w:t>.</w:t>
      </w:r>
    </w:p>
  </w:footnote>
  <w:footnote w:id="14">
    <w:p w14:paraId="0D95F679" w14:textId="77777777" w:rsidR="00AE4220" w:rsidRPr="007F6664" w:rsidRDefault="00AE4220" w:rsidP="00AE4220">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Gremio que agrupa esta actividad </w:t>
      </w:r>
      <w:hyperlink r:id="rId2" w:history="1">
        <w:r w:rsidRPr="007F6664">
          <w:rPr>
            <w:rStyle w:val="Hipervnculo"/>
            <w:rFonts w:ascii="Garamond" w:hAnsi="Garamond"/>
          </w:rPr>
          <w:t>https://www.profranquicias.org/en</w:t>
        </w:r>
      </w:hyperlink>
      <w:r w:rsidRPr="007F6664">
        <w:rPr>
          <w:rFonts w:ascii="Garamond" w:hAnsi="Garamond"/>
        </w:rPr>
        <w:t>.</w:t>
      </w:r>
    </w:p>
  </w:footnote>
  <w:footnote w:id="15">
    <w:p w14:paraId="2610AD53" w14:textId="25F78709" w:rsidR="008831CA" w:rsidRPr="007F6664" w:rsidRDefault="008831CA">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12 en la página </w:t>
      </w:r>
      <w:r w:rsidR="00824BCE">
        <w:rPr>
          <w:rFonts w:ascii="Garamond" w:hAnsi="Garamond"/>
          <w:lang w:val="es-VE"/>
        </w:rPr>
        <w:t>82</w:t>
      </w:r>
      <w:r w:rsidRPr="007F6664">
        <w:rPr>
          <w:rFonts w:ascii="Garamond" w:hAnsi="Garamond"/>
          <w:lang w:val="es-VE"/>
        </w:rPr>
        <w:t>.</w:t>
      </w:r>
    </w:p>
  </w:footnote>
  <w:footnote w:id="16">
    <w:p w14:paraId="4D1D30F6" w14:textId="77777777" w:rsidR="00AE4220" w:rsidRPr="007F6664" w:rsidRDefault="00AE4220" w:rsidP="00AE4220">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En: </w:t>
      </w:r>
      <w:hyperlink r:id="rId3" w:history="1">
        <w:r w:rsidRPr="007F6664">
          <w:rPr>
            <w:rStyle w:val="Hipervnculo"/>
            <w:rFonts w:ascii="Garamond" w:hAnsi="Garamond"/>
            <w:lang w:val="es-VE"/>
          </w:rPr>
          <w:t>https://cronica.uno/incertidumbre-postelectoral-dificulta-escenarios-de-cierre-de-ano-con-estabilidad-economica/</w:t>
        </w:r>
      </w:hyperlink>
      <w:r w:rsidRPr="007F6664">
        <w:rPr>
          <w:rFonts w:ascii="Garamond" w:hAnsi="Garamond"/>
          <w:lang w:val="es-VE"/>
        </w:rPr>
        <w:t xml:space="preserve">. </w:t>
      </w:r>
    </w:p>
  </w:footnote>
  <w:footnote w:id="17">
    <w:p w14:paraId="7791E213" w14:textId="4E28C40A" w:rsidR="000638C8" w:rsidRPr="007F6664" w:rsidRDefault="000638C8">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13 en la página </w:t>
      </w:r>
      <w:r w:rsidR="00926829">
        <w:rPr>
          <w:rFonts w:ascii="Garamond" w:hAnsi="Garamond"/>
          <w:lang w:val="es-VE"/>
        </w:rPr>
        <w:t>83</w:t>
      </w:r>
      <w:r w:rsidRPr="007F6664">
        <w:rPr>
          <w:rFonts w:ascii="Garamond" w:hAnsi="Garamond"/>
          <w:lang w:val="es-VE"/>
        </w:rPr>
        <w:t>.</w:t>
      </w:r>
    </w:p>
  </w:footnote>
  <w:footnote w:id="18">
    <w:p w14:paraId="4CAB9BBA" w14:textId="7F426E04" w:rsidR="000638C8" w:rsidRPr="007F6664" w:rsidRDefault="000638C8">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14 en la página </w:t>
      </w:r>
      <w:r w:rsidR="00926829">
        <w:rPr>
          <w:rFonts w:ascii="Garamond" w:hAnsi="Garamond"/>
          <w:lang w:val="es-VE"/>
        </w:rPr>
        <w:t>84</w:t>
      </w:r>
      <w:r w:rsidRPr="007F6664">
        <w:rPr>
          <w:rFonts w:ascii="Garamond" w:hAnsi="Garamond"/>
          <w:lang w:val="es-VE"/>
        </w:rPr>
        <w:t>.</w:t>
      </w:r>
    </w:p>
  </w:footnote>
  <w:footnote w:id="19">
    <w:p w14:paraId="438B9268" w14:textId="089B91CD" w:rsidR="000638C8" w:rsidRPr="007F6664" w:rsidRDefault="000638C8">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15 en la página </w:t>
      </w:r>
      <w:r w:rsidR="00926829">
        <w:rPr>
          <w:rFonts w:ascii="Garamond" w:hAnsi="Garamond"/>
          <w:lang w:val="es-VE"/>
        </w:rPr>
        <w:t>85</w:t>
      </w:r>
      <w:r w:rsidRPr="007F6664">
        <w:rPr>
          <w:rFonts w:ascii="Garamond" w:hAnsi="Garamond"/>
          <w:lang w:val="es-VE"/>
        </w:rPr>
        <w:t>.</w:t>
      </w:r>
    </w:p>
  </w:footnote>
  <w:footnote w:id="20">
    <w:p w14:paraId="663ED672" w14:textId="2555E930" w:rsidR="00DD211D" w:rsidRPr="007F6664" w:rsidRDefault="00DD211D">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En: </w:t>
      </w:r>
      <w:hyperlink r:id="rId4" w:history="1">
        <w:r w:rsidRPr="007F6664">
          <w:rPr>
            <w:rStyle w:val="Hipervnculo"/>
            <w:rFonts w:ascii="Garamond" w:hAnsi="Garamond"/>
            <w:lang w:val="es-VE"/>
          </w:rPr>
          <w:t>https://es.statista.com/estadisticas/1322925/participacion-del-petroleo-en-las-exportaciones-de-venezuela/</w:t>
        </w:r>
      </w:hyperlink>
      <w:r w:rsidRPr="007F6664">
        <w:rPr>
          <w:rFonts w:ascii="Garamond" w:hAnsi="Garamond"/>
          <w:lang w:val="es-VE"/>
        </w:rPr>
        <w:t>.</w:t>
      </w:r>
    </w:p>
  </w:footnote>
  <w:footnote w:id="21">
    <w:p w14:paraId="7DEA0BBD" w14:textId="0C8D3B7E" w:rsidR="005A5233" w:rsidRPr="007F6664" w:rsidRDefault="005A5233">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16 en la página </w:t>
      </w:r>
      <w:r w:rsidR="00926829">
        <w:rPr>
          <w:rFonts w:ascii="Garamond" w:hAnsi="Garamond"/>
          <w:lang w:val="es-VE"/>
        </w:rPr>
        <w:t>86</w:t>
      </w:r>
      <w:r w:rsidRPr="007F6664">
        <w:rPr>
          <w:rFonts w:ascii="Garamond" w:hAnsi="Garamond"/>
          <w:lang w:val="es-VE"/>
        </w:rPr>
        <w:t>.</w:t>
      </w:r>
    </w:p>
  </w:footnote>
  <w:footnote w:id="22">
    <w:p w14:paraId="05753E43" w14:textId="00AFEA24" w:rsidR="005A5233" w:rsidRPr="007F6664" w:rsidRDefault="005A5233">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17 en la página </w:t>
      </w:r>
      <w:r w:rsidR="00926829">
        <w:rPr>
          <w:rFonts w:ascii="Garamond" w:hAnsi="Garamond"/>
          <w:lang w:val="es-VE"/>
        </w:rPr>
        <w:t>87</w:t>
      </w:r>
      <w:r w:rsidRPr="007F6664">
        <w:rPr>
          <w:rFonts w:ascii="Garamond" w:hAnsi="Garamond"/>
          <w:lang w:val="es-VE"/>
        </w:rPr>
        <w:t>.</w:t>
      </w:r>
    </w:p>
  </w:footnote>
  <w:footnote w:id="23">
    <w:p w14:paraId="2A910463" w14:textId="5871C6DA" w:rsidR="00F13D2B" w:rsidRPr="007F6664" w:rsidRDefault="00F13D2B">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En </w:t>
      </w:r>
      <w:hyperlink r:id="rId5" w:history="1">
        <w:r w:rsidRPr="007F6664">
          <w:rPr>
            <w:rStyle w:val="Hipervnculo"/>
            <w:rFonts w:ascii="Garamond" w:hAnsi="Garamond"/>
            <w:lang w:val="es-VE"/>
          </w:rPr>
          <w:t>https://www.bancodevenezuela.com/index.html@p=3517.html</w:t>
        </w:r>
      </w:hyperlink>
      <w:r w:rsidRPr="007F6664">
        <w:rPr>
          <w:rFonts w:ascii="Garamond" w:hAnsi="Garamond"/>
          <w:lang w:val="es-VE"/>
        </w:rPr>
        <w:t xml:space="preserve">. </w:t>
      </w:r>
    </w:p>
  </w:footnote>
  <w:footnote w:id="24">
    <w:p w14:paraId="43FB3C48" w14:textId="55E5D5ED" w:rsidR="00DB239C" w:rsidRPr="007F6664" w:rsidRDefault="00DB239C">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Figura 18 </w:t>
      </w:r>
      <w:r w:rsidRPr="007F6664">
        <w:rPr>
          <w:rFonts w:ascii="Garamond" w:hAnsi="Garamond"/>
          <w:lang w:val="es-VE"/>
        </w:rPr>
        <w:t xml:space="preserve">en la página </w:t>
      </w:r>
      <w:r w:rsidR="00926829">
        <w:rPr>
          <w:rFonts w:ascii="Garamond" w:hAnsi="Garamond"/>
          <w:lang w:val="es-VE"/>
        </w:rPr>
        <w:t>88</w:t>
      </w:r>
      <w:r w:rsidRPr="007F6664">
        <w:rPr>
          <w:rFonts w:ascii="Garamond" w:hAnsi="Garamond"/>
          <w:lang w:val="es-VE"/>
        </w:rPr>
        <w:t>.</w:t>
      </w:r>
    </w:p>
  </w:footnote>
  <w:footnote w:id="25">
    <w:p w14:paraId="6A7DF22E" w14:textId="25666A26" w:rsidR="00F4530C" w:rsidRPr="007F6664" w:rsidRDefault="00F4530C">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En: </w:t>
      </w:r>
      <w:hyperlink r:id="rId6" w:history="1">
        <w:r w:rsidRPr="007F6664">
          <w:rPr>
            <w:rStyle w:val="Hipervnculo"/>
            <w:rFonts w:ascii="Garamond" w:hAnsi="Garamond" w:cs="Arial"/>
            <w:bCs/>
            <w:iCs/>
            <w:lang w:val="es-VE"/>
          </w:rPr>
          <w:t>https://www.r4v.info/es/refugiadosymigrantes</w:t>
        </w:r>
      </w:hyperlink>
      <w:r w:rsidRPr="007F6664">
        <w:rPr>
          <w:rFonts w:ascii="Garamond" w:hAnsi="Garamond"/>
        </w:rPr>
        <w:t>.</w:t>
      </w:r>
    </w:p>
  </w:footnote>
  <w:footnote w:id="26">
    <w:p w14:paraId="296B49D1" w14:textId="77777777" w:rsidR="0085484A" w:rsidRPr="007F6664" w:rsidRDefault="0085484A" w:rsidP="0085484A">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En: </w:t>
      </w:r>
      <w:hyperlink r:id="rId7" w:anchor=":~:text=Vivimos%20en%20un%20pa%C3%ADs%20de,mas%20de%2012.500%20locales%20comerciales" w:history="1">
        <w:r w:rsidRPr="007F6664">
          <w:rPr>
            <w:rStyle w:val="Hipervnculo"/>
            <w:rFonts w:ascii="Garamond" w:hAnsi="Garamond"/>
          </w:rPr>
          <w:t>https://www.depilarte.co/blog-depilarte/franquicias-disponibles-en-venezuela/#:~:text=Vivimos%20en%20un%20pa%C3%ADs%20de,mas%20de%2012.500%20locales%20comerciales</w:t>
        </w:r>
      </w:hyperlink>
      <w:r w:rsidRPr="007F6664">
        <w:rPr>
          <w:rFonts w:ascii="Garamond" w:hAnsi="Garamond"/>
        </w:rPr>
        <w:t>.</w:t>
      </w:r>
    </w:p>
  </w:footnote>
  <w:footnote w:id="27">
    <w:p w14:paraId="13FBA2D5" w14:textId="77777777" w:rsidR="0085484A" w:rsidRPr="007F6664" w:rsidRDefault="0085484A" w:rsidP="0085484A">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En: </w:t>
      </w:r>
      <w:hyperlink r:id="rId8" w:history="1">
        <w:r w:rsidRPr="007F6664">
          <w:rPr>
            <w:rStyle w:val="Hipervnculo"/>
            <w:rFonts w:ascii="Garamond" w:hAnsi="Garamond"/>
          </w:rPr>
          <w:t>https://1library.co/article/desarrollo-de-las-franquicias-a-nivel-mundial.z1d5wwpz</w:t>
        </w:r>
      </w:hyperlink>
      <w:r w:rsidRPr="007F6664">
        <w:rPr>
          <w:rFonts w:ascii="Garamond" w:hAnsi="Garamond"/>
        </w:rPr>
        <w:t>.</w:t>
      </w:r>
    </w:p>
  </w:footnote>
  <w:footnote w:id="28">
    <w:p w14:paraId="37A278EE" w14:textId="77777777" w:rsidR="0085484A" w:rsidRPr="007F6664" w:rsidRDefault="0085484A" w:rsidP="0085484A">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En: </w:t>
      </w:r>
      <w:hyperlink r:id="rId9" w:history="1">
        <w:r w:rsidRPr="007F6664">
          <w:rPr>
            <w:rStyle w:val="Hipervnculo"/>
            <w:rFonts w:ascii="Garamond" w:hAnsi="Garamond"/>
          </w:rPr>
          <w:t>https://1library.co/article/desarrollo-de-las-franquicias-a-nivel-mundial.z1d5wwpz</w:t>
        </w:r>
      </w:hyperlink>
      <w:r w:rsidRPr="007F6664">
        <w:rPr>
          <w:rFonts w:ascii="Garamond" w:hAnsi="Garamond"/>
        </w:rPr>
        <w:t xml:space="preserve">. </w:t>
      </w:r>
    </w:p>
  </w:footnote>
  <w:footnote w:id="29">
    <w:p w14:paraId="6F061B19" w14:textId="77777777" w:rsidR="0085484A" w:rsidRPr="007F6664" w:rsidRDefault="0085484A" w:rsidP="0085484A">
      <w:pPr>
        <w:pStyle w:val="Textonotapie"/>
        <w:rPr>
          <w:rFonts w:ascii="Garamond" w:hAnsi="Garamond"/>
          <w:lang w:val="es-VE"/>
        </w:rPr>
      </w:pPr>
      <w:r w:rsidRPr="007F6664">
        <w:rPr>
          <w:rStyle w:val="Refdenotaalpie"/>
          <w:rFonts w:ascii="Garamond" w:hAnsi="Garamond"/>
        </w:rPr>
        <w:footnoteRef/>
      </w:r>
      <w:r w:rsidRPr="007F6664">
        <w:rPr>
          <w:rFonts w:ascii="Garamond" w:hAnsi="Garamond"/>
        </w:rPr>
        <w:t xml:space="preserve"> </w:t>
      </w:r>
      <w:r w:rsidRPr="007F6664">
        <w:rPr>
          <w:rFonts w:ascii="Garamond" w:hAnsi="Garamond"/>
          <w:lang w:val="es-VE"/>
        </w:rPr>
        <w:t xml:space="preserve">En: </w:t>
      </w:r>
      <w:hyperlink r:id="rId10" w:history="1">
        <w:r w:rsidRPr="007F6664">
          <w:rPr>
            <w:rStyle w:val="Hipervnculo"/>
            <w:rFonts w:ascii="Garamond" w:hAnsi="Garamond"/>
            <w:lang w:val="es-VE"/>
          </w:rPr>
          <w:t>https://www.epdata.es/evolucion-pib-venezuela-fmi/f73e4fdb-2a08-4bf1-b657-a9a87c23f803?accion=1</w:t>
        </w:r>
      </w:hyperlink>
      <w:r w:rsidRPr="007F6664">
        <w:rPr>
          <w:rFonts w:ascii="Garamond" w:hAnsi="Garamond"/>
          <w:lang w:val="es-VE"/>
        </w:rPr>
        <w:t>.</w:t>
      </w:r>
    </w:p>
  </w:footnote>
  <w:footnote w:id="30">
    <w:p w14:paraId="584A89B6" w14:textId="77777777" w:rsidR="0085484A" w:rsidRPr="007F6664" w:rsidRDefault="0085484A" w:rsidP="0085484A">
      <w:pPr>
        <w:pStyle w:val="Textonotapie"/>
        <w:rPr>
          <w:rFonts w:ascii="Garamond" w:hAnsi="Garamond"/>
        </w:rPr>
      </w:pPr>
      <w:r w:rsidRPr="007F6664">
        <w:rPr>
          <w:rStyle w:val="Refdenotaalpie"/>
          <w:rFonts w:ascii="Garamond" w:hAnsi="Garamond"/>
        </w:rPr>
        <w:footnoteRef/>
      </w:r>
      <w:r w:rsidRPr="007F6664">
        <w:rPr>
          <w:rFonts w:ascii="Garamond" w:hAnsi="Garamond"/>
        </w:rPr>
        <w:t xml:space="preserve"> En: </w:t>
      </w:r>
      <w:hyperlink r:id="rId11" w:history="1">
        <w:r w:rsidRPr="007F6664">
          <w:rPr>
            <w:rStyle w:val="Hipervnculo"/>
            <w:rFonts w:ascii="Garamond" w:hAnsi="Garamond"/>
          </w:rPr>
          <w:t>https://www.reuters.com/graphics/VENEZUELA-OIL/EXPORTS/nmovaxqarpa/</w:t>
        </w:r>
      </w:hyperlink>
      <w:r w:rsidRPr="007F6664">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7422" w14:textId="344BF2AB" w:rsidR="00732CA1" w:rsidRDefault="00AE4220" w:rsidP="00AE4220">
    <w:pPr>
      <w:rPr>
        <w:rFonts w:ascii="Garamond" w:eastAsia="Garamond" w:hAnsi="Garamond" w:cs="Garamond"/>
        <w:i/>
        <w:color w:val="000000"/>
        <w:sz w:val="22"/>
        <w:szCs w:val="22"/>
      </w:rPr>
    </w:pPr>
    <w:r w:rsidRPr="00AE4220">
      <w:rPr>
        <w:rFonts w:ascii="Garamond" w:eastAsia="Garamond" w:hAnsi="Garamond" w:cs="Garamond"/>
        <w:i/>
        <w:sz w:val="22"/>
        <w:szCs w:val="22"/>
      </w:rPr>
      <w:t>La tormenta económica atravesada por el negocio de franquicias en Venezuela. Breve referencia histórica (2002-2024)</w:t>
    </w:r>
  </w:p>
  <w:p w14:paraId="6B9A1F8E" w14:textId="77777777" w:rsidR="00732CA1"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74805A49" wp14:editId="7B149FDF">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010E3A55" w14:textId="329927FD" w:rsidR="006957CB" w:rsidRDefault="00AE4220">
    <w:pPr>
      <w:pBdr>
        <w:top w:val="nil"/>
        <w:left w:val="nil"/>
        <w:bottom w:val="nil"/>
        <w:right w:val="nil"/>
        <w:between w:val="nil"/>
      </w:pBdr>
      <w:ind w:right="143"/>
      <w:jc w:val="right"/>
      <w:rPr>
        <w:rFonts w:ascii="Garamond" w:eastAsia="Garamond" w:hAnsi="Garamond" w:cs="Garamond"/>
        <w:smallCaps/>
        <w:sz w:val="20"/>
        <w:szCs w:val="20"/>
      </w:rPr>
    </w:pPr>
    <w:r>
      <w:rPr>
        <w:rFonts w:ascii="Garamond" w:eastAsia="Garamond" w:hAnsi="Garamond" w:cs="Garamond"/>
        <w:smallCaps/>
        <w:sz w:val="20"/>
        <w:szCs w:val="20"/>
      </w:rPr>
      <w:t xml:space="preserve">Roberto </w:t>
    </w:r>
    <w:proofErr w:type="spellStart"/>
    <w:r>
      <w:rPr>
        <w:rFonts w:ascii="Garamond" w:eastAsia="Garamond" w:hAnsi="Garamond" w:cs="Garamond"/>
        <w:smallCaps/>
        <w:sz w:val="20"/>
        <w:szCs w:val="20"/>
      </w:rPr>
      <w:t>Baskin</w:t>
    </w:r>
    <w:proofErr w:type="spellEnd"/>
  </w:p>
  <w:p w14:paraId="39C286A2" w14:textId="77777777" w:rsidR="00680F28" w:rsidRPr="00DF1461" w:rsidRDefault="00680F28">
    <w:pPr>
      <w:pBdr>
        <w:top w:val="nil"/>
        <w:left w:val="nil"/>
        <w:bottom w:val="nil"/>
        <w:right w:val="nil"/>
        <w:between w:val="nil"/>
      </w:pBdr>
      <w:ind w:right="143"/>
      <w:jc w:val="right"/>
      <w:rPr>
        <w:rFonts w:ascii="Garamond" w:eastAsia="Garamond" w:hAnsi="Garamond" w:cs="Garamond"/>
        <w:smallCap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CEA8" w14:textId="453DB593"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sidR="00585F5F">
      <w:rPr>
        <w:rFonts w:ascii="Garamond" w:eastAsia="Garamond" w:hAnsi="Garamond" w:cs="Garamond"/>
        <w:sz w:val="15"/>
        <w:szCs w:val="15"/>
      </w:rPr>
      <w:t>04</w:t>
    </w:r>
    <w:r>
      <w:rPr>
        <w:rFonts w:ascii="Garamond" w:eastAsia="Garamond" w:hAnsi="Garamond" w:cs="Garamond"/>
        <w:color w:val="000000"/>
        <w:sz w:val="15"/>
        <w:szCs w:val="15"/>
      </w:rPr>
      <w:t>/</w:t>
    </w:r>
    <w:r w:rsidR="00585F5F">
      <w:rPr>
        <w:rFonts w:ascii="Garamond" w:eastAsia="Garamond" w:hAnsi="Garamond" w:cs="Garamond"/>
        <w:sz w:val="15"/>
        <w:szCs w:val="15"/>
      </w:rPr>
      <w:t>02</w:t>
    </w:r>
    <w:r>
      <w:rPr>
        <w:rFonts w:ascii="Garamond" w:eastAsia="Garamond" w:hAnsi="Garamond" w:cs="Garamond"/>
        <w:color w:val="000000"/>
        <w:sz w:val="15"/>
        <w:szCs w:val="15"/>
      </w:rPr>
      <w:t>/</w:t>
    </w:r>
    <w:r>
      <w:rPr>
        <w:rFonts w:ascii="Garamond" w:eastAsia="Garamond" w:hAnsi="Garamond" w:cs="Garamond"/>
        <w:sz w:val="15"/>
        <w:szCs w:val="15"/>
      </w:rPr>
      <w:t>202</w:t>
    </w:r>
    <w:r>
      <w:rPr>
        <w:noProof/>
      </w:rPr>
      <w:drawing>
        <wp:anchor distT="0" distB="0" distL="114300" distR="114300" simplePos="0" relativeHeight="251659264" behindDoc="0" locked="0" layoutInCell="1" hidden="0" allowOverlap="1" wp14:anchorId="18255346" wp14:editId="6AF858CD">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8"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5473AF66" wp14:editId="28F845A9">
              <wp:simplePos x="0" y="0"/>
              <wp:positionH relativeFrom="column">
                <wp:posOffset>0</wp:posOffset>
              </wp:positionH>
              <wp:positionV relativeFrom="paragraph">
                <wp:posOffset>0</wp:posOffset>
              </wp:positionV>
              <wp:extent cx="0" cy="339725"/>
              <wp:effectExtent l="0" t="0" r="38100" b="22225"/>
              <wp:wrapNone/>
              <wp:docPr id="2" name="Conector recto de flecha 2"/>
              <wp:cNvGraphicFramePr/>
              <a:graphic xmlns:a="http://schemas.openxmlformats.org/drawingml/2006/main">
                <a:graphicData uri="http://schemas.microsoft.com/office/word/2010/wordprocessingShape">
                  <wps:wsp>
                    <wps:cNvCnPr/>
                    <wps:spPr>
                      <a:xfrm>
                        <a:off x="0" y="0"/>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029A88F1" id="_x0000_t32" coordsize="21600,21600" o:spt="32" o:oned="t" path="m,l21600,21600e" filled="f">
              <v:path arrowok="t" fillok="f" o:connecttype="none"/>
              <o:lock v:ext="edit" shapetype="t"/>
            </v:shapetype>
            <v:shape id="Conector recto de flecha 2" o:spid="_x0000_s1026" type="#_x0000_t32" style="position:absolute;margin-left:0;margin-top:0;width:0;height:26.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" strokecolor="black [3200]">
              <v:stroke joinstyle="miter"/>
            </v:shape>
          </w:pict>
        </mc:Fallback>
      </mc:AlternateContent>
    </w:r>
    <w:r w:rsidR="00585F5F">
      <w:rPr>
        <w:rFonts w:ascii="Garamond" w:eastAsia="Garamond" w:hAnsi="Garamond" w:cs="Garamond"/>
        <w:sz w:val="15"/>
        <w:szCs w:val="15"/>
      </w:rPr>
      <w:t>5</w:t>
    </w:r>
  </w:p>
  <w:p w14:paraId="6515EE2D" w14:textId="7DD57F23"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sidR="00520A33">
      <w:rPr>
        <w:rFonts w:ascii="Garamond" w:eastAsia="Garamond" w:hAnsi="Garamond" w:cs="Garamond"/>
        <w:sz w:val="15"/>
        <w:szCs w:val="15"/>
      </w:rPr>
      <w:t>05</w:t>
    </w:r>
    <w:r>
      <w:rPr>
        <w:rFonts w:ascii="Garamond" w:eastAsia="Garamond" w:hAnsi="Garamond" w:cs="Garamond"/>
        <w:color w:val="000000"/>
        <w:sz w:val="15"/>
        <w:szCs w:val="15"/>
      </w:rPr>
      <w:t>/</w:t>
    </w:r>
    <w:r w:rsidR="00555503">
      <w:rPr>
        <w:rFonts w:ascii="Garamond" w:eastAsia="Garamond" w:hAnsi="Garamond" w:cs="Garamond"/>
        <w:sz w:val="15"/>
        <w:szCs w:val="15"/>
      </w:rPr>
      <w:t>0</w:t>
    </w:r>
    <w:r w:rsidR="00520A33">
      <w:rPr>
        <w:rFonts w:ascii="Garamond" w:eastAsia="Garamond" w:hAnsi="Garamond" w:cs="Garamond"/>
        <w:sz w:val="15"/>
        <w:szCs w:val="15"/>
      </w:rPr>
      <w:t>5</w:t>
    </w:r>
    <w:r>
      <w:rPr>
        <w:rFonts w:ascii="Garamond" w:eastAsia="Garamond" w:hAnsi="Garamond" w:cs="Garamond"/>
        <w:color w:val="000000"/>
        <w:sz w:val="15"/>
        <w:szCs w:val="15"/>
      </w:rPr>
      <w:t>/</w:t>
    </w:r>
    <w:r>
      <w:rPr>
        <w:rFonts w:ascii="Garamond" w:eastAsia="Garamond" w:hAnsi="Garamond" w:cs="Garamond"/>
        <w:sz w:val="15"/>
        <w:szCs w:val="15"/>
      </w:rPr>
      <w:t>202</w:t>
    </w:r>
    <w:r w:rsidR="00555503">
      <w:rPr>
        <w:rFonts w:ascii="Garamond" w:eastAsia="Garamond" w:hAnsi="Garamond" w:cs="Garamond"/>
        <w:sz w:val="15"/>
        <w:szCs w:val="15"/>
      </w:rPr>
      <w:t>5</w:t>
    </w:r>
  </w:p>
  <w:p w14:paraId="155F2AD0" w14:textId="5656AE7D"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sidR="00926829">
      <w:rPr>
        <w:rFonts w:ascii="Garamond" w:eastAsia="Garamond" w:hAnsi="Garamond" w:cs="Garamond"/>
        <w:sz w:val="15"/>
        <w:szCs w:val="15"/>
      </w:rPr>
      <w:t>51</w:t>
    </w:r>
    <w:r w:rsidR="00004EC1">
      <w:rPr>
        <w:rFonts w:ascii="Garamond" w:eastAsia="Garamond" w:hAnsi="Garamond" w:cs="Garamond"/>
        <w:sz w:val="15"/>
        <w:szCs w:val="15"/>
      </w:rPr>
      <w:t>-</w:t>
    </w:r>
    <w:r w:rsidR="00926829">
      <w:rPr>
        <w:rFonts w:ascii="Garamond" w:eastAsia="Garamond" w:hAnsi="Garamond" w:cs="Garamond"/>
        <w:sz w:val="15"/>
        <w:szCs w:val="15"/>
      </w:rPr>
      <w:t>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41F"/>
    <w:multiLevelType w:val="hybridMultilevel"/>
    <w:tmpl w:val="A092B21E"/>
    <w:lvl w:ilvl="0" w:tplc="200A0001">
      <w:start w:val="1"/>
      <w:numFmt w:val="bullet"/>
      <w:lvlText w:val=""/>
      <w:lvlJc w:val="left"/>
      <w:pPr>
        <w:ind w:left="783" w:hanging="360"/>
      </w:pPr>
      <w:rPr>
        <w:rFonts w:ascii="Symbol" w:hAnsi="Symbol" w:hint="default"/>
      </w:rPr>
    </w:lvl>
    <w:lvl w:ilvl="1" w:tplc="200A0003">
      <w:start w:val="1"/>
      <w:numFmt w:val="bullet"/>
      <w:lvlText w:val="o"/>
      <w:lvlJc w:val="left"/>
      <w:pPr>
        <w:ind w:left="1503" w:hanging="360"/>
      </w:pPr>
      <w:rPr>
        <w:rFonts w:ascii="Courier New" w:hAnsi="Courier New" w:cs="Courier New" w:hint="default"/>
      </w:rPr>
    </w:lvl>
    <w:lvl w:ilvl="2" w:tplc="200A0005">
      <w:start w:val="1"/>
      <w:numFmt w:val="bullet"/>
      <w:lvlText w:val=""/>
      <w:lvlJc w:val="left"/>
      <w:pPr>
        <w:ind w:left="2223" w:hanging="360"/>
      </w:pPr>
      <w:rPr>
        <w:rFonts w:ascii="Wingdings" w:hAnsi="Wingdings" w:hint="default"/>
      </w:rPr>
    </w:lvl>
    <w:lvl w:ilvl="3" w:tplc="200A0001">
      <w:start w:val="1"/>
      <w:numFmt w:val="bullet"/>
      <w:lvlText w:val=""/>
      <w:lvlJc w:val="left"/>
      <w:pPr>
        <w:ind w:left="2943" w:hanging="360"/>
      </w:pPr>
      <w:rPr>
        <w:rFonts w:ascii="Symbol" w:hAnsi="Symbol" w:hint="default"/>
      </w:rPr>
    </w:lvl>
    <w:lvl w:ilvl="4" w:tplc="200A0003">
      <w:start w:val="1"/>
      <w:numFmt w:val="bullet"/>
      <w:lvlText w:val="o"/>
      <w:lvlJc w:val="left"/>
      <w:pPr>
        <w:ind w:left="3663" w:hanging="360"/>
      </w:pPr>
      <w:rPr>
        <w:rFonts w:ascii="Courier New" w:hAnsi="Courier New" w:cs="Courier New" w:hint="default"/>
      </w:rPr>
    </w:lvl>
    <w:lvl w:ilvl="5" w:tplc="200A0005">
      <w:start w:val="1"/>
      <w:numFmt w:val="bullet"/>
      <w:lvlText w:val=""/>
      <w:lvlJc w:val="left"/>
      <w:pPr>
        <w:ind w:left="4383" w:hanging="360"/>
      </w:pPr>
      <w:rPr>
        <w:rFonts w:ascii="Wingdings" w:hAnsi="Wingdings" w:hint="default"/>
      </w:rPr>
    </w:lvl>
    <w:lvl w:ilvl="6" w:tplc="200A0001">
      <w:start w:val="1"/>
      <w:numFmt w:val="bullet"/>
      <w:lvlText w:val=""/>
      <w:lvlJc w:val="left"/>
      <w:pPr>
        <w:ind w:left="5103" w:hanging="360"/>
      </w:pPr>
      <w:rPr>
        <w:rFonts w:ascii="Symbol" w:hAnsi="Symbol" w:hint="default"/>
      </w:rPr>
    </w:lvl>
    <w:lvl w:ilvl="7" w:tplc="200A0003">
      <w:start w:val="1"/>
      <w:numFmt w:val="bullet"/>
      <w:lvlText w:val="o"/>
      <w:lvlJc w:val="left"/>
      <w:pPr>
        <w:ind w:left="5823" w:hanging="360"/>
      </w:pPr>
      <w:rPr>
        <w:rFonts w:ascii="Courier New" w:hAnsi="Courier New" w:cs="Courier New" w:hint="default"/>
      </w:rPr>
    </w:lvl>
    <w:lvl w:ilvl="8" w:tplc="200A0005">
      <w:start w:val="1"/>
      <w:numFmt w:val="bullet"/>
      <w:lvlText w:val=""/>
      <w:lvlJc w:val="left"/>
      <w:pPr>
        <w:ind w:left="6543" w:hanging="360"/>
      </w:pPr>
      <w:rPr>
        <w:rFonts w:ascii="Wingdings" w:hAnsi="Wingdings" w:hint="default"/>
      </w:rPr>
    </w:lvl>
  </w:abstractNum>
  <w:abstractNum w:abstractNumId="1" w15:restartNumberingAfterBreak="0">
    <w:nsid w:val="03383841"/>
    <w:multiLevelType w:val="hybridMultilevel"/>
    <w:tmpl w:val="AC08321A"/>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2" w15:restartNumberingAfterBreak="0">
    <w:nsid w:val="038B214C"/>
    <w:multiLevelType w:val="multilevel"/>
    <w:tmpl w:val="24D8F3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06255D"/>
    <w:multiLevelType w:val="multilevel"/>
    <w:tmpl w:val="34F4E0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EC24BE"/>
    <w:multiLevelType w:val="hybridMultilevel"/>
    <w:tmpl w:val="A77CE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926CB9"/>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442FB"/>
    <w:multiLevelType w:val="singleLevel"/>
    <w:tmpl w:val="4E100B98"/>
    <w:lvl w:ilvl="0">
      <w:start w:val="1"/>
      <w:numFmt w:val="bullet"/>
      <w:lvlText w:val=""/>
      <w:lvlJc w:val="left"/>
      <w:pPr>
        <w:tabs>
          <w:tab w:val="num" w:pos="360"/>
        </w:tabs>
        <w:ind w:left="0" w:firstLine="0"/>
      </w:pPr>
      <w:rPr>
        <w:rFonts w:ascii="Wingdings" w:hAnsi="Wingdings" w:hint="default"/>
      </w:rPr>
    </w:lvl>
  </w:abstractNum>
  <w:abstractNum w:abstractNumId="7" w15:restartNumberingAfterBreak="0">
    <w:nsid w:val="11E40FF7"/>
    <w:multiLevelType w:val="hybridMultilevel"/>
    <w:tmpl w:val="4D064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5455D3"/>
    <w:multiLevelType w:val="hybridMultilevel"/>
    <w:tmpl w:val="95E61F5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9" w15:restartNumberingAfterBreak="0">
    <w:nsid w:val="1872153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C1624DE"/>
    <w:multiLevelType w:val="hybridMultilevel"/>
    <w:tmpl w:val="07A6CB4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1" w15:restartNumberingAfterBreak="0">
    <w:nsid w:val="2131168E"/>
    <w:multiLevelType w:val="hybridMultilevel"/>
    <w:tmpl w:val="DAEAD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7C56FD0"/>
    <w:multiLevelType w:val="hybridMultilevel"/>
    <w:tmpl w:val="7DE8B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8980151"/>
    <w:multiLevelType w:val="hybridMultilevel"/>
    <w:tmpl w:val="7444E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F522305"/>
    <w:multiLevelType w:val="multilevel"/>
    <w:tmpl w:val="CB2E45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3125E2"/>
    <w:multiLevelType w:val="singleLevel"/>
    <w:tmpl w:val="4E100B98"/>
    <w:lvl w:ilvl="0">
      <w:start w:val="1"/>
      <w:numFmt w:val="bullet"/>
      <w:lvlText w:val=""/>
      <w:lvlJc w:val="left"/>
      <w:pPr>
        <w:tabs>
          <w:tab w:val="num" w:pos="360"/>
        </w:tabs>
        <w:ind w:left="0" w:firstLine="0"/>
      </w:pPr>
      <w:rPr>
        <w:rFonts w:ascii="Wingdings" w:hAnsi="Wingdings" w:hint="default"/>
      </w:rPr>
    </w:lvl>
  </w:abstractNum>
  <w:abstractNum w:abstractNumId="16" w15:restartNumberingAfterBreak="0">
    <w:nsid w:val="33BB4AF6"/>
    <w:multiLevelType w:val="multilevel"/>
    <w:tmpl w:val="115C4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001048"/>
    <w:multiLevelType w:val="multilevel"/>
    <w:tmpl w:val="A8AEB3C0"/>
    <w:lvl w:ilvl="0">
      <w:start w:val="2"/>
      <w:numFmt w:val="decimal"/>
      <w:lvlText w:val="%1"/>
      <w:lvlJc w:val="left"/>
      <w:pPr>
        <w:ind w:left="480" w:hanging="480"/>
      </w:pPr>
      <w:rPr>
        <w:rFonts w:hint="default"/>
      </w:rPr>
    </w:lvl>
    <w:lvl w:ilvl="1">
      <w:start w:val="2"/>
      <w:numFmt w:val="decimal"/>
      <w:lvlText w:val="%2.4."/>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C501B4A"/>
    <w:multiLevelType w:val="multilevel"/>
    <w:tmpl w:val="F83E079C"/>
    <w:lvl w:ilvl="0">
      <w:start w:val="2"/>
      <w:numFmt w:val="decimal"/>
      <w:lvlText w:val="%1"/>
      <w:lvlJc w:val="left"/>
      <w:pPr>
        <w:ind w:left="480" w:hanging="480"/>
      </w:pPr>
      <w:rPr>
        <w:rFonts w:hint="default"/>
      </w:rPr>
    </w:lvl>
    <w:lvl w:ilvl="1">
      <w:start w:val="2"/>
      <w:numFmt w:val="decimal"/>
      <w:lvlText w:val="%2.5."/>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EC25AFB"/>
    <w:multiLevelType w:val="multilevel"/>
    <w:tmpl w:val="4A4CC1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E13E7"/>
    <w:multiLevelType w:val="multilevel"/>
    <w:tmpl w:val="50486D0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F501978"/>
    <w:multiLevelType w:val="hybridMultilevel"/>
    <w:tmpl w:val="BA4A4A70"/>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2" w15:restartNumberingAfterBreak="0">
    <w:nsid w:val="40302BDC"/>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5BD35A2"/>
    <w:multiLevelType w:val="hybridMultilevel"/>
    <w:tmpl w:val="975626F2"/>
    <w:lvl w:ilvl="0" w:tplc="200A0001">
      <w:start w:val="1"/>
      <w:numFmt w:val="bullet"/>
      <w:lvlText w:val=""/>
      <w:lvlJc w:val="left"/>
      <w:pPr>
        <w:ind w:left="1004" w:hanging="360"/>
      </w:pPr>
      <w:rPr>
        <w:rFonts w:ascii="Symbol" w:hAnsi="Symbol" w:hint="default"/>
      </w:rPr>
    </w:lvl>
    <w:lvl w:ilvl="1" w:tplc="200A0003" w:tentative="1">
      <w:start w:val="1"/>
      <w:numFmt w:val="bullet"/>
      <w:lvlText w:val="o"/>
      <w:lvlJc w:val="left"/>
      <w:pPr>
        <w:ind w:left="1724" w:hanging="360"/>
      </w:pPr>
      <w:rPr>
        <w:rFonts w:ascii="Courier New" w:hAnsi="Courier New" w:cs="Courier New" w:hint="default"/>
      </w:rPr>
    </w:lvl>
    <w:lvl w:ilvl="2" w:tplc="200A0005" w:tentative="1">
      <w:start w:val="1"/>
      <w:numFmt w:val="bullet"/>
      <w:lvlText w:val=""/>
      <w:lvlJc w:val="left"/>
      <w:pPr>
        <w:ind w:left="2444" w:hanging="360"/>
      </w:pPr>
      <w:rPr>
        <w:rFonts w:ascii="Wingdings" w:hAnsi="Wingdings" w:hint="default"/>
      </w:rPr>
    </w:lvl>
    <w:lvl w:ilvl="3" w:tplc="200A0001" w:tentative="1">
      <w:start w:val="1"/>
      <w:numFmt w:val="bullet"/>
      <w:lvlText w:val=""/>
      <w:lvlJc w:val="left"/>
      <w:pPr>
        <w:ind w:left="3164" w:hanging="360"/>
      </w:pPr>
      <w:rPr>
        <w:rFonts w:ascii="Symbol" w:hAnsi="Symbol" w:hint="default"/>
      </w:rPr>
    </w:lvl>
    <w:lvl w:ilvl="4" w:tplc="200A0003" w:tentative="1">
      <w:start w:val="1"/>
      <w:numFmt w:val="bullet"/>
      <w:lvlText w:val="o"/>
      <w:lvlJc w:val="left"/>
      <w:pPr>
        <w:ind w:left="3884" w:hanging="360"/>
      </w:pPr>
      <w:rPr>
        <w:rFonts w:ascii="Courier New" w:hAnsi="Courier New" w:cs="Courier New" w:hint="default"/>
      </w:rPr>
    </w:lvl>
    <w:lvl w:ilvl="5" w:tplc="200A0005" w:tentative="1">
      <w:start w:val="1"/>
      <w:numFmt w:val="bullet"/>
      <w:lvlText w:val=""/>
      <w:lvlJc w:val="left"/>
      <w:pPr>
        <w:ind w:left="4604" w:hanging="360"/>
      </w:pPr>
      <w:rPr>
        <w:rFonts w:ascii="Wingdings" w:hAnsi="Wingdings" w:hint="default"/>
      </w:rPr>
    </w:lvl>
    <w:lvl w:ilvl="6" w:tplc="200A0001" w:tentative="1">
      <w:start w:val="1"/>
      <w:numFmt w:val="bullet"/>
      <w:lvlText w:val=""/>
      <w:lvlJc w:val="left"/>
      <w:pPr>
        <w:ind w:left="5324" w:hanging="360"/>
      </w:pPr>
      <w:rPr>
        <w:rFonts w:ascii="Symbol" w:hAnsi="Symbol" w:hint="default"/>
      </w:rPr>
    </w:lvl>
    <w:lvl w:ilvl="7" w:tplc="200A0003" w:tentative="1">
      <w:start w:val="1"/>
      <w:numFmt w:val="bullet"/>
      <w:lvlText w:val="o"/>
      <w:lvlJc w:val="left"/>
      <w:pPr>
        <w:ind w:left="6044" w:hanging="360"/>
      </w:pPr>
      <w:rPr>
        <w:rFonts w:ascii="Courier New" w:hAnsi="Courier New" w:cs="Courier New" w:hint="default"/>
      </w:rPr>
    </w:lvl>
    <w:lvl w:ilvl="8" w:tplc="200A0005" w:tentative="1">
      <w:start w:val="1"/>
      <w:numFmt w:val="bullet"/>
      <w:lvlText w:val=""/>
      <w:lvlJc w:val="left"/>
      <w:pPr>
        <w:ind w:left="6764" w:hanging="360"/>
      </w:pPr>
      <w:rPr>
        <w:rFonts w:ascii="Wingdings" w:hAnsi="Wingdings" w:hint="default"/>
      </w:rPr>
    </w:lvl>
  </w:abstractNum>
  <w:abstractNum w:abstractNumId="24" w15:restartNumberingAfterBreak="0">
    <w:nsid w:val="484003F3"/>
    <w:multiLevelType w:val="hybridMultilevel"/>
    <w:tmpl w:val="648CCCF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5" w15:restartNumberingAfterBreak="0">
    <w:nsid w:val="4858233C"/>
    <w:multiLevelType w:val="multilevel"/>
    <w:tmpl w:val="CB2E45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9E75906"/>
    <w:multiLevelType w:val="singleLevel"/>
    <w:tmpl w:val="4E100B98"/>
    <w:lvl w:ilvl="0">
      <w:start w:val="1"/>
      <w:numFmt w:val="bullet"/>
      <w:lvlText w:val=""/>
      <w:lvlJc w:val="left"/>
      <w:pPr>
        <w:tabs>
          <w:tab w:val="num" w:pos="360"/>
        </w:tabs>
        <w:ind w:left="0" w:firstLine="0"/>
      </w:pPr>
      <w:rPr>
        <w:rFonts w:ascii="Wingdings" w:hAnsi="Wingdings" w:hint="default"/>
      </w:rPr>
    </w:lvl>
  </w:abstractNum>
  <w:abstractNum w:abstractNumId="27" w15:restartNumberingAfterBreak="0">
    <w:nsid w:val="4AE274A3"/>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345BDC"/>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CE209E"/>
    <w:multiLevelType w:val="hybridMultilevel"/>
    <w:tmpl w:val="E6C47A7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0" w15:restartNumberingAfterBreak="0">
    <w:nsid w:val="52E15766"/>
    <w:multiLevelType w:val="hybridMultilevel"/>
    <w:tmpl w:val="438825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5CA69ED"/>
    <w:multiLevelType w:val="hybridMultilevel"/>
    <w:tmpl w:val="ED7C6DC8"/>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2" w15:restartNumberingAfterBreak="0">
    <w:nsid w:val="592F1FEB"/>
    <w:multiLevelType w:val="multilevel"/>
    <w:tmpl w:val="A8AEB3C0"/>
    <w:lvl w:ilvl="0">
      <w:start w:val="2"/>
      <w:numFmt w:val="decimal"/>
      <w:lvlText w:val="%1"/>
      <w:lvlJc w:val="left"/>
      <w:pPr>
        <w:ind w:left="480" w:hanging="480"/>
      </w:pPr>
      <w:rPr>
        <w:rFonts w:hint="default"/>
      </w:rPr>
    </w:lvl>
    <w:lvl w:ilvl="1">
      <w:start w:val="2"/>
      <w:numFmt w:val="decimal"/>
      <w:lvlText w:val="%2.4."/>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A1D5DCE"/>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DB243A6"/>
    <w:multiLevelType w:val="multilevel"/>
    <w:tmpl w:val="E856BE7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DB94B1F"/>
    <w:multiLevelType w:val="multilevel"/>
    <w:tmpl w:val="6E5E63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EA94D19"/>
    <w:multiLevelType w:val="hybridMultilevel"/>
    <w:tmpl w:val="01C6445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7" w15:restartNumberingAfterBreak="0">
    <w:nsid w:val="608B0A0D"/>
    <w:multiLevelType w:val="singleLevel"/>
    <w:tmpl w:val="4E100B98"/>
    <w:lvl w:ilvl="0">
      <w:start w:val="1"/>
      <w:numFmt w:val="bullet"/>
      <w:lvlText w:val=""/>
      <w:lvlJc w:val="left"/>
      <w:pPr>
        <w:tabs>
          <w:tab w:val="num" w:pos="360"/>
        </w:tabs>
        <w:ind w:left="0" w:firstLine="0"/>
      </w:pPr>
      <w:rPr>
        <w:rFonts w:ascii="Wingdings" w:hAnsi="Wingdings" w:hint="default"/>
      </w:rPr>
    </w:lvl>
  </w:abstractNum>
  <w:abstractNum w:abstractNumId="38" w15:restartNumberingAfterBreak="0">
    <w:nsid w:val="62C91374"/>
    <w:multiLevelType w:val="hybridMultilevel"/>
    <w:tmpl w:val="DCCC0CB6"/>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start w:val="1"/>
      <w:numFmt w:val="lowerRoman"/>
      <w:lvlText w:val="%3."/>
      <w:lvlJc w:val="right"/>
      <w:pPr>
        <w:ind w:left="2160" w:hanging="180"/>
      </w:pPr>
    </w:lvl>
    <w:lvl w:ilvl="3" w:tplc="200A000F">
      <w:start w:val="1"/>
      <w:numFmt w:val="decimal"/>
      <w:lvlText w:val="%4."/>
      <w:lvlJc w:val="left"/>
      <w:pPr>
        <w:ind w:left="2880" w:hanging="360"/>
      </w:pPr>
    </w:lvl>
    <w:lvl w:ilvl="4" w:tplc="200A0019">
      <w:start w:val="1"/>
      <w:numFmt w:val="lowerLetter"/>
      <w:lvlText w:val="%5."/>
      <w:lvlJc w:val="left"/>
      <w:pPr>
        <w:ind w:left="3600" w:hanging="360"/>
      </w:pPr>
    </w:lvl>
    <w:lvl w:ilvl="5" w:tplc="200A001B">
      <w:start w:val="1"/>
      <w:numFmt w:val="lowerRoman"/>
      <w:lvlText w:val="%6."/>
      <w:lvlJc w:val="right"/>
      <w:pPr>
        <w:ind w:left="4320" w:hanging="180"/>
      </w:pPr>
    </w:lvl>
    <w:lvl w:ilvl="6" w:tplc="200A000F">
      <w:start w:val="1"/>
      <w:numFmt w:val="decimal"/>
      <w:lvlText w:val="%7."/>
      <w:lvlJc w:val="left"/>
      <w:pPr>
        <w:ind w:left="5040" w:hanging="360"/>
      </w:pPr>
    </w:lvl>
    <w:lvl w:ilvl="7" w:tplc="200A0019">
      <w:start w:val="1"/>
      <w:numFmt w:val="lowerLetter"/>
      <w:lvlText w:val="%8."/>
      <w:lvlJc w:val="left"/>
      <w:pPr>
        <w:ind w:left="5760" w:hanging="360"/>
      </w:pPr>
    </w:lvl>
    <w:lvl w:ilvl="8" w:tplc="200A001B">
      <w:start w:val="1"/>
      <w:numFmt w:val="lowerRoman"/>
      <w:lvlText w:val="%9."/>
      <w:lvlJc w:val="right"/>
      <w:pPr>
        <w:ind w:left="6480" w:hanging="180"/>
      </w:pPr>
    </w:lvl>
  </w:abstractNum>
  <w:abstractNum w:abstractNumId="39" w15:restartNumberingAfterBreak="0">
    <w:nsid w:val="6DF2285E"/>
    <w:multiLevelType w:val="hybridMultilevel"/>
    <w:tmpl w:val="A5ECE6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216CE4"/>
    <w:multiLevelType w:val="multilevel"/>
    <w:tmpl w:val="114E5A18"/>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3.3.1."/>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778039E"/>
    <w:multiLevelType w:val="multilevel"/>
    <w:tmpl w:val="5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A096E36"/>
    <w:multiLevelType w:val="multilevel"/>
    <w:tmpl w:val="9EF6BC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C755B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E294497"/>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FF07B4F"/>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0143245">
    <w:abstractNumId w:val="10"/>
  </w:num>
  <w:num w:numId="2" w16cid:durableId="725180605">
    <w:abstractNumId w:val="16"/>
  </w:num>
  <w:num w:numId="3" w16cid:durableId="1541745680">
    <w:abstractNumId w:val="1"/>
  </w:num>
  <w:num w:numId="4" w16cid:durableId="1516386965">
    <w:abstractNumId w:val="29"/>
  </w:num>
  <w:num w:numId="5" w16cid:durableId="1631667830">
    <w:abstractNumId w:val="8"/>
  </w:num>
  <w:num w:numId="6" w16cid:durableId="1605528699">
    <w:abstractNumId w:val="31"/>
  </w:num>
  <w:num w:numId="7" w16cid:durableId="13754993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8681091">
    <w:abstractNumId w:val="33"/>
  </w:num>
  <w:num w:numId="9" w16cid:durableId="1113206688">
    <w:abstractNumId w:val="28"/>
  </w:num>
  <w:num w:numId="10" w16cid:durableId="743719577">
    <w:abstractNumId w:val="44"/>
  </w:num>
  <w:num w:numId="11" w16cid:durableId="302006804">
    <w:abstractNumId w:val="45"/>
  </w:num>
  <w:num w:numId="12" w16cid:durableId="824590457">
    <w:abstractNumId w:val="22"/>
  </w:num>
  <w:num w:numId="13" w16cid:durableId="487133759">
    <w:abstractNumId w:val="27"/>
  </w:num>
  <w:num w:numId="14" w16cid:durableId="1048189806">
    <w:abstractNumId w:val="3"/>
  </w:num>
  <w:num w:numId="15" w16cid:durableId="120612349">
    <w:abstractNumId w:val="5"/>
  </w:num>
  <w:num w:numId="16" w16cid:durableId="1396469785">
    <w:abstractNumId w:val="41"/>
  </w:num>
  <w:num w:numId="17" w16cid:durableId="976841420">
    <w:abstractNumId w:val="21"/>
  </w:num>
  <w:num w:numId="18" w16cid:durableId="2121219141">
    <w:abstractNumId w:val="14"/>
  </w:num>
  <w:num w:numId="19" w16cid:durableId="1011221232">
    <w:abstractNumId w:val="25"/>
  </w:num>
  <w:num w:numId="20" w16cid:durableId="1006597475">
    <w:abstractNumId w:val="20"/>
  </w:num>
  <w:num w:numId="21" w16cid:durableId="594284193">
    <w:abstractNumId w:val="34"/>
  </w:num>
  <w:num w:numId="22" w16cid:durableId="1162819658">
    <w:abstractNumId w:val="40"/>
  </w:num>
  <w:num w:numId="23" w16cid:durableId="956109116">
    <w:abstractNumId w:val="32"/>
  </w:num>
  <w:num w:numId="24" w16cid:durableId="1373379215">
    <w:abstractNumId w:val="17"/>
  </w:num>
  <w:num w:numId="25" w16cid:durableId="791486495">
    <w:abstractNumId w:val="18"/>
  </w:num>
  <w:num w:numId="26" w16cid:durableId="1379937138">
    <w:abstractNumId w:val="0"/>
  </w:num>
  <w:num w:numId="27" w16cid:durableId="329139520">
    <w:abstractNumId w:val="36"/>
  </w:num>
  <w:num w:numId="28" w16cid:durableId="995648801">
    <w:abstractNumId w:val="15"/>
  </w:num>
  <w:num w:numId="29" w16cid:durableId="1929997312">
    <w:abstractNumId w:val="6"/>
  </w:num>
  <w:num w:numId="30" w16cid:durableId="17196968">
    <w:abstractNumId w:val="37"/>
  </w:num>
  <w:num w:numId="31" w16cid:durableId="1738236867">
    <w:abstractNumId w:val="26"/>
  </w:num>
  <w:num w:numId="32" w16cid:durableId="46493408">
    <w:abstractNumId w:val="11"/>
  </w:num>
  <w:num w:numId="33" w16cid:durableId="1599682288">
    <w:abstractNumId w:val="12"/>
  </w:num>
  <w:num w:numId="34" w16cid:durableId="1507749256">
    <w:abstractNumId w:val="39"/>
  </w:num>
  <w:num w:numId="35" w16cid:durableId="1002708561">
    <w:abstractNumId w:val="30"/>
  </w:num>
  <w:num w:numId="36" w16cid:durableId="1265116954">
    <w:abstractNumId w:val="7"/>
  </w:num>
  <w:num w:numId="37" w16cid:durableId="1361588036">
    <w:abstractNumId w:val="13"/>
  </w:num>
  <w:num w:numId="38" w16cid:durableId="302321081">
    <w:abstractNumId w:val="43"/>
  </w:num>
  <w:num w:numId="39" w16cid:durableId="503782869">
    <w:abstractNumId w:val="9"/>
  </w:num>
  <w:num w:numId="40" w16cid:durableId="618805916">
    <w:abstractNumId w:val="19"/>
  </w:num>
  <w:num w:numId="41" w16cid:durableId="568999433">
    <w:abstractNumId w:val="42"/>
  </w:num>
  <w:num w:numId="42" w16cid:durableId="467357476">
    <w:abstractNumId w:val="35"/>
  </w:num>
  <w:num w:numId="43" w16cid:durableId="1301380257">
    <w:abstractNumId w:val="2"/>
  </w:num>
  <w:num w:numId="44" w16cid:durableId="2092312731">
    <w:abstractNumId w:val="4"/>
  </w:num>
  <w:num w:numId="45" w16cid:durableId="2091387928">
    <w:abstractNumId w:val="24"/>
  </w:num>
  <w:num w:numId="46" w16cid:durableId="3462500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CA1"/>
    <w:rsid w:val="00004EC1"/>
    <w:rsid w:val="00026DC2"/>
    <w:rsid w:val="0003165F"/>
    <w:rsid w:val="0003342F"/>
    <w:rsid w:val="0003682A"/>
    <w:rsid w:val="00043306"/>
    <w:rsid w:val="00045A99"/>
    <w:rsid w:val="0004714E"/>
    <w:rsid w:val="000638C8"/>
    <w:rsid w:val="00072F83"/>
    <w:rsid w:val="000A13E8"/>
    <w:rsid w:val="000B7CC8"/>
    <w:rsid w:val="000C3D35"/>
    <w:rsid w:val="000D1CF0"/>
    <w:rsid w:val="000D25FF"/>
    <w:rsid w:val="000E016F"/>
    <w:rsid w:val="000E1086"/>
    <w:rsid w:val="000E71C9"/>
    <w:rsid w:val="000F2D35"/>
    <w:rsid w:val="000F7D51"/>
    <w:rsid w:val="00113BAF"/>
    <w:rsid w:val="00122BAE"/>
    <w:rsid w:val="0012709B"/>
    <w:rsid w:val="00127391"/>
    <w:rsid w:val="00143AD3"/>
    <w:rsid w:val="00146368"/>
    <w:rsid w:val="00151BB7"/>
    <w:rsid w:val="00165813"/>
    <w:rsid w:val="00171F0B"/>
    <w:rsid w:val="00177505"/>
    <w:rsid w:val="0018062D"/>
    <w:rsid w:val="001A1BD5"/>
    <w:rsid w:val="001A37A3"/>
    <w:rsid w:val="001A57CB"/>
    <w:rsid w:val="001A6368"/>
    <w:rsid w:val="001B5C73"/>
    <w:rsid w:val="001C57A3"/>
    <w:rsid w:val="001C5B86"/>
    <w:rsid w:val="001E037C"/>
    <w:rsid w:val="001F0BD8"/>
    <w:rsid w:val="00200B7D"/>
    <w:rsid w:val="00202A9A"/>
    <w:rsid w:val="00204EB7"/>
    <w:rsid w:val="002125D0"/>
    <w:rsid w:val="002236E2"/>
    <w:rsid w:val="00224BAA"/>
    <w:rsid w:val="002278CD"/>
    <w:rsid w:val="00243980"/>
    <w:rsid w:val="002546CC"/>
    <w:rsid w:val="00254E14"/>
    <w:rsid w:val="00256606"/>
    <w:rsid w:val="00270F85"/>
    <w:rsid w:val="00275F67"/>
    <w:rsid w:val="0027670A"/>
    <w:rsid w:val="0028387A"/>
    <w:rsid w:val="00287F43"/>
    <w:rsid w:val="002A0394"/>
    <w:rsid w:val="002A0783"/>
    <w:rsid w:val="002A48A2"/>
    <w:rsid w:val="002B3BEB"/>
    <w:rsid w:val="002C087A"/>
    <w:rsid w:val="002C1B6C"/>
    <w:rsid w:val="002C3EE0"/>
    <w:rsid w:val="002D550A"/>
    <w:rsid w:val="002E5971"/>
    <w:rsid w:val="00303523"/>
    <w:rsid w:val="00303EEF"/>
    <w:rsid w:val="00314AAA"/>
    <w:rsid w:val="00315826"/>
    <w:rsid w:val="003274B6"/>
    <w:rsid w:val="00334510"/>
    <w:rsid w:val="00334E6B"/>
    <w:rsid w:val="00340BB1"/>
    <w:rsid w:val="00361513"/>
    <w:rsid w:val="00395297"/>
    <w:rsid w:val="003A1E58"/>
    <w:rsid w:val="003A52DB"/>
    <w:rsid w:val="003D0460"/>
    <w:rsid w:val="003D489E"/>
    <w:rsid w:val="003E19EB"/>
    <w:rsid w:val="003F045E"/>
    <w:rsid w:val="004055C0"/>
    <w:rsid w:val="00410BA2"/>
    <w:rsid w:val="004251E1"/>
    <w:rsid w:val="00434070"/>
    <w:rsid w:val="00441B19"/>
    <w:rsid w:val="00441C8F"/>
    <w:rsid w:val="004547AD"/>
    <w:rsid w:val="00474F64"/>
    <w:rsid w:val="00484660"/>
    <w:rsid w:val="0048534D"/>
    <w:rsid w:val="004930BF"/>
    <w:rsid w:val="004B1841"/>
    <w:rsid w:val="004B47B2"/>
    <w:rsid w:val="004D199A"/>
    <w:rsid w:val="004D56EE"/>
    <w:rsid w:val="004E0176"/>
    <w:rsid w:val="004F4207"/>
    <w:rsid w:val="00506F74"/>
    <w:rsid w:val="005169C1"/>
    <w:rsid w:val="0051703B"/>
    <w:rsid w:val="005178C2"/>
    <w:rsid w:val="00520A33"/>
    <w:rsid w:val="00526EC0"/>
    <w:rsid w:val="00533B50"/>
    <w:rsid w:val="005414FC"/>
    <w:rsid w:val="0054382B"/>
    <w:rsid w:val="00543F3E"/>
    <w:rsid w:val="005552FD"/>
    <w:rsid w:val="00555503"/>
    <w:rsid w:val="00563C82"/>
    <w:rsid w:val="00585F5F"/>
    <w:rsid w:val="00593727"/>
    <w:rsid w:val="005A0F88"/>
    <w:rsid w:val="005A3911"/>
    <w:rsid w:val="005A5233"/>
    <w:rsid w:val="005B2CC0"/>
    <w:rsid w:val="005B7232"/>
    <w:rsid w:val="005C2592"/>
    <w:rsid w:val="005D2C0E"/>
    <w:rsid w:val="005E124D"/>
    <w:rsid w:val="005F6761"/>
    <w:rsid w:val="00603CC9"/>
    <w:rsid w:val="00627D07"/>
    <w:rsid w:val="006300F0"/>
    <w:rsid w:val="006420D1"/>
    <w:rsid w:val="00643DF4"/>
    <w:rsid w:val="006543AC"/>
    <w:rsid w:val="00654B8D"/>
    <w:rsid w:val="00654E7D"/>
    <w:rsid w:val="00663CA1"/>
    <w:rsid w:val="00666BDF"/>
    <w:rsid w:val="00667773"/>
    <w:rsid w:val="00667BB3"/>
    <w:rsid w:val="00672C5A"/>
    <w:rsid w:val="00673E76"/>
    <w:rsid w:val="00680F28"/>
    <w:rsid w:val="0068165C"/>
    <w:rsid w:val="006927FC"/>
    <w:rsid w:val="006957CB"/>
    <w:rsid w:val="00697EAA"/>
    <w:rsid w:val="006A6A9B"/>
    <w:rsid w:val="006D790A"/>
    <w:rsid w:val="006E0BE1"/>
    <w:rsid w:val="006F1CD1"/>
    <w:rsid w:val="006F2E22"/>
    <w:rsid w:val="006F4B5C"/>
    <w:rsid w:val="00701286"/>
    <w:rsid w:val="00702DDC"/>
    <w:rsid w:val="0070320F"/>
    <w:rsid w:val="00705813"/>
    <w:rsid w:val="007136FF"/>
    <w:rsid w:val="0071769C"/>
    <w:rsid w:val="00724124"/>
    <w:rsid w:val="00732CA1"/>
    <w:rsid w:val="007410E3"/>
    <w:rsid w:val="0076320D"/>
    <w:rsid w:val="007632CB"/>
    <w:rsid w:val="007633C3"/>
    <w:rsid w:val="0077419A"/>
    <w:rsid w:val="007756A0"/>
    <w:rsid w:val="00782064"/>
    <w:rsid w:val="007843B2"/>
    <w:rsid w:val="00784A6B"/>
    <w:rsid w:val="00785D43"/>
    <w:rsid w:val="007B2633"/>
    <w:rsid w:val="007B54C1"/>
    <w:rsid w:val="007E4EA8"/>
    <w:rsid w:val="007E647C"/>
    <w:rsid w:val="007E66B8"/>
    <w:rsid w:val="007F25DC"/>
    <w:rsid w:val="007F2727"/>
    <w:rsid w:val="007F6664"/>
    <w:rsid w:val="0081006D"/>
    <w:rsid w:val="0081733B"/>
    <w:rsid w:val="00824BCE"/>
    <w:rsid w:val="008440EC"/>
    <w:rsid w:val="0085484A"/>
    <w:rsid w:val="00861A87"/>
    <w:rsid w:val="008831CA"/>
    <w:rsid w:val="008A43D5"/>
    <w:rsid w:val="008C4D0E"/>
    <w:rsid w:val="008D0D80"/>
    <w:rsid w:val="008D7A5C"/>
    <w:rsid w:val="008E511B"/>
    <w:rsid w:val="008E6179"/>
    <w:rsid w:val="008F1516"/>
    <w:rsid w:val="00904242"/>
    <w:rsid w:val="00906049"/>
    <w:rsid w:val="0091029E"/>
    <w:rsid w:val="0091147C"/>
    <w:rsid w:val="00912810"/>
    <w:rsid w:val="00926829"/>
    <w:rsid w:val="00937B4B"/>
    <w:rsid w:val="00941180"/>
    <w:rsid w:val="009464F1"/>
    <w:rsid w:val="00951C4D"/>
    <w:rsid w:val="00957BFA"/>
    <w:rsid w:val="009625FC"/>
    <w:rsid w:val="0097493B"/>
    <w:rsid w:val="00986891"/>
    <w:rsid w:val="00992F4C"/>
    <w:rsid w:val="009A78F1"/>
    <w:rsid w:val="009B3753"/>
    <w:rsid w:val="009B53B8"/>
    <w:rsid w:val="009B6324"/>
    <w:rsid w:val="009C7F36"/>
    <w:rsid w:val="009D31AD"/>
    <w:rsid w:val="009E385B"/>
    <w:rsid w:val="009E5924"/>
    <w:rsid w:val="009F1F7C"/>
    <w:rsid w:val="00A13B41"/>
    <w:rsid w:val="00A21B7B"/>
    <w:rsid w:val="00A25511"/>
    <w:rsid w:val="00A37F08"/>
    <w:rsid w:val="00A40D16"/>
    <w:rsid w:val="00A437A5"/>
    <w:rsid w:val="00A45415"/>
    <w:rsid w:val="00A5091C"/>
    <w:rsid w:val="00A53473"/>
    <w:rsid w:val="00A660A7"/>
    <w:rsid w:val="00A66D01"/>
    <w:rsid w:val="00A70D5A"/>
    <w:rsid w:val="00AA1D6D"/>
    <w:rsid w:val="00AA4E3C"/>
    <w:rsid w:val="00AA5161"/>
    <w:rsid w:val="00AB05F1"/>
    <w:rsid w:val="00AB6C33"/>
    <w:rsid w:val="00AC6A84"/>
    <w:rsid w:val="00AD7A20"/>
    <w:rsid w:val="00AE4220"/>
    <w:rsid w:val="00AE442E"/>
    <w:rsid w:val="00AE709B"/>
    <w:rsid w:val="00AF47E5"/>
    <w:rsid w:val="00B04A2F"/>
    <w:rsid w:val="00B1095B"/>
    <w:rsid w:val="00B11162"/>
    <w:rsid w:val="00B11B3A"/>
    <w:rsid w:val="00B1402A"/>
    <w:rsid w:val="00B14322"/>
    <w:rsid w:val="00B20035"/>
    <w:rsid w:val="00B26D6B"/>
    <w:rsid w:val="00B4397D"/>
    <w:rsid w:val="00B53F76"/>
    <w:rsid w:val="00B54523"/>
    <w:rsid w:val="00B55EB4"/>
    <w:rsid w:val="00B5728E"/>
    <w:rsid w:val="00B62E8E"/>
    <w:rsid w:val="00B63E8B"/>
    <w:rsid w:val="00B770F7"/>
    <w:rsid w:val="00B81604"/>
    <w:rsid w:val="00B92872"/>
    <w:rsid w:val="00BB0D86"/>
    <w:rsid w:val="00BB3123"/>
    <w:rsid w:val="00BC1C0F"/>
    <w:rsid w:val="00BC23E7"/>
    <w:rsid w:val="00BC27E0"/>
    <w:rsid w:val="00BC3DF0"/>
    <w:rsid w:val="00BF0334"/>
    <w:rsid w:val="00C1382D"/>
    <w:rsid w:val="00C146D0"/>
    <w:rsid w:val="00C20CBB"/>
    <w:rsid w:val="00C22EA7"/>
    <w:rsid w:val="00C24454"/>
    <w:rsid w:val="00C67227"/>
    <w:rsid w:val="00C761C9"/>
    <w:rsid w:val="00C84B8D"/>
    <w:rsid w:val="00C857AD"/>
    <w:rsid w:val="00C85968"/>
    <w:rsid w:val="00C91946"/>
    <w:rsid w:val="00C92FA3"/>
    <w:rsid w:val="00C96710"/>
    <w:rsid w:val="00CA4F99"/>
    <w:rsid w:val="00CA6E4E"/>
    <w:rsid w:val="00CB573B"/>
    <w:rsid w:val="00CB6507"/>
    <w:rsid w:val="00CD23FC"/>
    <w:rsid w:val="00CE33BD"/>
    <w:rsid w:val="00CE57AA"/>
    <w:rsid w:val="00CF55D4"/>
    <w:rsid w:val="00CF5C53"/>
    <w:rsid w:val="00CF7551"/>
    <w:rsid w:val="00D00E10"/>
    <w:rsid w:val="00D03AEC"/>
    <w:rsid w:val="00D074FC"/>
    <w:rsid w:val="00D248D1"/>
    <w:rsid w:val="00D253A0"/>
    <w:rsid w:val="00D44222"/>
    <w:rsid w:val="00D52EF5"/>
    <w:rsid w:val="00D64D4F"/>
    <w:rsid w:val="00D802B3"/>
    <w:rsid w:val="00D8062C"/>
    <w:rsid w:val="00D80DE5"/>
    <w:rsid w:val="00D82E56"/>
    <w:rsid w:val="00D96D79"/>
    <w:rsid w:val="00DA1D95"/>
    <w:rsid w:val="00DB0D5C"/>
    <w:rsid w:val="00DB239C"/>
    <w:rsid w:val="00DB3BE7"/>
    <w:rsid w:val="00DD211D"/>
    <w:rsid w:val="00DD3D9D"/>
    <w:rsid w:val="00DD6AF1"/>
    <w:rsid w:val="00DE6974"/>
    <w:rsid w:val="00DF1461"/>
    <w:rsid w:val="00E026BE"/>
    <w:rsid w:val="00E04A61"/>
    <w:rsid w:val="00E05284"/>
    <w:rsid w:val="00E07F8E"/>
    <w:rsid w:val="00E23C88"/>
    <w:rsid w:val="00E301B5"/>
    <w:rsid w:val="00E40597"/>
    <w:rsid w:val="00E656F1"/>
    <w:rsid w:val="00E65D59"/>
    <w:rsid w:val="00E80E88"/>
    <w:rsid w:val="00E82BA2"/>
    <w:rsid w:val="00E92D4E"/>
    <w:rsid w:val="00E92F66"/>
    <w:rsid w:val="00E96917"/>
    <w:rsid w:val="00EA6AA4"/>
    <w:rsid w:val="00EA779D"/>
    <w:rsid w:val="00EB0794"/>
    <w:rsid w:val="00EB1C03"/>
    <w:rsid w:val="00ED0EEE"/>
    <w:rsid w:val="00ED264C"/>
    <w:rsid w:val="00EE3276"/>
    <w:rsid w:val="00EE786A"/>
    <w:rsid w:val="00EF4FBA"/>
    <w:rsid w:val="00EF5979"/>
    <w:rsid w:val="00F037FF"/>
    <w:rsid w:val="00F13D2B"/>
    <w:rsid w:val="00F1772C"/>
    <w:rsid w:val="00F20FCB"/>
    <w:rsid w:val="00F227DE"/>
    <w:rsid w:val="00F306C6"/>
    <w:rsid w:val="00F35300"/>
    <w:rsid w:val="00F43E83"/>
    <w:rsid w:val="00F4530C"/>
    <w:rsid w:val="00F55AA1"/>
    <w:rsid w:val="00F56C67"/>
    <w:rsid w:val="00F61B45"/>
    <w:rsid w:val="00F669A2"/>
    <w:rsid w:val="00F748EE"/>
    <w:rsid w:val="00F8157A"/>
    <w:rsid w:val="00F81781"/>
    <w:rsid w:val="00F81D70"/>
    <w:rsid w:val="00FA2741"/>
    <w:rsid w:val="00FA47EB"/>
    <w:rsid w:val="00FC362D"/>
    <w:rsid w:val="00FC413C"/>
    <w:rsid w:val="00FE2367"/>
    <w:rsid w:val="00FE3905"/>
    <w:rsid w:val="00FF43D5"/>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01228"/>
  <w15:docId w15:val="{591BA894-F437-4AFB-A44F-D2775FE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Sección"/>
    <w:basedOn w:val="Normal"/>
    <w:next w:val="Normal"/>
    <w:link w:val="Ttulo1Car"/>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aliases w:val="Título interno"/>
    <w:basedOn w:val="Normal"/>
    <w:next w:val="Normal"/>
    <w:link w:val="Ttulo2Car"/>
    <w:uiPriority w:val="9"/>
    <w:unhideWhenUsed/>
    <w:qFormat/>
    <w:pPr>
      <w:keepNext/>
      <w:keepLines/>
      <w:spacing w:before="200"/>
      <w:outlineLvl w:val="1"/>
    </w:pPr>
    <w:rPr>
      <w:b/>
      <w:color w:val="4472C4"/>
      <w:sz w:val="26"/>
      <w:szCs w:val="26"/>
    </w:rPr>
  </w:style>
  <w:style w:type="paragraph" w:styleId="Ttulo3">
    <w:name w:val="heading 3"/>
    <w:basedOn w:val="Normal"/>
    <w:next w:val="Normal"/>
    <w:link w:val="Ttulo3Car"/>
    <w:uiPriority w:val="9"/>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link w:val="Ttulo4Car"/>
    <w:uiPriority w:val="9"/>
    <w:unhideWhenUsed/>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outlineLvl w:val="3"/>
    </w:pPr>
    <w:rPr>
      <w:rFonts w:ascii="Garamond" w:eastAsia="Garamond" w:hAnsi="Garamond" w:cs="Garamond"/>
      <w:sz w:val="16"/>
      <w:szCs w:val="16"/>
    </w:rPr>
  </w:style>
  <w:style w:type="paragraph" w:styleId="Ttulo5">
    <w:name w:val="heading 5"/>
    <w:basedOn w:val="Normal"/>
    <w:next w:val="Normal"/>
    <w:link w:val="Ttulo5Car"/>
    <w:uiPriority w:val="9"/>
    <w:unhideWhenUsed/>
    <w:qFormat/>
    <w:pPr>
      <w:keepNext/>
      <w:keepLines/>
      <w:ind w:left="708" w:right="364"/>
      <w:jc w:val="both"/>
      <w:outlineLvl w:val="4"/>
    </w:pPr>
    <w:rPr>
      <w:rFonts w:ascii="Garamond" w:eastAsia="Garamond" w:hAnsi="Garamond" w:cs="Garamond"/>
      <w:sz w:val="18"/>
      <w:szCs w:val="18"/>
    </w:rPr>
  </w:style>
  <w:style w:type="paragraph" w:styleId="Ttulo6">
    <w:name w:val="heading 6"/>
    <w:basedOn w:val="Normal"/>
    <w:next w:val="Normal"/>
    <w:link w:val="Ttulo6Car"/>
    <w:uiPriority w:val="9"/>
    <w:unhideWhenUsed/>
    <w:qFormat/>
    <w:pPr>
      <w:keepNext/>
      <w:keepLines/>
      <w:jc w:val="both"/>
      <w:outlineLvl w:val="5"/>
    </w:pPr>
    <w:rPr>
      <w:rFonts w:ascii="Garamond" w:eastAsia="Garamond" w:hAnsi="Garamond" w:cs="Garamond"/>
      <w:b/>
    </w:rPr>
  </w:style>
  <w:style w:type="paragraph" w:styleId="Ttulo7">
    <w:name w:val="heading 7"/>
    <w:basedOn w:val="Normal"/>
    <w:next w:val="Normal"/>
    <w:link w:val="Ttulo7Car"/>
    <w:uiPriority w:val="9"/>
    <w:semiHidden/>
    <w:unhideWhenUsed/>
    <w:qFormat/>
    <w:rsid w:val="00D074FC"/>
    <w:pPr>
      <w:keepNext/>
      <w:keepLines/>
      <w:spacing w:before="200" w:line="264" w:lineRule="auto"/>
      <w:ind w:firstLine="567"/>
      <w:jc w:val="both"/>
      <w:outlineLvl w:val="6"/>
    </w:pPr>
    <w:rPr>
      <w:rFonts w:asciiTheme="majorHAnsi" w:eastAsiaTheme="majorEastAsia" w:hAnsiTheme="majorHAnsi" w:cstheme="majorBidi"/>
      <w:i/>
      <w:iCs/>
      <w:color w:val="000000"/>
      <w:sz w:val="21"/>
      <w:szCs w:val="22"/>
      <w:lang w:val="es-VE" w:eastAsia="en-US"/>
    </w:rPr>
  </w:style>
  <w:style w:type="paragraph" w:styleId="Ttulo8">
    <w:name w:val="heading 8"/>
    <w:basedOn w:val="Normal"/>
    <w:next w:val="Normal"/>
    <w:link w:val="Ttulo8Car"/>
    <w:uiPriority w:val="9"/>
    <w:semiHidden/>
    <w:unhideWhenUsed/>
    <w:qFormat/>
    <w:rsid w:val="00D074FC"/>
    <w:pPr>
      <w:keepNext/>
      <w:keepLines/>
      <w:spacing w:before="200" w:line="264" w:lineRule="auto"/>
      <w:ind w:firstLine="567"/>
      <w:jc w:val="both"/>
      <w:outlineLvl w:val="7"/>
    </w:pPr>
    <w:rPr>
      <w:rFonts w:asciiTheme="majorHAnsi" w:eastAsiaTheme="majorEastAsia" w:hAnsiTheme="majorHAnsi" w:cstheme="majorBidi"/>
      <w:color w:val="000000"/>
      <w:sz w:val="20"/>
      <w:szCs w:val="20"/>
      <w:lang w:val="es-VE" w:eastAsia="en-US"/>
    </w:rPr>
  </w:style>
  <w:style w:type="paragraph" w:styleId="Ttulo9">
    <w:name w:val="heading 9"/>
    <w:basedOn w:val="Normal"/>
    <w:next w:val="Normal"/>
    <w:link w:val="Ttulo9Car"/>
    <w:uiPriority w:val="9"/>
    <w:semiHidden/>
    <w:unhideWhenUsed/>
    <w:qFormat/>
    <w:rsid w:val="00D074FC"/>
    <w:pPr>
      <w:keepNext/>
      <w:keepLines/>
      <w:spacing w:before="200" w:line="264" w:lineRule="auto"/>
      <w:ind w:firstLine="567"/>
      <w:jc w:val="both"/>
      <w:outlineLvl w:val="8"/>
    </w:pPr>
    <w:rPr>
      <w:rFonts w:asciiTheme="majorHAnsi" w:eastAsiaTheme="majorEastAsia" w:hAnsiTheme="majorHAnsi" w:cstheme="majorBidi"/>
      <w:i/>
      <w:iCs/>
      <w:color w:val="000000"/>
      <w:sz w:val="20"/>
      <w:szCs w:val="20"/>
      <w:lang w:val="es-V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Título Caratula,Título del trabajo"/>
    <w:basedOn w:val="Normal"/>
    <w:next w:val="Normal"/>
    <w:link w:val="TtuloCar"/>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pPr>
    <w:rPr>
      <w:rFonts w:ascii="Garamond" w:eastAsia="Garamond" w:hAnsi="Garamond" w:cs="Garamond"/>
      <w:b/>
      <w:sz w:val="32"/>
      <w:szCs w:val="32"/>
    </w:rPr>
  </w:style>
  <w:style w:type="paragraph" w:styleId="Subttulo">
    <w:name w:val="Subtitle"/>
    <w:aliases w:val="Nombres Autores"/>
    <w:basedOn w:val="Normal"/>
    <w:next w:val="Normal"/>
    <w:link w:val="SubttuloCar"/>
    <w:uiPriority w:val="11"/>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pPr>
    <w:rPr>
      <w:rFonts w:ascii="Garamond" w:eastAsia="Garamond" w:hAnsi="Garamond" w:cs="Garamond"/>
      <w:i/>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434070"/>
    <w:pPr>
      <w:tabs>
        <w:tab w:val="center" w:pos="4419"/>
        <w:tab w:val="right" w:pos="8838"/>
      </w:tabs>
    </w:pPr>
  </w:style>
  <w:style w:type="character" w:customStyle="1" w:styleId="EncabezadoCar">
    <w:name w:val="Encabezado Car"/>
    <w:basedOn w:val="Fuentedeprrafopredeter"/>
    <w:link w:val="Encabezado"/>
    <w:uiPriority w:val="99"/>
    <w:rsid w:val="00434070"/>
  </w:style>
  <w:style w:type="paragraph" w:styleId="Textonotapie">
    <w:name w:val="footnote text"/>
    <w:aliases w:val="ft,Nota a pie/Bibliog"/>
    <w:basedOn w:val="Normal"/>
    <w:link w:val="TextonotapieCar"/>
    <w:uiPriority w:val="99"/>
    <w:unhideWhenUsed/>
    <w:rsid w:val="004055C0"/>
    <w:rPr>
      <w:rFonts w:asciiTheme="minorHAnsi" w:eastAsiaTheme="minorHAnsi" w:hAnsiTheme="minorHAnsi" w:cstheme="minorBidi"/>
      <w:sz w:val="20"/>
      <w:szCs w:val="20"/>
      <w:lang w:eastAsia="en-US"/>
    </w:rPr>
  </w:style>
  <w:style w:type="character" w:customStyle="1" w:styleId="TextonotapieCar">
    <w:name w:val="Texto nota pie Car"/>
    <w:aliases w:val="ft Car,Nota a pie/Bibliog Car"/>
    <w:basedOn w:val="Fuentedeprrafopredeter"/>
    <w:link w:val="Textonotapie"/>
    <w:uiPriority w:val="99"/>
    <w:qFormat/>
    <w:rsid w:val="004055C0"/>
    <w:rPr>
      <w:rFonts w:asciiTheme="minorHAnsi" w:eastAsiaTheme="minorHAnsi" w:hAnsiTheme="minorHAnsi" w:cstheme="minorBidi"/>
      <w:sz w:val="20"/>
      <w:szCs w:val="20"/>
      <w:lang w:eastAsia="en-US"/>
    </w:rPr>
  </w:style>
  <w:style w:type="character" w:styleId="Refdenotaalpie">
    <w:name w:val="footnote reference"/>
    <w:basedOn w:val="Fuentedeprrafopredeter"/>
    <w:uiPriority w:val="99"/>
    <w:unhideWhenUsed/>
    <w:rsid w:val="004055C0"/>
    <w:rPr>
      <w:vertAlign w:val="superscript"/>
    </w:rPr>
  </w:style>
  <w:style w:type="character" w:styleId="Hipervnculo">
    <w:name w:val="Hyperlink"/>
    <w:basedOn w:val="Fuentedeprrafopredeter"/>
    <w:uiPriority w:val="99"/>
    <w:unhideWhenUsed/>
    <w:rsid w:val="008E6179"/>
    <w:rPr>
      <w:color w:val="0000FF" w:themeColor="hyperlink"/>
      <w:u w:val="single"/>
    </w:rPr>
  </w:style>
  <w:style w:type="character" w:styleId="Mencinsinresolver">
    <w:name w:val="Unresolved Mention"/>
    <w:basedOn w:val="Fuentedeprrafopredeter"/>
    <w:uiPriority w:val="99"/>
    <w:semiHidden/>
    <w:unhideWhenUsed/>
    <w:rsid w:val="008E6179"/>
    <w:rPr>
      <w:color w:val="605E5C"/>
      <w:shd w:val="clear" w:color="auto" w:fill="E1DFDD"/>
    </w:rPr>
  </w:style>
  <w:style w:type="character" w:customStyle="1" w:styleId="Ttulo7Car">
    <w:name w:val="Título 7 Car"/>
    <w:basedOn w:val="Fuentedeprrafopredeter"/>
    <w:link w:val="Ttulo7"/>
    <w:uiPriority w:val="9"/>
    <w:semiHidden/>
    <w:rsid w:val="00D074FC"/>
    <w:rPr>
      <w:rFonts w:asciiTheme="majorHAnsi" w:eastAsiaTheme="majorEastAsia" w:hAnsiTheme="majorHAnsi" w:cstheme="majorBidi"/>
      <w:i/>
      <w:iCs/>
      <w:color w:val="000000"/>
      <w:sz w:val="21"/>
      <w:szCs w:val="22"/>
      <w:lang w:val="es-VE" w:eastAsia="en-US"/>
    </w:rPr>
  </w:style>
  <w:style w:type="character" w:customStyle="1" w:styleId="Ttulo8Car">
    <w:name w:val="Título 8 Car"/>
    <w:basedOn w:val="Fuentedeprrafopredeter"/>
    <w:link w:val="Ttulo8"/>
    <w:uiPriority w:val="9"/>
    <w:semiHidden/>
    <w:rsid w:val="00D074FC"/>
    <w:rPr>
      <w:rFonts w:asciiTheme="majorHAnsi" w:eastAsiaTheme="majorEastAsia" w:hAnsiTheme="majorHAnsi" w:cstheme="majorBidi"/>
      <w:color w:val="000000"/>
      <w:sz w:val="20"/>
      <w:szCs w:val="20"/>
      <w:lang w:val="es-VE" w:eastAsia="en-US"/>
    </w:rPr>
  </w:style>
  <w:style w:type="character" w:customStyle="1" w:styleId="Ttulo9Car">
    <w:name w:val="Título 9 Car"/>
    <w:basedOn w:val="Fuentedeprrafopredeter"/>
    <w:link w:val="Ttulo9"/>
    <w:uiPriority w:val="9"/>
    <w:semiHidden/>
    <w:rsid w:val="00D074FC"/>
    <w:rPr>
      <w:rFonts w:asciiTheme="majorHAnsi" w:eastAsiaTheme="majorEastAsia" w:hAnsiTheme="majorHAnsi" w:cstheme="majorBidi"/>
      <w:i/>
      <w:iCs/>
      <w:color w:val="000000"/>
      <w:sz w:val="20"/>
      <w:szCs w:val="20"/>
      <w:lang w:val="es-VE" w:eastAsia="en-US"/>
    </w:rPr>
  </w:style>
  <w:style w:type="character" w:customStyle="1" w:styleId="Ttulo1Car">
    <w:name w:val="Título 1 Car"/>
    <w:aliases w:val="Sección Car"/>
    <w:basedOn w:val="Fuentedeprrafopredeter"/>
    <w:link w:val="Ttulo1"/>
    <w:uiPriority w:val="9"/>
    <w:rsid w:val="00D074FC"/>
    <w:rPr>
      <w:rFonts w:ascii="Garamond" w:eastAsia="Garamond" w:hAnsi="Garamond" w:cs="Garamond"/>
      <w:b/>
      <w:sz w:val="22"/>
      <w:szCs w:val="22"/>
    </w:rPr>
  </w:style>
  <w:style w:type="paragraph" w:styleId="Textoindependiente">
    <w:name w:val="Body Text"/>
    <w:basedOn w:val="Normal"/>
    <w:link w:val="TextoindependienteCar"/>
    <w:uiPriority w:val="99"/>
    <w:semiHidden/>
    <w:unhideWhenUsed/>
    <w:rsid w:val="00D074FC"/>
    <w:pPr>
      <w:spacing w:before="120" w:after="120" w:line="360" w:lineRule="auto"/>
      <w:ind w:firstLine="567"/>
      <w:jc w:val="both"/>
    </w:pPr>
    <w:rPr>
      <w:rFonts w:ascii="Calibri" w:eastAsiaTheme="minorEastAsia" w:hAnsi="Calibri" w:cstheme="minorBidi"/>
      <w:color w:val="000000" w:themeColor="text1"/>
      <w:szCs w:val="22"/>
      <w:lang w:val="es-VE" w:eastAsia="en-US"/>
    </w:rPr>
  </w:style>
  <w:style w:type="character" w:customStyle="1" w:styleId="TextoindependienteCar">
    <w:name w:val="Texto independiente Car"/>
    <w:basedOn w:val="Fuentedeprrafopredeter"/>
    <w:link w:val="Textoindependiente"/>
    <w:uiPriority w:val="99"/>
    <w:semiHidden/>
    <w:rsid w:val="00D074FC"/>
    <w:rPr>
      <w:rFonts w:ascii="Calibri" w:eastAsiaTheme="minorEastAsia" w:hAnsi="Calibri" w:cstheme="minorBidi"/>
      <w:color w:val="000000" w:themeColor="text1"/>
      <w:szCs w:val="22"/>
      <w:lang w:val="es-VE" w:eastAsia="en-US"/>
    </w:rPr>
  </w:style>
  <w:style w:type="character" w:customStyle="1" w:styleId="Ttulo2Car">
    <w:name w:val="Título 2 Car"/>
    <w:aliases w:val="Título interno Car"/>
    <w:basedOn w:val="Fuentedeprrafopredeter"/>
    <w:link w:val="Ttulo2"/>
    <w:uiPriority w:val="9"/>
    <w:rsid w:val="00D074FC"/>
    <w:rPr>
      <w:b/>
      <w:color w:val="4472C4"/>
      <w:sz w:val="26"/>
      <w:szCs w:val="26"/>
    </w:rPr>
  </w:style>
  <w:style w:type="character" w:customStyle="1" w:styleId="Ttulo3Car">
    <w:name w:val="Título 3 Car"/>
    <w:basedOn w:val="Fuentedeprrafopredeter"/>
    <w:link w:val="Ttulo3"/>
    <w:uiPriority w:val="9"/>
    <w:rsid w:val="00D074FC"/>
    <w:rPr>
      <w:rFonts w:ascii="Garamond" w:eastAsia="Garamond" w:hAnsi="Garamond" w:cs="Garamond"/>
      <w:sz w:val="22"/>
      <w:szCs w:val="22"/>
    </w:rPr>
  </w:style>
  <w:style w:type="character" w:customStyle="1" w:styleId="Ttulo4Car">
    <w:name w:val="Título 4 Car"/>
    <w:basedOn w:val="Fuentedeprrafopredeter"/>
    <w:link w:val="Ttulo4"/>
    <w:uiPriority w:val="9"/>
    <w:rsid w:val="00D074FC"/>
    <w:rPr>
      <w:rFonts w:ascii="Garamond" w:eastAsia="Garamond" w:hAnsi="Garamond" w:cs="Garamond"/>
      <w:sz w:val="16"/>
      <w:szCs w:val="16"/>
    </w:rPr>
  </w:style>
  <w:style w:type="character" w:customStyle="1" w:styleId="Ttulo5Car">
    <w:name w:val="Título 5 Car"/>
    <w:basedOn w:val="Fuentedeprrafopredeter"/>
    <w:link w:val="Ttulo5"/>
    <w:uiPriority w:val="9"/>
    <w:rsid w:val="00D074FC"/>
    <w:rPr>
      <w:rFonts w:ascii="Garamond" w:eastAsia="Garamond" w:hAnsi="Garamond" w:cs="Garamond"/>
      <w:sz w:val="18"/>
      <w:szCs w:val="18"/>
    </w:rPr>
  </w:style>
  <w:style w:type="character" w:customStyle="1" w:styleId="Ttulo6Car">
    <w:name w:val="Título 6 Car"/>
    <w:basedOn w:val="Fuentedeprrafopredeter"/>
    <w:link w:val="Ttulo6"/>
    <w:uiPriority w:val="9"/>
    <w:rsid w:val="00D074FC"/>
    <w:rPr>
      <w:rFonts w:ascii="Garamond" w:eastAsia="Garamond" w:hAnsi="Garamond" w:cs="Garamond"/>
      <w:b/>
    </w:rPr>
  </w:style>
  <w:style w:type="character" w:customStyle="1" w:styleId="TtuloCar">
    <w:name w:val="Título Car"/>
    <w:aliases w:val="Título Caratula Car,Título del trabajo Car"/>
    <w:basedOn w:val="Fuentedeprrafopredeter"/>
    <w:link w:val="Ttulo"/>
    <w:uiPriority w:val="10"/>
    <w:rsid w:val="00D074FC"/>
    <w:rPr>
      <w:rFonts w:ascii="Garamond" w:eastAsia="Garamond" w:hAnsi="Garamond" w:cs="Garamond"/>
      <w:b/>
      <w:sz w:val="32"/>
      <w:szCs w:val="32"/>
    </w:rPr>
  </w:style>
  <w:style w:type="character" w:customStyle="1" w:styleId="SubttuloCar">
    <w:name w:val="Subtítulo Car"/>
    <w:aliases w:val="Nombres Autores Car"/>
    <w:basedOn w:val="Fuentedeprrafopredeter"/>
    <w:link w:val="Subttulo"/>
    <w:uiPriority w:val="11"/>
    <w:rsid w:val="00D074FC"/>
    <w:rPr>
      <w:rFonts w:ascii="Garamond" w:eastAsia="Garamond" w:hAnsi="Garamond" w:cs="Garamond"/>
      <w:i/>
      <w:sz w:val="28"/>
      <w:szCs w:val="28"/>
    </w:rPr>
  </w:style>
  <w:style w:type="paragraph" w:styleId="Sinespaciado">
    <w:name w:val="No Spacing"/>
    <w:aliases w:val="Nombre serie,No Indent,Bullet"/>
    <w:link w:val="SinespaciadoCar"/>
    <w:autoRedefine/>
    <w:uiPriority w:val="1"/>
    <w:qFormat/>
    <w:rsid w:val="00D074FC"/>
    <w:pPr>
      <w:spacing w:before="120"/>
      <w:ind w:left="567" w:hanging="567"/>
      <w:jc w:val="center"/>
    </w:pPr>
    <w:rPr>
      <w:rFonts w:ascii="Calibri" w:eastAsiaTheme="minorEastAsia" w:hAnsi="Calibri" w:cstheme="minorBidi"/>
      <w:bCs/>
      <w:sz w:val="36"/>
      <w:szCs w:val="36"/>
      <w:lang w:val="es-VE" w:eastAsia="en-US"/>
    </w:rPr>
  </w:style>
  <w:style w:type="character" w:customStyle="1" w:styleId="SinespaciadoCar">
    <w:name w:val="Sin espaciado Car"/>
    <w:aliases w:val="Nombre serie Car,No Indent Car,Bullet Car"/>
    <w:basedOn w:val="Fuentedeprrafopredeter"/>
    <w:link w:val="Sinespaciado"/>
    <w:uiPriority w:val="1"/>
    <w:rsid w:val="00D074FC"/>
    <w:rPr>
      <w:rFonts w:ascii="Calibri" w:eastAsiaTheme="minorEastAsia" w:hAnsi="Calibri" w:cstheme="minorBidi"/>
      <w:bCs/>
      <w:sz w:val="36"/>
      <w:szCs w:val="36"/>
      <w:lang w:val="es-VE" w:eastAsia="en-US"/>
    </w:rPr>
  </w:style>
  <w:style w:type="paragraph" w:styleId="Textodeglobo">
    <w:name w:val="Balloon Text"/>
    <w:basedOn w:val="Normal"/>
    <w:link w:val="TextodegloboCar"/>
    <w:uiPriority w:val="99"/>
    <w:semiHidden/>
    <w:unhideWhenUsed/>
    <w:rsid w:val="00D074FC"/>
    <w:pPr>
      <w:spacing w:before="120" w:line="360" w:lineRule="auto"/>
      <w:ind w:firstLine="567"/>
      <w:jc w:val="both"/>
    </w:pPr>
    <w:rPr>
      <w:rFonts w:ascii="Tahoma" w:eastAsiaTheme="minorEastAsia" w:hAnsi="Tahoma" w:cs="Tahoma"/>
      <w:color w:val="000000" w:themeColor="text1"/>
      <w:sz w:val="16"/>
      <w:szCs w:val="16"/>
      <w:lang w:val="es-VE" w:eastAsia="en-US"/>
    </w:rPr>
  </w:style>
  <w:style w:type="character" w:customStyle="1" w:styleId="TextodegloboCar">
    <w:name w:val="Texto de globo Car"/>
    <w:basedOn w:val="Fuentedeprrafopredeter"/>
    <w:link w:val="Textodeglobo"/>
    <w:uiPriority w:val="99"/>
    <w:semiHidden/>
    <w:rsid w:val="00D074FC"/>
    <w:rPr>
      <w:rFonts w:ascii="Tahoma" w:eastAsiaTheme="minorEastAsia" w:hAnsi="Tahoma" w:cs="Tahoma"/>
      <w:color w:val="000000" w:themeColor="text1"/>
      <w:sz w:val="16"/>
      <w:szCs w:val="16"/>
      <w:lang w:val="es-VE" w:eastAsia="en-US"/>
    </w:rPr>
  </w:style>
  <w:style w:type="paragraph" w:styleId="Descripcin">
    <w:name w:val="caption"/>
    <w:aliases w:val="Título de gráfico"/>
    <w:basedOn w:val="Normal"/>
    <w:next w:val="Normal"/>
    <w:uiPriority w:val="35"/>
    <w:unhideWhenUsed/>
    <w:qFormat/>
    <w:rsid w:val="00D074FC"/>
    <w:pPr>
      <w:spacing w:before="120"/>
      <w:jc w:val="center"/>
    </w:pPr>
    <w:rPr>
      <w:rFonts w:ascii="Calibri" w:eastAsiaTheme="minorEastAsia" w:hAnsi="Calibri" w:cstheme="minorBidi"/>
      <w:b/>
      <w:bCs/>
      <w:color w:val="000000" w:themeColor="text1"/>
      <w:szCs w:val="18"/>
      <w:lang w:val="es-VE" w:eastAsia="en-US"/>
    </w:rPr>
  </w:style>
  <w:style w:type="character" w:styleId="Textoennegrita">
    <w:name w:val="Strong"/>
    <w:basedOn w:val="Fuentedeprrafopredeter"/>
    <w:uiPriority w:val="22"/>
    <w:qFormat/>
    <w:rsid w:val="00D074FC"/>
    <w:rPr>
      <w:b/>
      <w:bCs/>
    </w:rPr>
  </w:style>
  <w:style w:type="character" w:styleId="nfasis">
    <w:name w:val="Emphasis"/>
    <w:basedOn w:val="Fuentedeprrafopredeter"/>
    <w:uiPriority w:val="20"/>
    <w:qFormat/>
    <w:rsid w:val="00D074FC"/>
    <w:rPr>
      <w:i/>
      <w:iCs/>
      <w:color w:val="auto"/>
    </w:rPr>
  </w:style>
  <w:style w:type="paragraph" w:styleId="Prrafodelista">
    <w:name w:val="List Paragraph"/>
    <w:aliases w:val="List1,Párrafo de lista1"/>
    <w:basedOn w:val="Normal"/>
    <w:link w:val="PrrafodelistaCar"/>
    <w:uiPriority w:val="34"/>
    <w:qFormat/>
    <w:rsid w:val="00D074FC"/>
    <w:pPr>
      <w:spacing w:before="120" w:after="160" w:line="360" w:lineRule="auto"/>
      <w:ind w:left="1008" w:hanging="288"/>
      <w:jc w:val="both"/>
    </w:pPr>
    <w:rPr>
      <w:rFonts w:ascii="Calibri" w:eastAsiaTheme="minorHAnsi" w:hAnsi="Calibri" w:cstheme="minorBidi"/>
      <w:color w:val="000000" w:themeColor="text1"/>
      <w:szCs w:val="22"/>
      <w:lang w:val="es-VE" w:eastAsia="en-US"/>
    </w:rPr>
  </w:style>
  <w:style w:type="character" w:customStyle="1" w:styleId="PrrafodelistaCar">
    <w:name w:val="Párrafo de lista Car"/>
    <w:aliases w:val="List1 Car,Párrafo de lista1 Car"/>
    <w:basedOn w:val="Fuentedeprrafopredeter"/>
    <w:link w:val="Prrafodelista"/>
    <w:uiPriority w:val="34"/>
    <w:locked/>
    <w:rsid w:val="00D074FC"/>
    <w:rPr>
      <w:rFonts w:ascii="Calibri" w:eastAsiaTheme="minorHAnsi" w:hAnsi="Calibri" w:cstheme="minorBidi"/>
      <w:color w:val="000000" w:themeColor="text1"/>
      <w:szCs w:val="22"/>
      <w:lang w:val="es-VE" w:eastAsia="en-US"/>
    </w:rPr>
  </w:style>
  <w:style w:type="paragraph" w:styleId="Cita">
    <w:name w:val="Quote"/>
    <w:basedOn w:val="Normal"/>
    <w:next w:val="Normal"/>
    <w:link w:val="CitaCar"/>
    <w:uiPriority w:val="29"/>
    <w:rsid w:val="00D074FC"/>
    <w:pPr>
      <w:spacing w:before="160" w:after="160" w:line="300" w:lineRule="auto"/>
      <w:ind w:left="144" w:right="144" w:firstLine="567"/>
      <w:jc w:val="center"/>
    </w:pPr>
    <w:rPr>
      <w:rFonts w:asciiTheme="majorHAnsi" w:eastAsiaTheme="minorEastAsia" w:hAnsiTheme="majorHAnsi" w:cstheme="minorBidi"/>
      <w:i/>
      <w:iCs/>
      <w:color w:val="4F81BD" w:themeColor="accent1"/>
      <w:szCs w:val="22"/>
      <w:lang w:val="es-VE" w:eastAsia="en-US" w:bidi="hi-IN"/>
    </w:rPr>
  </w:style>
  <w:style w:type="character" w:customStyle="1" w:styleId="CitaCar">
    <w:name w:val="Cita Car"/>
    <w:basedOn w:val="Fuentedeprrafopredeter"/>
    <w:link w:val="Cita"/>
    <w:uiPriority w:val="29"/>
    <w:rsid w:val="00D074FC"/>
    <w:rPr>
      <w:rFonts w:asciiTheme="majorHAnsi" w:eastAsiaTheme="minorEastAsia" w:hAnsiTheme="majorHAnsi" w:cstheme="minorBidi"/>
      <w:i/>
      <w:iCs/>
      <w:color w:val="4F81BD" w:themeColor="accent1"/>
      <w:szCs w:val="22"/>
      <w:lang w:val="es-VE" w:eastAsia="en-US" w:bidi="hi-IN"/>
    </w:rPr>
  </w:style>
  <w:style w:type="paragraph" w:styleId="Citadestacada">
    <w:name w:val="Intense Quote"/>
    <w:basedOn w:val="Normal"/>
    <w:next w:val="Normal"/>
    <w:link w:val="CitadestacadaCar"/>
    <w:uiPriority w:val="30"/>
    <w:rsid w:val="00D074FC"/>
    <w:pPr>
      <w:shd w:val="clear" w:color="auto" w:fill="4F81BD" w:themeFill="accent1"/>
      <w:spacing w:before="120" w:after="120" w:line="360" w:lineRule="auto"/>
      <w:ind w:firstLine="567"/>
      <w:jc w:val="center"/>
    </w:pPr>
    <w:rPr>
      <w:rFonts w:asciiTheme="majorHAnsi" w:eastAsiaTheme="majorEastAsia" w:hAnsiTheme="majorHAnsi" w:cstheme="minorBidi"/>
      <w:bCs/>
      <w:iCs/>
      <w:color w:val="FFFFFF" w:themeColor="background1"/>
      <w:szCs w:val="22"/>
      <w:lang w:val="es-VE" w:eastAsia="en-US" w:bidi="hi-IN"/>
    </w:rPr>
  </w:style>
  <w:style w:type="character" w:customStyle="1" w:styleId="CitadestacadaCar">
    <w:name w:val="Cita destacada Car"/>
    <w:basedOn w:val="Fuentedeprrafopredeter"/>
    <w:link w:val="Citadestacada"/>
    <w:uiPriority w:val="30"/>
    <w:rsid w:val="00D074FC"/>
    <w:rPr>
      <w:rFonts w:asciiTheme="majorHAnsi" w:eastAsiaTheme="majorEastAsia" w:hAnsiTheme="majorHAnsi" w:cstheme="minorBidi"/>
      <w:bCs/>
      <w:iCs/>
      <w:color w:val="FFFFFF" w:themeColor="background1"/>
      <w:szCs w:val="22"/>
      <w:shd w:val="clear" w:color="auto" w:fill="4F81BD" w:themeFill="accent1"/>
      <w:lang w:val="es-VE" w:eastAsia="en-US" w:bidi="hi-IN"/>
    </w:rPr>
  </w:style>
  <w:style w:type="character" w:styleId="nfasissutil">
    <w:name w:val="Subtle Emphasis"/>
    <w:aliases w:val="En otro idioma"/>
    <w:uiPriority w:val="19"/>
    <w:rsid w:val="00D074FC"/>
    <w:rPr>
      <w:rFonts w:ascii="Calibri" w:hAnsi="Calibri"/>
      <w:b/>
      <w:iCs/>
      <w:color w:val="000000" w:themeColor="text1"/>
      <w:sz w:val="28"/>
    </w:rPr>
  </w:style>
  <w:style w:type="character" w:styleId="nfasisintenso">
    <w:name w:val="Intense Emphasis"/>
    <w:basedOn w:val="Fuentedeprrafopredeter"/>
    <w:uiPriority w:val="21"/>
    <w:rsid w:val="00D074FC"/>
    <w:rPr>
      <w:b/>
      <w:bCs/>
      <w:i/>
      <w:iCs/>
      <w:caps w:val="0"/>
      <w:smallCaps w:val="0"/>
      <w:color w:val="auto"/>
    </w:rPr>
  </w:style>
  <w:style w:type="character" w:styleId="Referenciasutil">
    <w:name w:val="Subtle Reference"/>
    <w:basedOn w:val="Fuentedeprrafopredeter"/>
    <w:uiPriority w:val="31"/>
    <w:rsid w:val="00D074FC"/>
    <w:rPr>
      <w:smallCaps/>
      <w:color w:val="auto"/>
      <w:u w:val="single"/>
    </w:rPr>
  </w:style>
  <w:style w:type="character" w:styleId="Referenciaintensa">
    <w:name w:val="Intense Reference"/>
    <w:basedOn w:val="Fuentedeprrafopredeter"/>
    <w:uiPriority w:val="32"/>
    <w:rsid w:val="00D074FC"/>
    <w:rPr>
      <w:rFonts w:ascii="Calibri" w:hAnsi="Calibri"/>
      <w:b w:val="0"/>
      <w:bCs/>
      <w:caps w:val="0"/>
      <w:smallCaps w:val="0"/>
      <w:color w:val="auto"/>
      <w:spacing w:val="5"/>
      <w:sz w:val="20"/>
      <w:u w:val="none"/>
    </w:rPr>
  </w:style>
  <w:style w:type="character" w:styleId="Ttulodellibro">
    <w:name w:val="Book Title"/>
    <w:basedOn w:val="Fuentedeprrafopredeter"/>
    <w:uiPriority w:val="33"/>
    <w:rsid w:val="00D074FC"/>
    <w:rPr>
      <w:b/>
      <w:bCs/>
      <w:caps w:val="0"/>
      <w:smallCaps/>
      <w:spacing w:val="10"/>
    </w:rPr>
  </w:style>
  <w:style w:type="paragraph" w:styleId="TtuloTDC">
    <w:name w:val="TOC Heading"/>
    <w:basedOn w:val="Ttulo1"/>
    <w:next w:val="Normal"/>
    <w:uiPriority w:val="39"/>
    <w:unhideWhenUsed/>
    <w:qFormat/>
    <w:rsid w:val="00D074FC"/>
    <w:pPr>
      <w:shd w:val="clear" w:color="auto" w:fill="4F81BD" w:themeFill="accent1"/>
      <w:tabs>
        <w:tab w:val="clear" w:pos="284"/>
      </w:tabs>
      <w:spacing w:before="480" w:line="276" w:lineRule="auto"/>
      <w:ind w:firstLine="567"/>
      <w:outlineLvl w:val="9"/>
    </w:pPr>
    <w:rPr>
      <w:rFonts w:ascii="Calibri" w:eastAsiaTheme="majorEastAsia" w:hAnsi="Calibri" w:cstheme="majorBidi"/>
      <w:bCs/>
      <w:i/>
      <w:color w:val="FFFFFF" w:themeColor="background1"/>
      <w:sz w:val="28"/>
      <w:szCs w:val="28"/>
      <w:lang w:val="es-VE" w:eastAsia="en-US"/>
    </w:rPr>
  </w:style>
  <w:style w:type="character" w:styleId="Textodelmarcadordeposicin">
    <w:name w:val="Placeholder Text"/>
    <w:basedOn w:val="Fuentedeprrafopredeter"/>
    <w:uiPriority w:val="99"/>
    <w:semiHidden/>
    <w:rsid w:val="00D074FC"/>
    <w:rPr>
      <w:color w:val="808080"/>
    </w:rPr>
  </w:style>
  <w:style w:type="paragraph" w:styleId="Piedepgina">
    <w:name w:val="footer"/>
    <w:basedOn w:val="Normal"/>
    <w:link w:val="PiedepginaCar"/>
    <w:unhideWhenUsed/>
    <w:rsid w:val="00D074FC"/>
    <w:pPr>
      <w:tabs>
        <w:tab w:val="center" w:pos="4680"/>
        <w:tab w:val="right" w:pos="9360"/>
      </w:tabs>
      <w:spacing w:before="120" w:line="360" w:lineRule="auto"/>
      <w:ind w:firstLine="567"/>
      <w:jc w:val="both"/>
    </w:pPr>
    <w:rPr>
      <w:rFonts w:ascii="Calibri" w:eastAsiaTheme="minorEastAsia" w:hAnsi="Calibri" w:cstheme="minorBidi"/>
      <w:color w:val="000000" w:themeColor="text1"/>
      <w:szCs w:val="22"/>
      <w:lang w:val="es-VE" w:eastAsia="en-US"/>
    </w:rPr>
  </w:style>
  <w:style w:type="character" w:customStyle="1" w:styleId="PiedepginaCar">
    <w:name w:val="Pie de página Car"/>
    <w:basedOn w:val="Fuentedeprrafopredeter"/>
    <w:link w:val="Piedepgina"/>
    <w:uiPriority w:val="99"/>
    <w:rsid w:val="00D074FC"/>
    <w:rPr>
      <w:rFonts w:ascii="Calibri" w:eastAsiaTheme="minorEastAsia" w:hAnsi="Calibri" w:cstheme="minorBidi"/>
      <w:color w:val="000000" w:themeColor="text1"/>
      <w:szCs w:val="22"/>
      <w:lang w:val="es-VE" w:eastAsia="en-US"/>
    </w:rPr>
  </w:style>
  <w:style w:type="table" w:styleId="Tablaconcuadrcula">
    <w:name w:val="Table Grid"/>
    <w:basedOn w:val="Tablanormal"/>
    <w:uiPriority w:val="39"/>
    <w:unhideWhenUsed/>
    <w:rsid w:val="00D074FC"/>
    <w:pPr>
      <w:spacing w:before="120"/>
      <w:ind w:left="567" w:hanging="567"/>
      <w:jc w:val="both"/>
    </w:pPr>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anormal"/>
    <w:uiPriority w:val="44"/>
    <w:rsid w:val="00D074FC"/>
    <w:pPr>
      <w:spacing w:before="120"/>
      <w:ind w:left="567" w:hanging="567"/>
      <w:jc w:val="both"/>
    </w:pPr>
    <w:rPr>
      <w:rFonts w:asciiTheme="minorHAnsi" w:eastAsiaTheme="minorEastAsia"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ituloCaratula">
    <w:name w:val="Titulo Caratula"/>
    <w:basedOn w:val="Ttulo"/>
    <w:link w:val="TituloCaratulaCar"/>
    <w:autoRedefine/>
    <w:qFormat/>
    <w:rsid w:val="00D074FC"/>
    <w:pPr>
      <w:keepNext w:val="0"/>
      <w:keepLines w:val="0"/>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pPr>
    <w:rPr>
      <w:rFonts w:asciiTheme="majorHAnsi" w:eastAsiaTheme="majorEastAsia" w:hAnsiTheme="majorHAnsi" w:cstheme="majorBidi"/>
      <w:i/>
      <w:iCs/>
      <w:color w:val="17365D" w:themeColor="text2" w:themeShade="BF"/>
      <w:spacing w:val="5"/>
      <w:kern w:val="28"/>
      <w:sz w:val="44"/>
      <w:szCs w:val="44"/>
      <w:lang w:val="es-VE" w:eastAsia="en-US"/>
    </w:rPr>
  </w:style>
  <w:style w:type="character" w:customStyle="1" w:styleId="TituloCaratulaCar">
    <w:name w:val="Titulo Caratula Car"/>
    <w:basedOn w:val="TtuloCar"/>
    <w:link w:val="TituloCaratula"/>
    <w:rsid w:val="00D074FC"/>
    <w:rPr>
      <w:rFonts w:asciiTheme="majorHAnsi" w:eastAsiaTheme="majorEastAsia" w:hAnsiTheme="majorHAnsi" w:cstheme="majorBidi"/>
      <w:b/>
      <w:i/>
      <w:iCs/>
      <w:color w:val="17365D" w:themeColor="text2" w:themeShade="BF"/>
      <w:spacing w:val="5"/>
      <w:kern w:val="28"/>
      <w:sz w:val="44"/>
      <w:szCs w:val="44"/>
      <w:lang w:val="es-VE" w:eastAsia="en-US"/>
    </w:rPr>
  </w:style>
  <w:style w:type="character" w:styleId="Hipervnculovisitado">
    <w:name w:val="FollowedHyperlink"/>
    <w:basedOn w:val="Fuentedeprrafopredeter"/>
    <w:uiPriority w:val="99"/>
    <w:semiHidden/>
    <w:unhideWhenUsed/>
    <w:rsid w:val="00D074FC"/>
    <w:rPr>
      <w:color w:val="E36C0A" w:themeColor="accent6" w:themeShade="BF"/>
      <w:u w:val="single"/>
    </w:rPr>
  </w:style>
  <w:style w:type="character" w:customStyle="1" w:styleId="UnresolvedMention1">
    <w:name w:val="Unresolved Mention1"/>
    <w:basedOn w:val="Fuentedeprrafopredeter"/>
    <w:uiPriority w:val="99"/>
    <w:semiHidden/>
    <w:unhideWhenUsed/>
    <w:rsid w:val="00D074FC"/>
    <w:rPr>
      <w:color w:val="595959" w:themeColor="text1" w:themeTint="A6"/>
      <w:shd w:val="clear" w:color="auto" w:fill="E1DFDD"/>
    </w:rPr>
  </w:style>
  <w:style w:type="paragraph" w:styleId="Textonotaalfinal">
    <w:name w:val="endnote text"/>
    <w:basedOn w:val="Normal"/>
    <w:link w:val="TextonotaalfinalCar"/>
    <w:uiPriority w:val="99"/>
    <w:semiHidden/>
    <w:unhideWhenUsed/>
    <w:rsid w:val="00D074FC"/>
    <w:pPr>
      <w:spacing w:before="120"/>
      <w:ind w:firstLine="567"/>
      <w:jc w:val="both"/>
    </w:pPr>
    <w:rPr>
      <w:rFonts w:ascii="Calibri" w:eastAsiaTheme="minorEastAsia" w:hAnsi="Calibri" w:cstheme="minorBidi"/>
      <w:color w:val="000000" w:themeColor="text1"/>
      <w:sz w:val="20"/>
      <w:szCs w:val="20"/>
      <w:lang w:val="es-VE" w:eastAsia="en-US"/>
    </w:rPr>
  </w:style>
  <w:style w:type="character" w:customStyle="1" w:styleId="TextonotaalfinalCar">
    <w:name w:val="Texto nota al final Car"/>
    <w:basedOn w:val="Fuentedeprrafopredeter"/>
    <w:link w:val="Textonotaalfinal"/>
    <w:uiPriority w:val="99"/>
    <w:semiHidden/>
    <w:rsid w:val="00D074FC"/>
    <w:rPr>
      <w:rFonts w:ascii="Calibri" w:eastAsiaTheme="minorEastAsia" w:hAnsi="Calibri" w:cstheme="minorBidi"/>
      <w:color w:val="000000" w:themeColor="text1"/>
      <w:sz w:val="20"/>
      <w:szCs w:val="20"/>
      <w:lang w:val="es-VE" w:eastAsia="en-US"/>
    </w:rPr>
  </w:style>
  <w:style w:type="character" w:styleId="Refdenotaalfinal">
    <w:name w:val="endnote reference"/>
    <w:basedOn w:val="Fuentedeprrafopredeter"/>
    <w:uiPriority w:val="99"/>
    <w:semiHidden/>
    <w:unhideWhenUsed/>
    <w:rsid w:val="00D074FC"/>
    <w:rPr>
      <w:vertAlign w:val="superscript"/>
    </w:rPr>
  </w:style>
  <w:style w:type="paragraph" w:customStyle="1" w:styleId="Notaalpie">
    <w:name w:val="Nota al pie"/>
    <w:basedOn w:val="Textonotapie"/>
    <w:link w:val="NotaalpieChar"/>
    <w:autoRedefine/>
    <w:qFormat/>
    <w:rsid w:val="00D074FC"/>
    <w:pPr>
      <w:keepLines/>
      <w:jc w:val="both"/>
    </w:pPr>
    <w:rPr>
      <w:rFonts w:ascii="Calibri" w:hAnsi="Calibri"/>
      <w:lang w:val="es-VE"/>
    </w:rPr>
  </w:style>
  <w:style w:type="character" w:customStyle="1" w:styleId="NotaalpieChar">
    <w:name w:val="Nota al pie Char"/>
    <w:basedOn w:val="TextonotapieCar"/>
    <w:link w:val="Notaalpie"/>
    <w:rsid w:val="00D074FC"/>
    <w:rPr>
      <w:rFonts w:ascii="Calibri" w:eastAsiaTheme="minorHAnsi" w:hAnsi="Calibri" w:cstheme="minorBidi"/>
      <w:sz w:val="20"/>
      <w:szCs w:val="20"/>
      <w:lang w:val="es-VE" w:eastAsia="en-US"/>
    </w:rPr>
  </w:style>
  <w:style w:type="character" w:styleId="Refdecomentario">
    <w:name w:val="annotation reference"/>
    <w:basedOn w:val="Fuentedeprrafopredeter"/>
    <w:uiPriority w:val="99"/>
    <w:semiHidden/>
    <w:unhideWhenUsed/>
    <w:rsid w:val="00D074FC"/>
    <w:rPr>
      <w:sz w:val="16"/>
      <w:szCs w:val="16"/>
    </w:rPr>
  </w:style>
  <w:style w:type="paragraph" w:styleId="Textocomentario">
    <w:name w:val="annotation text"/>
    <w:basedOn w:val="Normal"/>
    <w:link w:val="TextocomentarioCar"/>
    <w:uiPriority w:val="99"/>
    <w:unhideWhenUsed/>
    <w:rsid w:val="00D074FC"/>
    <w:pPr>
      <w:spacing w:before="120" w:after="120"/>
      <w:ind w:firstLine="567"/>
      <w:jc w:val="both"/>
    </w:pPr>
    <w:rPr>
      <w:rFonts w:ascii="Calibri" w:eastAsiaTheme="minorEastAsia" w:hAnsi="Calibri" w:cstheme="minorBidi"/>
      <w:color w:val="000000" w:themeColor="text1"/>
      <w:sz w:val="20"/>
      <w:szCs w:val="20"/>
      <w:lang w:val="es-VE" w:eastAsia="en-US"/>
    </w:rPr>
  </w:style>
  <w:style w:type="character" w:customStyle="1" w:styleId="TextocomentarioCar">
    <w:name w:val="Texto comentario Car"/>
    <w:basedOn w:val="Fuentedeprrafopredeter"/>
    <w:link w:val="Textocomentario"/>
    <w:uiPriority w:val="99"/>
    <w:rsid w:val="00D074FC"/>
    <w:rPr>
      <w:rFonts w:ascii="Calibri" w:eastAsiaTheme="minorEastAsia" w:hAnsi="Calibri" w:cstheme="minorBidi"/>
      <w:color w:val="000000" w:themeColor="text1"/>
      <w:sz w:val="20"/>
      <w:szCs w:val="20"/>
      <w:lang w:val="es-VE" w:eastAsia="en-US"/>
    </w:rPr>
  </w:style>
  <w:style w:type="paragraph" w:styleId="Asuntodelcomentario">
    <w:name w:val="annotation subject"/>
    <w:basedOn w:val="Textocomentario"/>
    <w:next w:val="Textocomentario"/>
    <w:link w:val="AsuntodelcomentarioCar"/>
    <w:uiPriority w:val="99"/>
    <w:semiHidden/>
    <w:unhideWhenUsed/>
    <w:rsid w:val="00D074FC"/>
    <w:rPr>
      <w:b/>
      <w:bCs/>
    </w:rPr>
  </w:style>
  <w:style w:type="character" w:customStyle="1" w:styleId="AsuntodelcomentarioCar">
    <w:name w:val="Asunto del comentario Car"/>
    <w:basedOn w:val="TextocomentarioCar"/>
    <w:link w:val="Asuntodelcomentario"/>
    <w:uiPriority w:val="99"/>
    <w:semiHidden/>
    <w:rsid w:val="00D074FC"/>
    <w:rPr>
      <w:rFonts w:ascii="Calibri" w:eastAsiaTheme="minorEastAsia" w:hAnsi="Calibri" w:cstheme="minorBidi"/>
      <w:b/>
      <w:bCs/>
      <w:color w:val="000000" w:themeColor="text1"/>
      <w:sz w:val="20"/>
      <w:szCs w:val="20"/>
      <w:lang w:val="es-VE" w:eastAsia="en-US"/>
    </w:rPr>
  </w:style>
  <w:style w:type="paragraph" w:customStyle="1" w:styleId="Capitulo">
    <w:name w:val="Capitulo"/>
    <w:basedOn w:val="Ttulo2"/>
    <w:link w:val="CapituloCar"/>
    <w:qFormat/>
    <w:rsid w:val="00D074FC"/>
    <w:pPr>
      <w:spacing w:before="120" w:after="120"/>
      <w:outlineLvl w:val="0"/>
    </w:pPr>
    <w:rPr>
      <w:rFonts w:ascii="Calibri" w:eastAsiaTheme="majorEastAsia" w:hAnsi="Calibri" w:cstheme="majorBidi"/>
      <w:bCs/>
      <w:sz w:val="28"/>
      <w:szCs w:val="32"/>
      <w:lang w:val="es-ES" w:eastAsia="en-US"/>
    </w:rPr>
  </w:style>
  <w:style w:type="character" w:customStyle="1" w:styleId="CapituloCar">
    <w:name w:val="Capitulo Car"/>
    <w:basedOn w:val="Ttulo2Car"/>
    <w:link w:val="Capitulo"/>
    <w:rsid w:val="00D074FC"/>
    <w:rPr>
      <w:rFonts w:ascii="Calibri" w:eastAsiaTheme="majorEastAsia" w:hAnsi="Calibri" w:cstheme="majorBidi"/>
      <w:b/>
      <w:bCs/>
      <w:color w:val="4472C4"/>
      <w:sz w:val="28"/>
      <w:szCs w:val="32"/>
      <w:lang w:val="es-ES" w:eastAsia="en-US"/>
    </w:rPr>
  </w:style>
  <w:style w:type="paragraph" w:customStyle="1" w:styleId="Subcapitulo">
    <w:name w:val="Subcapitulo"/>
    <w:basedOn w:val="Ttulo2"/>
    <w:link w:val="SubcapituloCar"/>
    <w:qFormat/>
    <w:rsid w:val="00D074FC"/>
    <w:pPr>
      <w:spacing w:before="240" w:after="240"/>
    </w:pPr>
    <w:rPr>
      <w:rFonts w:ascii="Calibri" w:eastAsiaTheme="majorEastAsia" w:hAnsi="Calibri" w:cstheme="majorBidi"/>
      <w:b w:val="0"/>
      <w:bCs/>
      <w:i/>
      <w:color w:val="auto"/>
      <w:sz w:val="24"/>
      <w:szCs w:val="32"/>
      <w:lang w:val="es-ES" w:eastAsia="en-US"/>
    </w:rPr>
  </w:style>
  <w:style w:type="character" w:customStyle="1" w:styleId="SubcapituloCar">
    <w:name w:val="Subcapitulo Car"/>
    <w:basedOn w:val="Fuentedeprrafopredeter"/>
    <w:link w:val="Subcapitulo"/>
    <w:rsid w:val="00D074FC"/>
    <w:rPr>
      <w:rFonts w:ascii="Calibri" w:eastAsiaTheme="majorEastAsia" w:hAnsi="Calibri" w:cstheme="majorBidi"/>
      <w:bCs/>
      <w:i/>
      <w:szCs w:val="32"/>
      <w:lang w:val="es-ES" w:eastAsia="en-US"/>
    </w:rPr>
  </w:style>
  <w:style w:type="paragraph" w:customStyle="1" w:styleId="TitulodeTablas">
    <w:name w:val="T[itulo de Tablas"/>
    <w:link w:val="TitulodeTablasCar"/>
    <w:qFormat/>
    <w:rsid w:val="00D074FC"/>
    <w:pPr>
      <w:spacing w:before="120"/>
      <w:jc w:val="center"/>
    </w:pPr>
    <w:rPr>
      <w:rFonts w:ascii="Calibri" w:eastAsiaTheme="minorHAnsi" w:hAnsi="Calibri" w:cstheme="minorBidi"/>
      <w:b/>
      <w:sz w:val="20"/>
      <w:szCs w:val="20"/>
      <w:lang w:val="es-VE" w:eastAsia="en-US"/>
    </w:rPr>
  </w:style>
  <w:style w:type="character" w:customStyle="1" w:styleId="TitulodeTablasCar">
    <w:name w:val="T[itulo de Tablas Car"/>
    <w:basedOn w:val="NotaalpieChar"/>
    <w:link w:val="TitulodeTablas"/>
    <w:rsid w:val="00D074FC"/>
    <w:rPr>
      <w:rFonts w:ascii="Calibri" w:eastAsiaTheme="minorHAnsi" w:hAnsi="Calibri" w:cstheme="minorBidi"/>
      <w:b/>
      <w:sz w:val="20"/>
      <w:szCs w:val="20"/>
      <w:lang w:val="es-VE" w:eastAsia="en-US"/>
    </w:rPr>
  </w:style>
  <w:style w:type="paragraph" w:customStyle="1" w:styleId="Graficos">
    <w:name w:val="Graficos"/>
    <w:basedOn w:val="TitulodeTablas"/>
    <w:link w:val="GraficosCar"/>
    <w:rsid w:val="00D074FC"/>
  </w:style>
  <w:style w:type="character" w:customStyle="1" w:styleId="GraficosCar">
    <w:name w:val="Graficos Car"/>
    <w:basedOn w:val="TitulodeTablasCar"/>
    <w:link w:val="Graficos"/>
    <w:rsid w:val="00D074FC"/>
    <w:rPr>
      <w:rFonts w:ascii="Calibri" w:eastAsiaTheme="minorHAnsi" w:hAnsi="Calibri" w:cstheme="minorBidi"/>
      <w:b/>
      <w:sz w:val="20"/>
      <w:szCs w:val="20"/>
      <w:lang w:val="es-VE" w:eastAsia="en-US"/>
    </w:rPr>
  </w:style>
  <w:style w:type="paragraph" w:customStyle="1" w:styleId="SubtituloCaratula">
    <w:name w:val="Subtitulo Caratula"/>
    <w:basedOn w:val="Normal"/>
    <w:link w:val="SubtituloCaratulaCar"/>
    <w:qFormat/>
    <w:rsid w:val="00D074FC"/>
    <w:pPr>
      <w:spacing w:before="120" w:after="120" w:line="360" w:lineRule="auto"/>
    </w:pPr>
    <w:rPr>
      <w:rFonts w:ascii="Calibri" w:eastAsiaTheme="minorEastAsia" w:hAnsi="Calibri" w:cstheme="minorBidi"/>
      <w:b/>
      <w:szCs w:val="22"/>
      <w:lang w:val="es-VE" w:eastAsia="en-US"/>
    </w:rPr>
  </w:style>
  <w:style w:type="character" w:customStyle="1" w:styleId="SubtituloCaratulaCar">
    <w:name w:val="Subtitulo Caratula Car"/>
    <w:basedOn w:val="Fuentedeprrafopredeter"/>
    <w:link w:val="SubtituloCaratula"/>
    <w:rsid w:val="00D074FC"/>
    <w:rPr>
      <w:rFonts w:ascii="Calibri" w:eastAsiaTheme="minorEastAsia" w:hAnsi="Calibri" w:cstheme="minorBidi"/>
      <w:b/>
      <w:szCs w:val="22"/>
      <w:lang w:val="es-VE" w:eastAsia="en-US"/>
    </w:rPr>
  </w:style>
  <w:style w:type="paragraph" w:styleId="Mapadeldocumento">
    <w:name w:val="Document Map"/>
    <w:basedOn w:val="Normal"/>
    <w:link w:val="MapadeldocumentoCar"/>
    <w:uiPriority w:val="99"/>
    <w:semiHidden/>
    <w:unhideWhenUsed/>
    <w:rsid w:val="00D074FC"/>
    <w:pPr>
      <w:ind w:firstLine="567"/>
      <w:jc w:val="both"/>
    </w:pPr>
    <w:rPr>
      <w:rFonts w:ascii="Tahoma" w:eastAsiaTheme="minorEastAsia" w:hAnsi="Tahoma" w:cs="Tahoma"/>
      <w:color w:val="000000" w:themeColor="text1"/>
      <w:sz w:val="16"/>
      <w:szCs w:val="16"/>
      <w:lang w:val="es-VE" w:eastAsia="en-US"/>
    </w:rPr>
  </w:style>
  <w:style w:type="character" w:customStyle="1" w:styleId="MapadeldocumentoCar">
    <w:name w:val="Mapa del documento Car"/>
    <w:basedOn w:val="Fuentedeprrafopredeter"/>
    <w:link w:val="Mapadeldocumento"/>
    <w:uiPriority w:val="99"/>
    <w:semiHidden/>
    <w:rsid w:val="00D074FC"/>
    <w:rPr>
      <w:rFonts w:ascii="Tahoma" w:eastAsiaTheme="minorEastAsia" w:hAnsi="Tahoma" w:cs="Tahoma"/>
      <w:color w:val="000000" w:themeColor="text1"/>
      <w:sz w:val="16"/>
      <w:szCs w:val="16"/>
      <w:lang w:val="es-VE" w:eastAsia="en-US"/>
    </w:rPr>
  </w:style>
  <w:style w:type="paragraph" w:styleId="Bibliografa">
    <w:name w:val="Bibliography"/>
    <w:basedOn w:val="Normal"/>
    <w:next w:val="Normal"/>
    <w:uiPriority w:val="37"/>
    <w:unhideWhenUsed/>
    <w:rsid w:val="00D074FC"/>
    <w:pPr>
      <w:spacing w:before="120" w:line="480" w:lineRule="auto"/>
      <w:ind w:left="720" w:hanging="720"/>
      <w:jc w:val="both"/>
    </w:pPr>
    <w:rPr>
      <w:rFonts w:ascii="Calibri" w:eastAsiaTheme="minorEastAsia" w:hAnsi="Calibri" w:cstheme="minorBidi"/>
      <w:color w:val="000000" w:themeColor="text1"/>
      <w:szCs w:val="22"/>
      <w:lang w:val="es-VE" w:eastAsia="en-US"/>
    </w:rPr>
  </w:style>
  <w:style w:type="paragraph" w:customStyle="1" w:styleId="Notastablasygrficos">
    <w:name w:val="Notas tablas y gráficos"/>
    <w:basedOn w:val="Sinespaciado"/>
    <w:link w:val="NotastablasygrficosCar"/>
    <w:qFormat/>
    <w:rsid w:val="00D074FC"/>
    <w:pPr>
      <w:spacing w:before="0"/>
      <w:ind w:left="0" w:firstLine="0"/>
      <w:jc w:val="both"/>
    </w:pPr>
    <w:rPr>
      <w:sz w:val="20"/>
    </w:rPr>
  </w:style>
  <w:style w:type="character" w:customStyle="1" w:styleId="NotastablasygrficosCar">
    <w:name w:val="Notas tablas y gráficos Car"/>
    <w:basedOn w:val="SinespaciadoCar"/>
    <w:link w:val="Notastablasygrficos"/>
    <w:rsid w:val="00D074FC"/>
    <w:rPr>
      <w:rFonts w:ascii="Calibri" w:eastAsiaTheme="minorEastAsia" w:hAnsi="Calibri" w:cstheme="minorBidi"/>
      <w:bCs/>
      <w:sz w:val="20"/>
      <w:szCs w:val="36"/>
      <w:lang w:val="es-VE" w:eastAsia="en-US"/>
    </w:rPr>
  </w:style>
  <w:style w:type="paragraph" w:styleId="Revisin">
    <w:name w:val="Revision"/>
    <w:hidden/>
    <w:uiPriority w:val="99"/>
    <w:semiHidden/>
    <w:rsid w:val="00D074FC"/>
    <w:rPr>
      <w:rFonts w:ascii="Calibri" w:eastAsiaTheme="minorEastAsia" w:hAnsi="Calibri" w:cstheme="minorBidi"/>
      <w:color w:val="000000" w:themeColor="text1"/>
      <w:szCs w:val="22"/>
      <w:lang w:val="es-VE" w:eastAsia="en-US"/>
    </w:rPr>
  </w:style>
  <w:style w:type="paragraph" w:customStyle="1" w:styleId="Subseccin1">
    <w:name w:val="Subsección 1"/>
    <w:basedOn w:val="Normal"/>
    <w:uiPriority w:val="1"/>
    <w:qFormat/>
    <w:rsid w:val="00D074FC"/>
    <w:pPr>
      <w:spacing w:before="120" w:after="120"/>
    </w:pPr>
    <w:rPr>
      <w:rFonts w:ascii="Calibri" w:eastAsiaTheme="minorEastAsia" w:hAnsi="Calibri" w:cstheme="minorBidi"/>
      <w:b/>
      <w:color w:val="0D0D0D" w:themeColor="text1" w:themeTint="F2"/>
      <w:kern w:val="24"/>
      <w:lang w:val="en-US" w:eastAsia="ja-JP"/>
    </w:rPr>
  </w:style>
  <w:style w:type="paragraph" w:customStyle="1" w:styleId="Default">
    <w:name w:val="Default"/>
    <w:rsid w:val="00D074FC"/>
    <w:pPr>
      <w:autoSpaceDE w:val="0"/>
      <w:autoSpaceDN w:val="0"/>
      <w:adjustRightInd w:val="0"/>
    </w:pPr>
    <w:rPr>
      <w:rFonts w:ascii="Century Gothic" w:eastAsiaTheme="minorEastAsia" w:hAnsi="Century Gothic" w:cs="Century Gothic"/>
      <w:color w:val="000000"/>
      <w:lang w:val="es-VE"/>
    </w:rPr>
  </w:style>
  <w:style w:type="paragraph" w:styleId="TDC2">
    <w:name w:val="toc 2"/>
    <w:basedOn w:val="Normal"/>
    <w:next w:val="Normal"/>
    <w:autoRedefine/>
    <w:uiPriority w:val="39"/>
    <w:unhideWhenUsed/>
    <w:rsid w:val="00D074FC"/>
    <w:pPr>
      <w:spacing w:after="100"/>
      <w:ind w:left="240" w:firstLine="709"/>
      <w:jc w:val="both"/>
    </w:pPr>
    <w:rPr>
      <w:rFonts w:ascii="Times New Roman" w:eastAsia="Times New Roman" w:hAnsi="Times New Roman" w:cs="Times New Roman"/>
      <w:color w:val="000000"/>
      <w:szCs w:val="20"/>
      <w:lang w:val="es-VE"/>
    </w:rPr>
  </w:style>
  <w:style w:type="paragraph" w:styleId="TDC1">
    <w:name w:val="toc 1"/>
    <w:basedOn w:val="Normal"/>
    <w:next w:val="Normal"/>
    <w:autoRedefine/>
    <w:uiPriority w:val="39"/>
    <w:unhideWhenUsed/>
    <w:rsid w:val="00D074FC"/>
    <w:pPr>
      <w:spacing w:after="100"/>
      <w:ind w:firstLine="709"/>
      <w:jc w:val="both"/>
    </w:pPr>
    <w:rPr>
      <w:rFonts w:ascii="Times New Roman" w:eastAsia="Times New Roman" w:hAnsi="Times New Roman" w:cs="Times New Roman"/>
      <w:color w:val="000000"/>
      <w:szCs w:val="20"/>
      <w:lang w:val="es-VE"/>
    </w:rPr>
  </w:style>
  <w:style w:type="paragraph" w:styleId="Tabladeilustraciones">
    <w:name w:val="table of figures"/>
    <w:basedOn w:val="Normal"/>
    <w:next w:val="Normal"/>
    <w:uiPriority w:val="99"/>
    <w:unhideWhenUsed/>
    <w:rsid w:val="00D074FC"/>
    <w:pPr>
      <w:ind w:firstLine="709"/>
      <w:jc w:val="both"/>
    </w:pPr>
    <w:rPr>
      <w:rFonts w:ascii="Times New Roman" w:eastAsia="Times New Roman" w:hAnsi="Times New Roman" w:cs="Times New Roman"/>
      <w:color w:val="000000"/>
      <w:szCs w:val="20"/>
      <w:lang w:val="es-VE"/>
    </w:rPr>
  </w:style>
  <w:style w:type="paragraph" w:customStyle="1" w:styleId="Ttulogrficoycuadro">
    <w:name w:val="Título gráfico y cuadro"/>
    <w:basedOn w:val="Normal"/>
    <w:qFormat/>
    <w:rsid w:val="00D074FC"/>
    <w:pPr>
      <w:ind w:firstLine="709"/>
      <w:jc w:val="center"/>
    </w:pPr>
    <w:rPr>
      <w:rFonts w:ascii="Times New Roman" w:eastAsia="Times New Roman" w:hAnsi="Times New Roman" w:cs="Times New Roman"/>
      <w:b/>
      <w:color w:val="000000"/>
      <w:szCs w:val="20"/>
      <w:lang w:val="es-VE"/>
    </w:rPr>
  </w:style>
  <w:style w:type="paragraph" w:customStyle="1" w:styleId="Textonotapie1">
    <w:name w:val="Texto nota pie1"/>
    <w:basedOn w:val="Normal"/>
    <w:uiPriority w:val="99"/>
    <w:unhideWhenUsed/>
    <w:rsid w:val="00D074FC"/>
    <w:pPr>
      <w:suppressAutoHyphens/>
      <w:ind w:firstLine="709"/>
      <w:jc w:val="both"/>
    </w:pPr>
    <w:rPr>
      <w:rFonts w:ascii="Bookman Old Style" w:eastAsiaTheme="minorHAnsi" w:hAnsi="Bookman Old Style" w:cs="Times New Roman"/>
      <w:sz w:val="20"/>
      <w:szCs w:val="20"/>
      <w:lang w:val="es-VE" w:eastAsia="en-US"/>
    </w:rPr>
  </w:style>
  <w:style w:type="character" w:customStyle="1" w:styleId="Resaltarnegritas">
    <w:name w:val="Resaltar negritas"/>
    <w:rsid w:val="00D074FC"/>
    <w:rPr>
      <w:b/>
      <w:bCs/>
    </w:rPr>
  </w:style>
  <w:style w:type="character" w:customStyle="1" w:styleId="fontstyle01">
    <w:name w:val="fontstyle01"/>
    <w:basedOn w:val="Fuentedeprrafopredeter"/>
    <w:rsid w:val="00D074FC"/>
    <w:rPr>
      <w:rFonts w:ascii="Arial" w:hAnsi="Arial" w:cs="Arial" w:hint="default"/>
      <w:b w:val="0"/>
      <w:bCs w:val="0"/>
      <w:i w:val="0"/>
      <w:iCs w:val="0"/>
      <w:color w:val="000000"/>
      <w:sz w:val="22"/>
      <w:szCs w:val="22"/>
    </w:rPr>
  </w:style>
  <w:style w:type="character" w:customStyle="1" w:styleId="fontstyle21">
    <w:name w:val="fontstyle21"/>
    <w:basedOn w:val="Fuentedeprrafopredeter"/>
    <w:rsid w:val="00D074FC"/>
    <w:rPr>
      <w:rFonts w:ascii="Fw" w:hAnsi="Fw" w:hint="default"/>
      <w:b w:val="0"/>
      <w:bCs w:val="0"/>
      <w:i w:val="0"/>
      <w:iCs w:val="0"/>
      <w:color w:val="000000"/>
      <w:sz w:val="24"/>
      <w:szCs w:val="24"/>
    </w:rPr>
  </w:style>
  <w:style w:type="character" w:customStyle="1" w:styleId="fontstyle31">
    <w:name w:val="fontstyle31"/>
    <w:basedOn w:val="Fuentedeprrafopredeter"/>
    <w:rsid w:val="00D074FC"/>
    <w:rPr>
      <w:rFonts w:ascii="Fv" w:hAnsi="Fv" w:hint="default"/>
      <w:b w:val="0"/>
      <w:bCs w:val="0"/>
      <w:i w:val="0"/>
      <w:iCs w:val="0"/>
      <w:color w:val="000000"/>
      <w:sz w:val="16"/>
      <w:szCs w:val="16"/>
    </w:rPr>
  </w:style>
  <w:style w:type="character" w:customStyle="1" w:styleId="jpfdse">
    <w:name w:val="jpfdse"/>
    <w:basedOn w:val="Fuentedeprrafopredeter"/>
    <w:rsid w:val="00D074FC"/>
  </w:style>
  <w:style w:type="paragraph" w:customStyle="1" w:styleId="Subseccin2">
    <w:name w:val="Subsección 2"/>
    <w:basedOn w:val="Normal"/>
    <w:uiPriority w:val="1"/>
    <w:rsid w:val="00D074FC"/>
    <w:pPr>
      <w:spacing w:after="120"/>
    </w:pPr>
    <w:rPr>
      <w:rFonts w:ascii="Times New Roman" w:eastAsiaTheme="minorEastAsia" w:hAnsi="Times New Roman" w:cstheme="minorBidi"/>
      <w:i/>
      <w:color w:val="0D0D0D" w:themeColor="text1" w:themeTint="F2"/>
      <w:kern w:val="24"/>
      <w:lang w:val="en-US" w:eastAsia="ja-JP"/>
    </w:rPr>
  </w:style>
  <w:style w:type="paragraph" w:customStyle="1" w:styleId="Ecuacin">
    <w:name w:val="Ecuación"/>
    <w:basedOn w:val="Normal"/>
    <w:link w:val="EcuacinCar"/>
    <w:qFormat/>
    <w:rsid w:val="00D074FC"/>
    <w:pPr>
      <w:spacing w:after="120"/>
      <w:jc w:val="center"/>
    </w:pPr>
    <w:rPr>
      <w:rFonts w:ascii="Cambria Math" w:eastAsia="Times New Roman" w:hAnsi="Cambria Math" w:cs="Times New Roman"/>
      <w:i/>
      <w:color w:val="000000"/>
      <w:szCs w:val="20"/>
      <w:lang w:val="es-VE"/>
    </w:rPr>
  </w:style>
  <w:style w:type="character" w:customStyle="1" w:styleId="EcuacinCar">
    <w:name w:val="Ecuación Car"/>
    <w:basedOn w:val="Fuentedeprrafopredeter"/>
    <w:link w:val="Ecuacin"/>
    <w:rsid w:val="00D074FC"/>
    <w:rPr>
      <w:rFonts w:ascii="Cambria Math" w:eastAsia="Times New Roman" w:hAnsi="Cambria Math" w:cs="Times New Roman"/>
      <w:i/>
      <w:color w:val="000000"/>
      <w:szCs w:val="20"/>
      <w:lang w:val="es-VE"/>
    </w:rPr>
  </w:style>
  <w:style w:type="paragraph" w:customStyle="1" w:styleId="Cuadro">
    <w:name w:val="Cuadro"/>
    <w:basedOn w:val="Descripcin"/>
    <w:qFormat/>
    <w:rsid w:val="00D074FC"/>
    <w:pPr>
      <w:ind w:firstLine="709"/>
    </w:pPr>
    <w:rPr>
      <w:rFonts w:ascii="Times New Roman" w:eastAsia="Times New Roman" w:hAnsi="Times New Roman" w:cs="Times New Roman"/>
      <w:lang w:eastAsia="es-VE"/>
    </w:rPr>
  </w:style>
  <w:style w:type="paragraph" w:customStyle="1" w:styleId="Grfico">
    <w:name w:val="Gráfico"/>
    <w:basedOn w:val="Normal"/>
    <w:link w:val="GrficoCar"/>
    <w:qFormat/>
    <w:rsid w:val="00D074FC"/>
    <w:pPr>
      <w:spacing w:before="120"/>
      <w:ind w:firstLine="709"/>
      <w:jc w:val="center"/>
    </w:pPr>
    <w:rPr>
      <w:rFonts w:ascii="Times New Roman" w:eastAsia="Times New Roman" w:hAnsi="Times New Roman" w:cs="Times New Roman"/>
      <w:b/>
      <w:color w:val="000000"/>
      <w:szCs w:val="20"/>
      <w:lang w:val="es-VE"/>
    </w:rPr>
  </w:style>
  <w:style w:type="character" w:customStyle="1" w:styleId="GrficoCar">
    <w:name w:val="Gráfico Car"/>
    <w:basedOn w:val="Fuentedeprrafopredeter"/>
    <w:link w:val="Grfico"/>
    <w:rsid w:val="00D074FC"/>
    <w:rPr>
      <w:rFonts w:ascii="Times New Roman" w:eastAsia="Times New Roman" w:hAnsi="Times New Roman" w:cs="Times New Roman"/>
      <w:b/>
      <w:color w:val="000000"/>
      <w:szCs w:val="20"/>
      <w:lang w:val="es-VE"/>
    </w:rPr>
  </w:style>
  <w:style w:type="paragraph" w:styleId="TDC3">
    <w:name w:val="toc 3"/>
    <w:basedOn w:val="Normal"/>
    <w:next w:val="Normal"/>
    <w:autoRedefine/>
    <w:uiPriority w:val="39"/>
    <w:unhideWhenUsed/>
    <w:rsid w:val="00D074FC"/>
    <w:pPr>
      <w:spacing w:before="120" w:after="100" w:line="360" w:lineRule="auto"/>
      <w:ind w:left="480" w:firstLine="567"/>
      <w:jc w:val="both"/>
    </w:pPr>
    <w:rPr>
      <w:rFonts w:ascii="Calibri" w:eastAsiaTheme="minorEastAsia" w:hAnsi="Calibri" w:cstheme="minorBidi"/>
      <w:color w:val="000000" w:themeColor="text1"/>
      <w:szCs w:val="22"/>
      <w:lang w:val="es-VE" w:eastAsia="en-US"/>
    </w:rPr>
  </w:style>
  <w:style w:type="character" w:customStyle="1" w:styleId="Mencinsinresolver1">
    <w:name w:val="Mención sin resolver1"/>
    <w:basedOn w:val="Fuentedeprrafopredeter"/>
    <w:uiPriority w:val="99"/>
    <w:semiHidden/>
    <w:unhideWhenUsed/>
    <w:rsid w:val="00D074FC"/>
    <w:rPr>
      <w:color w:val="605E5C"/>
      <w:shd w:val="clear" w:color="auto" w:fill="E1DFDD"/>
    </w:rPr>
  </w:style>
  <w:style w:type="paragraph" w:customStyle="1" w:styleId="Cita-Elegante">
    <w:name w:val="Cita - Elegante"/>
    <w:basedOn w:val="Normal"/>
    <w:rsid w:val="00AE4220"/>
    <w:pPr>
      <w:pBdr>
        <w:top w:val="double" w:sz="6" w:space="1" w:color="auto"/>
        <w:bottom w:val="double" w:sz="6" w:space="3" w:color="auto"/>
      </w:pBdr>
      <w:spacing w:after="120" w:line="280" w:lineRule="exact"/>
      <w:jc w:val="center"/>
    </w:pPr>
    <w:rPr>
      <w:rFonts w:ascii="Garamond" w:eastAsia="Times New Roman" w:hAnsi="Garamond" w:cs="Times New Roman"/>
      <w:i/>
      <w:sz w:val="28"/>
      <w:szCs w:val="20"/>
      <w:lang w:val="en-US" w:eastAsia="en-US"/>
    </w:rPr>
  </w:style>
  <w:style w:type="paragraph" w:customStyle="1" w:styleId="Tindependiente-Profesional">
    <w:name w:val="T. independiente - Profesional"/>
    <w:basedOn w:val="Normal"/>
    <w:rsid w:val="00AE4220"/>
    <w:pPr>
      <w:spacing w:after="120" w:line="280" w:lineRule="exact"/>
    </w:pPr>
    <w:rPr>
      <w:rFonts w:eastAsia="Times New Roman" w:cs="Times New Roman"/>
      <w:sz w:val="20"/>
      <w:szCs w:val="20"/>
      <w:lang w:val="es-ES_tradnl" w:eastAsia="en-US"/>
    </w:rPr>
  </w:style>
  <w:style w:type="paragraph" w:customStyle="1" w:styleId="Lneadeautor-Profesional">
    <w:name w:val="Línea de autor - Profesional"/>
    <w:basedOn w:val="Normal"/>
    <w:rsid w:val="00AE4220"/>
    <w:pPr>
      <w:spacing w:before="60" w:line="280" w:lineRule="exact"/>
    </w:pPr>
    <w:rPr>
      <w:rFonts w:ascii="Arial Black" w:eastAsia="Times New Roman" w:hAnsi="Arial Black" w:cs="Times New Roman"/>
      <w:sz w:val="18"/>
      <w:szCs w:val="20"/>
      <w:lang w:val="en-US" w:eastAsia="en-US"/>
    </w:rPr>
  </w:style>
  <w:style w:type="paragraph" w:customStyle="1" w:styleId="Lneadeautororg-Profesional">
    <w:name w:val="Línea de autor org. - Profesional"/>
    <w:basedOn w:val="Normal"/>
    <w:rsid w:val="00AE4220"/>
    <w:pPr>
      <w:spacing w:after="120"/>
    </w:pPr>
    <w:rPr>
      <w:rFonts w:eastAsia="Times New Roman" w:cs="Times New Roman"/>
      <w:sz w:val="16"/>
      <w:szCs w:val="20"/>
      <w:lang w:val="en-US" w:eastAsia="en-US"/>
    </w:rPr>
  </w:style>
  <w:style w:type="paragraph" w:customStyle="1" w:styleId="Ttulo1-Profesional">
    <w:name w:val="Título 1 - Profesional"/>
    <w:basedOn w:val="Normal"/>
    <w:rsid w:val="00AE4220"/>
    <w:pPr>
      <w:spacing w:before="120" w:after="60" w:line="360" w:lineRule="exact"/>
    </w:pPr>
    <w:rPr>
      <w:rFonts w:ascii="Arial Black" w:eastAsia="Times New Roman" w:hAnsi="Arial Black" w:cs="Times New Roman"/>
      <w:sz w:val="32"/>
      <w:szCs w:val="20"/>
      <w:lang w:val="en-US" w:eastAsia="en-US"/>
    </w:rPr>
  </w:style>
  <w:style w:type="paragraph" w:styleId="Textoindependiente3">
    <w:name w:val="Body Text 3"/>
    <w:basedOn w:val="Normal"/>
    <w:link w:val="Textoindependiente3Car"/>
    <w:semiHidden/>
    <w:rsid w:val="00AE4220"/>
    <w:pPr>
      <w:jc w:val="both"/>
    </w:pPr>
    <w:rPr>
      <w:rFonts w:eastAsia="Times New Roman" w:cs="Times New Roman"/>
      <w:sz w:val="18"/>
      <w:szCs w:val="20"/>
      <w:lang w:val="en-US" w:eastAsia="en-US"/>
    </w:rPr>
  </w:style>
  <w:style w:type="character" w:customStyle="1" w:styleId="Textoindependiente3Car">
    <w:name w:val="Texto independiente 3 Car"/>
    <w:basedOn w:val="Fuentedeprrafopredeter"/>
    <w:link w:val="Textoindependiente3"/>
    <w:semiHidden/>
    <w:rsid w:val="00AE4220"/>
    <w:rPr>
      <w:rFonts w:eastAsia="Times New Roman" w:cs="Times New Roman"/>
      <w:sz w:val="18"/>
      <w:szCs w:val="20"/>
      <w:lang w:val="en-US" w:eastAsia="en-US"/>
    </w:rPr>
  </w:style>
  <w:style w:type="paragraph" w:customStyle="1" w:styleId="Lneadeautor-Elegante">
    <w:name w:val="Línea de autor - Elegante"/>
    <w:basedOn w:val="Normal"/>
    <w:rsid w:val="00AE4220"/>
    <w:pPr>
      <w:spacing w:before="60" w:line="280" w:lineRule="exact"/>
    </w:pPr>
    <w:rPr>
      <w:rFonts w:ascii="Garamond" w:eastAsia="Times New Roman" w:hAnsi="Garamond" w:cs="Times New Roman"/>
      <w:b/>
      <w:sz w:val="20"/>
      <w:szCs w:val="20"/>
      <w:lang w:val="en-US" w:eastAsia="en-US"/>
    </w:rPr>
  </w:style>
  <w:style w:type="character" w:styleId="Nmerodepgina">
    <w:name w:val="page number"/>
    <w:basedOn w:val="Fuentedeprrafopredeter"/>
    <w:semiHidden/>
    <w:rsid w:val="00AE4220"/>
  </w:style>
  <w:style w:type="paragraph" w:styleId="NormalWeb">
    <w:name w:val="Normal (Web)"/>
    <w:basedOn w:val="Normal"/>
    <w:uiPriority w:val="99"/>
    <w:semiHidden/>
    <w:unhideWhenUsed/>
    <w:rsid w:val="00AE4220"/>
    <w:pPr>
      <w:spacing w:before="100" w:beforeAutospacing="1" w:after="100" w:afterAutospacing="1"/>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5306">
      <w:bodyDiv w:val="1"/>
      <w:marLeft w:val="0"/>
      <w:marRight w:val="0"/>
      <w:marTop w:val="0"/>
      <w:marBottom w:val="0"/>
      <w:divBdr>
        <w:top w:val="none" w:sz="0" w:space="0" w:color="auto"/>
        <w:left w:val="none" w:sz="0" w:space="0" w:color="auto"/>
        <w:bottom w:val="none" w:sz="0" w:space="0" w:color="auto"/>
        <w:right w:val="none" w:sz="0" w:space="0" w:color="auto"/>
      </w:divBdr>
      <w:divsChild>
        <w:div w:id="1376584121">
          <w:marLeft w:val="0"/>
          <w:marRight w:val="0"/>
          <w:marTop w:val="0"/>
          <w:marBottom w:val="0"/>
          <w:divBdr>
            <w:top w:val="none" w:sz="0" w:space="0" w:color="auto"/>
            <w:left w:val="none" w:sz="0" w:space="0" w:color="auto"/>
            <w:bottom w:val="none" w:sz="0" w:space="0" w:color="auto"/>
            <w:right w:val="none" w:sz="0" w:space="0" w:color="auto"/>
          </w:divBdr>
        </w:div>
      </w:divsChild>
    </w:div>
    <w:div w:id="318925786">
      <w:bodyDiv w:val="1"/>
      <w:marLeft w:val="0"/>
      <w:marRight w:val="0"/>
      <w:marTop w:val="0"/>
      <w:marBottom w:val="0"/>
      <w:divBdr>
        <w:top w:val="none" w:sz="0" w:space="0" w:color="auto"/>
        <w:left w:val="none" w:sz="0" w:space="0" w:color="auto"/>
        <w:bottom w:val="none" w:sz="0" w:space="0" w:color="auto"/>
        <w:right w:val="none" w:sz="0" w:space="0" w:color="auto"/>
      </w:divBdr>
    </w:div>
    <w:div w:id="520436746">
      <w:bodyDiv w:val="1"/>
      <w:marLeft w:val="0"/>
      <w:marRight w:val="0"/>
      <w:marTop w:val="0"/>
      <w:marBottom w:val="0"/>
      <w:divBdr>
        <w:top w:val="none" w:sz="0" w:space="0" w:color="auto"/>
        <w:left w:val="none" w:sz="0" w:space="0" w:color="auto"/>
        <w:bottom w:val="none" w:sz="0" w:space="0" w:color="auto"/>
        <w:right w:val="none" w:sz="0" w:space="0" w:color="auto"/>
      </w:divBdr>
    </w:div>
    <w:div w:id="792092934">
      <w:bodyDiv w:val="1"/>
      <w:marLeft w:val="0"/>
      <w:marRight w:val="0"/>
      <w:marTop w:val="0"/>
      <w:marBottom w:val="0"/>
      <w:divBdr>
        <w:top w:val="none" w:sz="0" w:space="0" w:color="auto"/>
        <w:left w:val="none" w:sz="0" w:space="0" w:color="auto"/>
        <w:bottom w:val="none" w:sz="0" w:space="0" w:color="auto"/>
        <w:right w:val="none" w:sz="0" w:space="0" w:color="auto"/>
      </w:divBdr>
    </w:div>
    <w:div w:id="1566716668">
      <w:bodyDiv w:val="1"/>
      <w:marLeft w:val="0"/>
      <w:marRight w:val="0"/>
      <w:marTop w:val="0"/>
      <w:marBottom w:val="0"/>
      <w:divBdr>
        <w:top w:val="none" w:sz="0" w:space="0" w:color="auto"/>
        <w:left w:val="none" w:sz="0" w:space="0" w:color="auto"/>
        <w:bottom w:val="none" w:sz="0" w:space="0" w:color="auto"/>
        <w:right w:val="none" w:sz="0" w:space="0" w:color="auto"/>
      </w:divBdr>
    </w:div>
    <w:div w:id="1808739682">
      <w:bodyDiv w:val="1"/>
      <w:marLeft w:val="0"/>
      <w:marRight w:val="0"/>
      <w:marTop w:val="0"/>
      <w:marBottom w:val="0"/>
      <w:divBdr>
        <w:top w:val="none" w:sz="0" w:space="0" w:color="auto"/>
        <w:left w:val="none" w:sz="0" w:space="0" w:color="auto"/>
        <w:bottom w:val="none" w:sz="0" w:space="0" w:color="auto"/>
        <w:right w:val="none" w:sz="0" w:space="0" w:color="auto"/>
      </w:divBdr>
      <w:divsChild>
        <w:div w:id="71700057">
          <w:marLeft w:val="0"/>
          <w:marRight w:val="0"/>
          <w:marTop w:val="0"/>
          <w:marBottom w:val="0"/>
          <w:divBdr>
            <w:top w:val="none" w:sz="0" w:space="0" w:color="auto"/>
            <w:left w:val="none" w:sz="0" w:space="0" w:color="auto"/>
            <w:bottom w:val="none" w:sz="0" w:space="0" w:color="auto"/>
            <w:right w:val="none" w:sz="0" w:space="0" w:color="auto"/>
          </w:divBdr>
        </w:div>
      </w:divsChild>
    </w:div>
    <w:div w:id="2029747658">
      <w:bodyDiv w:val="1"/>
      <w:marLeft w:val="0"/>
      <w:marRight w:val="0"/>
      <w:marTop w:val="0"/>
      <w:marBottom w:val="0"/>
      <w:divBdr>
        <w:top w:val="none" w:sz="0" w:space="0" w:color="auto"/>
        <w:left w:val="none" w:sz="0" w:space="0" w:color="auto"/>
        <w:bottom w:val="none" w:sz="0" w:space="0" w:color="auto"/>
        <w:right w:val="none" w:sz="0" w:space="0" w:color="auto"/>
      </w:divBdr>
    </w:div>
    <w:div w:id="2065640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loomberglinea.com/latinoamerica/venezuela/cuales-son-las-expectativas-para-venezuela-en-2024-tras-el-alivio-de-sanciones/" TargetMode="External"/><Relationship Id="rId21" Type="http://schemas.openxmlformats.org/officeDocument/2006/relationships/hyperlink" Target="https://www.ucab.edu.ve/investigacion/centros-e-institutos-de-investigacion/iies/informes-de-coyuntura" TargetMode="External"/><Relationship Id="rId34" Type="http://schemas.openxmlformats.org/officeDocument/2006/relationships/hyperlink" Target="http://www2.petroguia.com/pet/noticias/petr%C3%B3leo/ecoanal%C3%ADtica-pib-petrolero-de-venezuela-crecer%C3%A1-6-en-2023-y-81-en-2024" TargetMode="External"/><Relationship Id="rId42" Type="http://schemas.openxmlformats.org/officeDocument/2006/relationships/image" Target="media/image4.emf"/><Relationship Id="rId47" Type="http://schemas.openxmlformats.org/officeDocument/2006/relationships/diagramData" Target="diagrams/data1.xml"/><Relationship Id="rId50" Type="http://schemas.openxmlformats.org/officeDocument/2006/relationships/diagramColors" Target="diagrams/colors1.xml"/><Relationship Id="rId55" Type="http://schemas.openxmlformats.org/officeDocument/2006/relationships/image" Target="media/image12.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ctualidadfinancierayfiscal.blogspot.com/2021/05/resultados-2020-retos-del-futuro-i.html" TargetMode="External"/><Relationship Id="rId29" Type="http://schemas.openxmlformats.org/officeDocument/2006/relationships/hyperlink" Target="https://www.lavanguardia.com/internacional/20181125/453134520775/giro-politico-latinoamerica-progresismo-conservadurismo-populismo.html" TargetMode="External"/><Relationship Id="rId11" Type="http://schemas.openxmlformats.org/officeDocument/2006/relationships/hyperlink" Target="https://www.google.com/search?q=https://doi.org/10.53766/VIGEREN/2023.01.02.02" TargetMode="External"/><Relationship Id="rId24" Type="http://schemas.openxmlformats.org/officeDocument/2006/relationships/hyperlink" Target="https://elpais.com/economia/2023-10-09/la-opep-preve-un-mayor-consumo-de-petroleo-y-alerta-sobre-el-caos-si-no-se-invierten-14-billones.html" TargetMode="External"/><Relationship Id="rId32" Type="http://schemas.openxmlformats.org/officeDocument/2006/relationships/hyperlink" Target="https://es.statista.com/grafico/28637/mapa-de-los-gobiernos-latinoamericanos/" TargetMode="External"/><Relationship Id="rId37" Type="http://schemas.openxmlformats.org/officeDocument/2006/relationships/hyperlink" Target="https://efe.com/economia/2023-11-04/venezuela-con-restricciones-para-expandir-su-economia-aun-sin-sanciones/" TargetMode="External"/><Relationship Id="rId40" Type="http://schemas.openxmlformats.org/officeDocument/2006/relationships/image" Target="media/image2.png"/><Relationship Id="rId45" Type="http://schemas.openxmlformats.org/officeDocument/2006/relationships/image" Target="media/image7.png"/><Relationship Id="rId53" Type="http://schemas.openxmlformats.org/officeDocument/2006/relationships/image" Target="media/image10.png"/><Relationship Id="rId58" Type="http://schemas.openxmlformats.org/officeDocument/2006/relationships/image" Target="media/image15.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ucab.edu.ve/wp-content/uploads/2022/01/UCAB-Nota-13-Estructura-y-desigualdad-en-el-consumo-LZS-y-SS.pdf" TargetMode="External"/><Relationship Id="rId14" Type="http://schemas.openxmlformats.org/officeDocument/2006/relationships/hyperlink" Target="https://repositorio.cepal.org/server/api/core/bitstreams/4bc323c9-0221-48b0-80ee-f9b2c6122cff/content" TargetMode="External"/><Relationship Id="rId22" Type="http://schemas.openxmlformats.org/officeDocument/2006/relationships/hyperlink" Target="https://latamnetworks.es/desarrollo-de-la-franquicia-en-latam/" TargetMode="External"/><Relationship Id="rId27" Type="http://schemas.openxmlformats.org/officeDocument/2006/relationships/hyperlink" Target="https://www.bing.com/" TargetMode="External"/><Relationship Id="rId30" Type="http://schemas.openxmlformats.org/officeDocument/2006/relationships/hyperlink" Target="https://doi.org/10.1787/5a7667d6-es" TargetMode="External"/><Relationship Id="rId35" Type="http://schemas.openxmlformats.org/officeDocument/2006/relationships/hyperlink" Target="https://www.yumpu.com/es/document/read/14325696/arturo-uslar-pietri-y-la-comprension-de-la-economia-venezolana" TargetMode="External"/><Relationship Id="rId43" Type="http://schemas.openxmlformats.org/officeDocument/2006/relationships/image" Target="media/image5.png"/><Relationship Id="rId48" Type="http://schemas.openxmlformats.org/officeDocument/2006/relationships/diagramLayout" Target="diagrams/layout1.xml"/><Relationship Id="rId56" Type="http://schemas.openxmlformats.org/officeDocument/2006/relationships/image" Target="media/image13.png"/><Relationship Id="rId64" Type="http://schemas.openxmlformats.org/officeDocument/2006/relationships/header" Target="header2.xml"/><Relationship Id="rId8" Type="http://schemas.openxmlformats.org/officeDocument/2006/relationships/hyperlink" Target="mailto:rbaskint@ucab.edu.ve" TargetMode="External"/><Relationship Id="rId51" Type="http://schemas.microsoft.com/office/2007/relationships/diagramDrawing" Target="diagrams/drawing1.xml"/><Relationship Id="rId3" Type="http://schemas.openxmlformats.org/officeDocument/2006/relationships/styles" Target="styles.xml"/><Relationship Id="rId12" Type="http://schemas.openxmlformats.org/officeDocument/2006/relationships/hyperlink" Target="https://cedice.org.ve/observatoriogp/portfolio-items/situacion-del-emprendimiento-en-venezuela-y-el-gasto-publico/" TargetMode="External"/><Relationship Id="rId17" Type="http://schemas.openxmlformats.org/officeDocument/2006/relationships/hyperlink" Target="https://www.gemconsortium.org/reports/latest-global-report" TargetMode="External"/><Relationship Id="rId25" Type="http://schemas.openxmlformats.org/officeDocument/2006/relationships/hyperlink" Target="https://www.bloomberglinea.com/2022/07/20/sector-de-franquicias-se-recupera-en-venezuela-tras-haber-perdido-270-marcas-en-7-anos/" TargetMode="External"/><Relationship Id="rId33" Type="http://schemas.openxmlformats.org/officeDocument/2006/relationships/hyperlink" Target="https://www.semana.com/opinion/articulo/empieza-una-nueva-oleada-de-izquierda-en-america-latina/278196/" TargetMode="External"/><Relationship Id="rId38" Type="http://schemas.openxmlformats.org/officeDocument/2006/relationships/hyperlink" Target="https://www.swissinfo.ch/spa/venezuela-econom%C3%ADa_econom%C3%ADa-venezolana-crecer%C3%A1-un-9-9---en-2024-si-se-levantan-las-sanciones--prev%C3%A9-una-firma/48883310" TargetMode="External"/><Relationship Id="rId46" Type="http://schemas.openxmlformats.org/officeDocument/2006/relationships/image" Target="media/image8.emf"/><Relationship Id="rId59" Type="http://schemas.openxmlformats.org/officeDocument/2006/relationships/image" Target="media/image16.png"/><Relationship Id="rId67" Type="http://schemas.openxmlformats.org/officeDocument/2006/relationships/theme" Target="theme/theme1.xml"/><Relationship Id="rId20" Type="http://schemas.openxmlformats.org/officeDocument/2006/relationships/hyperlink" Target="https://www.ucab.edu.ve/investigacion/centros-e-institutos-de-investigacion/iies/informes-de-coyuntura/" TargetMode="External"/><Relationship Id="rId41" Type="http://schemas.openxmlformats.org/officeDocument/2006/relationships/image" Target="media/image3.emf"/><Relationship Id="rId54" Type="http://schemas.openxmlformats.org/officeDocument/2006/relationships/image" Target="media/image11.emf"/><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ve.scielo.org/scielo.php?script=sci_arttext&amp;pid=S0367-47622001000300017&amp;lng=es&amp;tlng=es" TargetMode="External"/><Relationship Id="rId23" Type="http://schemas.openxmlformats.org/officeDocument/2006/relationships/hyperlink" Target="https://elucabista.com/2023/03/15/tres-millones-de-venezolanos-son-emprendedores-revela-estudio-de-la-ucab-y-el-iesa/" TargetMode="External"/><Relationship Id="rId28" Type="http://schemas.openxmlformats.org/officeDocument/2006/relationships/hyperlink" Target="https://www.eleconomista.es/mercados-cotizaciones/noticias/12497732/10/23/puede-venezuela-tumbar-el-petroleo-eeuu-levanta-las-sanciones-al-crudo-y-gas-contra-maduro.html" TargetMode="External"/><Relationship Id="rId36" Type="http://schemas.openxmlformats.org/officeDocument/2006/relationships/hyperlink" Target="https://franciscorodriguez.net/2022/02/17/el-fin-de-la-hiperinflacion-venezolana/" TargetMode="External"/><Relationship Id="rId49" Type="http://schemas.openxmlformats.org/officeDocument/2006/relationships/diagramQuickStyle" Target="diagrams/quickStyle1.xml"/><Relationship Id="rId57" Type="http://schemas.openxmlformats.org/officeDocument/2006/relationships/image" Target="media/image14.png"/><Relationship Id="rId10" Type="http://schemas.openxmlformats.org/officeDocument/2006/relationships/hyperlink" Target="http://www.saber.ula.ve/handle/123456789/48814" TargetMode="External"/><Relationship Id="rId31" Type="http://schemas.openxmlformats.org/officeDocument/2006/relationships/hyperlink" Target="https://www.elespanol.com/invertia/empresas/energia/20220630/demanda-subira-futuro-podria-desastroso-sector-petroleo/683931757_0.html" TargetMode="External"/><Relationship Id="rId44" Type="http://schemas.openxmlformats.org/officeDocument/2006/relationships/image" Target="media/image6.png"/><Relationship Id="rId52" Type="http://schemas.openxmlformats.org/officeDocument/2006/relationships/image" Target="media/image9.png"/><Relationship Id="rId60" Type="http://schemas.openxmlformats.org/officeDocument/2006/relationships/image" Target="media/image17.png"/><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bancaynegocios.com/datos-bcv-reporta-12-meses-con-inflacion-menor-a-50-se-acabo-la-hiperinflacion/" TargetMode="External"/><Relationship Id="rId13" Type="http://schemas.openxmlformats.org/officeDocument/2006/relationships/hyperlink" Target="https://repositorio.cepal.org/bitstream/handle/11362/1058/1/S046500_es.pdf" TargetMode="External"/><Relationship Id="rId18" Type="http://schemas.openxmlformats.org/officeDocument/2006/relationships/hyperlink" Target="https://bard.google.com/chat" TargetMode="External"/><Relationship Id="rId39"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1library.co/article/desarrollo-de-las-franquicias-a-nivel-mundial.z1d5wwpz" TargetMode="External"/><Relationship Id="rId3" Type="http://schemas.openxmlformats.org/officeDocument/2006/relationships/hyperlink" Target="https://cronica.uno/incertidumbre-postelectoral-dificulta-escenarios-de-cierre-de-ano-con-estabilidad-economica/" TargetMode="External"/><Relationship Id="rId7" Type="http://schemas.openxmlformats.org/officeDocument/2006/relationships/hyperlink" Target="https://www.depilarte.co/blog-depilarte/franquicias-disponibles-en-venezuela/" TargetMode="External"/><Relationship Id="rId2" Type="http://schemas.openxmlformats.org/officeDocument/2006/relationships/hyperlink" Target="https://www.profranquicias.org/en" TargetMode="External"/><Relationship Id="rId1" Type="http://schemas.openxmlformats.org/officeDocument/2006/relationships/hyperlink" Target="https://economipedia.com/definiciones/hiperinflacion.html" TargetMode="External"/><Relationship Id="rId6" Type="http://schemas.openxmlformats.org/officeDocument/2006/relationships/hyperlink" Target="https://www.r4v.info/es/refugiadosymigrantes" TargetMode="External"/><Relationship Id="rId11" Type="http://schemas.openxmlformats.org/officeDocument/2006/relationships/hyperlink" Target="https://www.reuters.com/graphics/VENEZUELA-OIL/EXPORTS/nmovaxqarpa/" TargetMode="External"/><Relationship Id="rId5" Type="http://schemas.openxmlformats.org/officeDocument/2006/relationships/hyperlink" Target="https://www.bancodevenezuela.com/index.html@p=3517.html" TargetMode="External"/><Relationship Id="rId10" Type="http://schemas.openxmlformats.org/officeDocument/2006/relationships/hyperlink" Target="https://www.epdata.es/evolucion-pib-venezuela-fmi/f73e4fdb-2a08-4bf1-b657-a9a87c23f803?accion=1" TargetMode="External"/><Relationship Id="rId4" Type="http://schemas.openxmlformats.org/officeDocument/2006/relationships/hyperlink" Target="https://es.statista.com/estadisticas/1322925/participacion-del-petroleo-en-las-exportaciones-de-venezuela/" TargetMode="External"/><Relationship Id="rId9" Type="http://schemas.openxmlformats.org/officeDocument/2006/relationships/hyperlink" Target="https://1library.co/article/desarrollo-de-las-franquicias-a-nivel-mundial.z1d5wwp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0.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23450D-CE1F-45B0-8431-F5DDB335A5E0}" type="doc">
      <dgm:prSet loTypeId="urn:microsoft.com/office/officeart/2005/8/layout/radial1" loCatId="relationship" qsTypeId="urn:microsoft.com/office/officeart/2005/8/quickstyle/simple1" qsCatId="simple" csTypeId="urn:microsoft.com/office/officeart/2005/8/colors/accent1_2" csCatId="accent1"/>
      <dgm:spPr/>
    </dgm:pt>
    <dgm:pt modelId="{45EA3CAF-73E9-4285-A90F-24CF8F48B0E4}">
      <dgm:prSet/>
      <dgm:spPr/>
      <dgm:t>
        <a:bodyPr/>
        <a:lstStyle/>
        <a:p>
          <a:pPr marR="0" algn="ctr" rtl="0"/>
          <a:endParaRPr lang="es-MX" b="0" i="0" u="none" strike="noStrike" kern="100" baseline="0">
            <a:latin typeface="Arial" panose="020B0604020202020204" pitchFamily="34" charset="0"/>
          </a:endParaRPr>
        </a:p>
        <a:p>
          <a:pPr marR="0" algn="ctr" rtl="0"/>
          <a:r>
            <a:rPr lang="es-MX" b="1" i="0" u="none" strike="noStrike" kern="100" baseline="0">
              <a:latin typeface="Aptos" panose="020B0004020202020204" pitchFamily="34" charset="0"/>
            </a:rPr>
            <a:t>NEGOCIO DE FRANQUI</a:t>
          </a:r>
          <a:r>
            <a:rPr lang="es-MX" b="1" i="0" u="none" strike="noStrike" kern="100" baseline="0">
              <a:latin typeface="Arial" panose="020B0604020202020204" pitchFamily="34" charset="0"/>
            </a:rPr>
            <a:t>-</a:t>
          </a:r>
          <a:r>
            <a:rPr lang="es-MX" b="1" i="0" u="none" strike="noStrike" kern="100" baseline="0">
              <a:latin typeface="Aptos" panose="020B0004020202020204" pitchFamily="34" charset="0"/>
            </a:rPr>
            <a:t>CIAS</a:t>
          </a:r>
          <a:endParaRPr lang="es-VE"/>
        </a:p>
      </dgm:t>
    </dgm:pt>
    <dgm:pt modelId="{90D37ED5-16CF-4C9A-8372-190AD9D993FD}" type="parTrans" cxnId="{5980F7EB-1FB8-4E26-ADCE-5C58B164CD23}">
      <dgm:prSet/>
      <dgm:spPr/>
      <dgm:t>
        <a:bodyPr/>
        <a:lstStyle/>
        <a:p>
          <a:endParaRPr lang="es-VE"/>
        </a:p>
      </dgm:t>
    </dgm:pt>
    <dgm:pt modelId="{D907FA02-7344-4979-8A3F-BB8B68AA1B1C}" type="sibTrans" cxnId="{5980F7EB-1FB8-4E26-ADCE-5C58B164CD23}">
      <dgm:prSet/>
      <dgm:spPr/>
      <dgm:t>
        <a:bodyPr/>
        <a:lstStyle/>
        <a:p>
          <a:endParaRPr lang="es-VE"/>
        </a:p>
      </dgm:t>
    </dgm:pt>
    <dgm:pt modelId="{2FA38F60-B2D1-4DE1-8F0B-90588653CF11}">
      <dgm:prSet/>
      <dgm:spPr/>
      <dgm:t>
        <a:bodyPr/>
        <a:lstStyle/>
        <a:p>
          <a:pPr marR="0" algn="ctr" rtl="0"/>
          <a:endParaRPr lang="es-MX" b="0" i="0" u="none" strike="noStrike" kern="100" baseline="0">
            <a:latin typeface="Arial" panose="020B0604020202020204" pitchFamily="34" charset="0"/>
          </a:endParaRPr>
        </a:p>
        <a:p>
          <a:pPr marR="0" algn="ctr" rtl="0"/>
          <a:endParaRPr lang="es-MX" b="0" i="0" u="none" strike="noStrike" kern="100" baseline="0">
            <a:latin typeface="Arial" panose="020B0604020202020204" pitchFamily="34" charset="0"/>
          </a:endParaRPr>
        </a:p>
        <a:p>
          <a:pPr marR="0" algn="ctr" rtl="0"/>
          <a:r>
            <a:rPr lang="es-MX" b="0" i="0" u="none" strike="noStrike" kern="100" baseline="0">
              <a:latin typeface="Aptos" panose="020B0004020202020204" pitchFamily="34" charset="0"/>
            </a:rPr>
            <a:t>CONTROL CAMBIARIO</a:t>
          </a:r>
          <a:endParaRPr lang="es-VE"/>
        </a:p>
      </dgm:t>
    </dgm:pt>
    <dgm:pt modelId="{F2AA8CA7-91AC-4149-B073-03831C16B0E6}" type="parTrans" cxnId="{479FFD7C-3286-4CA8-803E-C189E7A7A049}">
      <dgm:prSet/>
      <dgm:spPr/>
      <dgm:t>
        <a:bodyPr/>
        <a:lstStyle/>
        <a:p>
          <a:endParaRPr lang="es-VE"/>
        </a:p>
      </dgm:t>
    </dgm:pt>
    <dgm:pt modelId="{B697A4D2-BB5E-45AF-80C4-7B630A213DC8}" type="sibTrans" cxnId="{479FFD7C-3286-4CA8-803E-C189E7A7A049}">
      <dgm:prSet/>
      <dgm:spPr/>
      <dgm:t>
        <a:bodyPr/>
        <a:lstStyle/>
        <a:p>
          <a:endParaRPr lang="es-VE"/>
        </a:p>
      </dgm:t>
    </dgm:pt>
    <dgm:pt modelId="{D69FD8E7-DC3D-44F8-89AB-17C231F1CA2E}">
      <dgm:prSet/>
      <dgm:spPr/>
      <dgm:t>
        <a:bodyPr/>
        <a:lstStyle/>
        <a:p>
          <a:pPr marR="0" algn="ctr" rtl="0"/>
          <a:endParaRPr lang="es-MX" b="0" i="0" u="none" strike="noStrike" kern="100" baseline="0">
            <a:latin typeface="Arial" panose="020B0604020202020204" pitchFamily="34" charset="0"/>
          </a:endParaRPr>
        </a:p>
        <a:p>
          <a:pPr marR="0" algn="ctr" rtl="0"/>
          <a:endParaRPr lang="es-MX" b="0" i="0" u="none" strike="noStrike" kern="100" baseline="0">
            <a:latin typeface="Arial" panose="020B0604020202020204" pitchFamily="34" charset="0"/>
          </a:endParaRPr>
        </a:p>
        <a:p>
          <a:pPr marR="0" algn="ctr" rtl="0"/>
          <a:r>
            <a:rPr lang="es-MX" b="0" i="0" u="none" strike="noStrike" kern="100" baseline="0">
              <a:latin typeface="Aptos" panose="020B0004020202020204" pitchFamily="34" charset="0"/>
            </a:rPr>
            <a:t>CONTROL DE PRECIOS</a:t>
          </a:r>
          <a:endParaRPr lang="es-VE"/>
        </a:p>
      </dgm:t>
    </dgm:pt>
    <dgm:pt modelId="{88D27105-79D6-4B64-8970-37D0E7743879}" type="parTrans" cxnId="{1358FC02-D8A8-4646-8776-667F6930951E}">
      <dgm:prSet/>
      <dgm:spPr/>
      <dgm:t>
        <a:bodyPr/>
        <a:lstStyle/>
        <a:p>
          <a:endParaRPr lang="es-VE"/>
        </a:p>
      </dgm:t>
    </dgm:pt>
    <dgm:pt modelId="{46AE65AD-8E91-4727-942D-DEF992FAA08F}" type="sibTrans" cxnId="{1358FC02-D8A8-4646-8776-667F6930951E}">
      <dgm:prSet/>
      <dgm:spPr/>
      <dgm:t>
        <a:bodyPr/>
        <a:lstStyle/>
        <a:p>
          <a:endParaRPr lang="es-VE"/>
        </a:p>
      </dgm:t>
    </dgm:pt>
    <dgm:pt modelId="{0517539D-7B6C-490D-930C-50EC7FB447E5}">
      <dgm:prSet/>
      <dgm:spPr/>
      <dgm:t>
        <a:bodyPr/>
        <a:lstStyle/>
        <a:p>
          <a:pPr marR="0" algn="ctr" rtl="0"/>
          <a:r>
            <a:rPr lang="es-MX" b="0" i="0" u="none" strike="noStrike" kern="100" baseline="0">
              <a:latin typeface="Aptos" panose="020B0004020202020204" pitchFamily="34" charset="0"/>
            </a:rPr>
            <a:t>PROHIBI</a:t>
          </a:r>
          <a:r>
            <a:rPr lang="es-MX" b="0" i="0" u="none" strike="noStrike" kern="100" baseline="0">
              <a:latin typeface="Arial" panose="020B0604020202020204" pitchFamily="34" charset="0"/>
            </a:rPr>
            <a:t>-</a:t>
          </a:r>
          <a:r>
            <a:rPr lang="es-MX" b="0" i="0" u="none" strike="noStrike" kern="100" baseline="0">
              <a:latin typeface="Aptos" panose="020B0004020202020204" pitchFamily="34" charset="0"/>
            </a:rPr>
            <a:t>CIÓN REPATRIA</a:t>
          </a:r>
          <a:r>
            <a:rPr lang="es-MX" b="0" i="0" u="none" strike="noStrike" kern="100" baseline="0">
              <a:latin typeface="Arial" panose="020B0604020202020204" pitchFamily="34" charset="0"/>
            </a:rPr>
            <a:t>-</a:t>
          </a:r>
          <a:r>
            <a:rPr lang="es-MX" b="0" i="0" u="none" strike="noStrike" kern="100" baseline="0">
              <a:latin typeface="Aptos" panose="020B0004020202020204" pitchFamily="34" charset="0"/>
            </a:rPr>
            <a:t>CIÓN DE CAPITALES</a:t>
          </a:r>
          <a:endParaRPr lang="es-VE"/>
        </a:p>
      </dgm:t>
    </dgm:pt>
    <dgm:pt modelId="{23C4658F-A30D-48C5-A5CB-8622F0AE6F0F}" type="parTrans" cxnId="{908A6E98-B218-4A2B-B5BC-81BDC824CC9D}">
      <dgm:prSet/>
      <dgm:spPr/>
      <dgm:t>
        <a:bodyPr/>
        <a:lstStyle/>
        <a:p>
          <a:endParaRPr lang="es-VE"/>
        </a:p>
      </dgm:t>
    </dgm:pt>
    <dgm:pt modelId="{E0592745-3195-4810-8322-5116184A6D10}" type="sibTrans" cxnId="{908A6E98-B218-4A2B-B5BC-81BDC824CC9D}">
      <dgm:prSet/>
      <dgm:spPr/>
      <dgm:t>
        <a:bodyPr/>
        <a:lstStyle/>
        <a:p>
          <a:endParaRPr lang="es-VE"/>
        </a:p>
      </dgm:t>
    </dgm:pt>
    <dgm:pt modelId="{E796E897-B3C0-443C-AEC7-77A4E5CFBBAF}">
      <dgm:prSet/>
      <dgm:spPr/>
      <dgm:t>
        <a:bodyPr/>
        <a:lstStyle/>
        <a:p>
          <a:pPr marR="0" algn="ctr" rtl="0"/>
          <a:endParaRPr lang="es-MX" b="0" i="0" u="none" strike="noStrike" kern="100" baseline="0">
            <a:latin typeface="Arial" panose="020B0604020202020204" pitchFamily="34" charset="0"/>
          </a:endParaRPr>
        </a:p>
        <a:p>
          <a:pPr marR="0" algn="ctr" rtl="0"/>
          <a:endParaRPr lang="es-MX" b="0" i="0" u="none" strike="noStrike" kern="100" baseline="0">
            <a:latin typeface="Arial" panose="020B0604020202020204" pitchFamily="34" charset="0"/>
          </a:endParaRPr>
        </a:p>
        <a:p>
          <a:pPr marR="0" algn="ctr" rtl="0"/>
          <a:r>
            <a:rPr lang="es-MX" b="0" i="0" u="none" strike="noStrike" kern="100" baseline="0">
              <a:latin typeface="Aptos" panose="020B0004020202020204" pitchFamily="34" charset="0"/>
            </a:rPr>
            <a:t>LÍMITE A LAS GANANCIAS</a:t>
          </a:r>
          <a:endParaRPr lang="es-VE"/>
        </a:p>
      </dgm:t>
    </dgm:pt>
    <dgm:pt modelId="{F7BEBD1E-225B-4FC3-B65D-4D03BD4986EF}" type="parTrans" cxnId="{F92C7CFD-4EB7-4BDC-9914-5BC4C2CE2936}">
      <dgm:prSet/>
      <dgm:spPr/>
      <dgm:t>
        <a:bodyPr/>
        <a:lstStyle/>
        <a:p>
          <a:endParaRPr lang="es-VE"/>
        </a:p>
      </dgm:t>
    </dgm:pt>
    <dgm:pt modelId="{A2DF2A32-F71F-4995-95EB-A6D6119DBCA0}" type="sibTrans" cxnId="{F92C7CFD-4EB7-4BDC-9914-5BC4C2CE2936}">
      <dgm:prSet/>
      <dgm:spPr/>
      <dgm:t>
        <a:bodyPr/>
        <a:lstStyle/>
        <a:p>
          <a:endParaRPr lang="es-VE"/>
        </a:p>
      </dgm:t>
    </dgm:pt>
    <dgm:pt modelId="{FAC9C803-4B82-459A-8D51-97FEA075A617}">
      <dgm:prSet/>
      <dgm:spPr/>
      <dgm:t>
        <a:bodyPr/>
        <a:lstStyle/>
        <a:p>
          <a:pPr marR="0" algn="ctr" rtl="0"/>
          <a:endParaRPr lang="es-MX" b="0" i="0" u="none" strike="noStrike" kern="100" baseline="0">
            <a:latin typeface="Arial" panose="020B0604020202020204" pitchFamily="34" charset="0"/>
          </a:endParaRPr>
        </a:p>
        <a:p>
          <a:pPr marR="0" algn="ctr" rtl="0"/>
          <a:endParaRPr lang="es-MX" b="0" i="0" u="none" strike="noStrike" kern="100" baseline="0">
            <a:latin typeface="Arial" panose="020B0604020202020204" pitchFamily="34" charset="0"/>
          </a:endParaRPr>
        </a:p>
        <a:p>
          <a:pPr marR="0" algn="ctr" rtl="0"/>
          <a:r>
            <a:rPr lang="es-MX" b="0" i="0" u="none" strike="noStrike" kern="100" baseline="0">
              <a:latin typeface="Aptos" panose="020B0004020202020204" pitchFamily="34" charset="0"/>
            </a:rPr>
            <a:t>HIPER-</a:t>
          </a:r>
        </a:p>
        <a:p>
          <a:pPr marR="0" algn="ctr" rtl="0"/>
          <a:r>
            <a:rPr lang="es-MX" b="0" i="0" u="none" strike="noStrike" kern="100" baseline="0">
              <a:latin typeface="Aptos" panose="020B0004020202020204" pitchFamily="34" charset="0"/>
            </a:rPr>
            <a:t>INFLACIÓN</a:t>
          </a:r>
          <a:endParaRPr lang="es-VE"/>
        </a:p>
      </dgm:t>
    </dgm:pt>
    <dgm:pt modelId="{7CA8F9D0-423B-40F9-B125-C2F863BDB0F7}" type="parTrans" cxnId="{C236B937-F7C6-417C-B6BB-FDB78D7B3BB0}">
      <dgm:prSet/>
      <dgm:spPr/>
      <dgm:t>
        <a:bodyPr/>
        <a:lstStyle/>
        <a:p>
          <a:endParaRPr lang="es-VE"/>
        </a:p>
      </dgm:t>
    </dgm:pt>
    <dgm:pt modelId="{8D783DD1-28EE-4674-AB49-CC5D580EDADE}" type="sibTrans" cxnId="{C236B937-F7C6-417C-B6BB-FDB78D7B3BB0}">
      <dgm:prSet/>
      <dgm:spPr/>
      <dgm:t>
        <a:bodyPr/>
        <a:lstStyle/>
        <a:p>
          <a:endParaRPr lang="es-VE"/>
        </a:p>
      </dgm:t>
    </dgm:pt>
    <dgm:pt modelId="{A883B144-0172-4BDC-A277-14F7A917D763}" type="pres">
      <dgm:prSet presAssocID="{3223450D-CE1F-45B0-8431-F5DDB335A5E0}" presName="cycle" presStyleCnt="0">
        <dgm:presLayoutVars>
          <dgm:chMax val="1"/>
          <dgm:dir/>
          <dgm:animLvl val="ctr"/>
          <dgm:resizeHandles val="exact"/>
        </dgm:presLayoutVars>
      </dgm:prSet>
      <dgm:spPr/>
    </dgm:pt>
    <dgm:pt modelId="{C857CD97-3A67-45D0-9D98-24FC691FF949}" type="pres">
      <dgm:prSet presAssocID="{45EA3CAF-73E9-4285-A90F-24CF8F48B0E4}" presName="centerShape" presStyleLbl="node0" presStyleIdx="0" presStyleCnt="1"/>
      <dgm:spPr/>
    </dgm:pt>
    <dgm:pt modelId="{E56B6346-1332-4693-A994-5F6BD890A59F}" type="pres">
      <dgm:prSet presAssocID="{F2AA8CA7-91AC-4149-B073-03831C16B0E6}" presName="Name9" presStyleLbl="parChTrans1D2" presStyleIdx="0" presStyleCnt="5"/>
      <dgm:spPr/>
    </dgm:pt>
    <dgm:pt modelId="{F52F638B-C465-46C2-8DCE-93F1FC3A6566}" type="pres">
      <dgm:prSet presAssocID="{F2AA8CA7-91AC-4149-B073-03831C16B0E6}" presName="connTx" presStyleLbl="parChTrans1D2" presStyleIdx="0" presStyleCnt="5"/>
      <dgm:spPr/>
    </dgm:pt>
    <dgm:pt modelId="{B4F3D807-7402-4FC6-9FBA-31B7926A6029}" type="pres">
      <dgm:prSet presAssocID="{2FA38F60-B2D1-4DE1-8F0B-90588653CF11}" presName="node" presStyleLbl="node1" presStyleIdx="0" presStyleCnt="5">
        <dgm:presLayoutVars>
          <dgm:bulletEnabled val="1"/>
        </dgm:presLayoutVars>
      </dgm:prSet>
      <dgm:spPr/>
    </dgm:pt>
    <dgm:pt modelId="{DA9A9181-7036-4271-B9AD-3FA3A9DD3F0D}" type="pres">
      <dgm:prSet presAssocID="{88D27105-79D6-4B64-8970-37D0E7743879}" presName="Name9" presStyleLbl="parChTrans1D2" presStyleIdx="1" presStyleCnt="5"/>
      <dgm:spPr/>
    </dgm:pt>
    <dgm:pt modelId="{AAB53301-440F-4B2E-9B2F-87996B8F0130}" type="pres">
      <dgm:prSet presAssocID="{88D27105-79D6-4B64-8970-37D0E7743879}" presName="connTx" presStyleLbl="parChTrans1D2" presStyleIdx="1" presStyleCnt="5"/>
      <dgm:spPr/>
    </dgm:pt>
    <dgm:pt modelId="{B75CAE10-A5AF-47EC-8F65-9AAC25753B73}" type="pres">
      <dgm:prSet presAssocID="{D69FD8E7-DC3D-44F8-89AB-17C231F1CA2E}" presName="node" presStyleLbl="node1" presStyleIdx="1" presStyleCnt="5">
        <dgm:presLayoutVars>
          <dgm:bulletEnabled val="1"/>
        </dgm:presLayoutVars>
      </dgm:prSet>
      <dgm:spPr/>
    </dgm:pt>
    <dgm:pt modelId="{41DE97CB-EBAA-4681-A3A3-52A1A8027413}" type="pres">
      <dgm:prSet presAssocID="{23C4658F-A30D-48C5-A5CB-8622F0AE6F0F}" presName="Name9" presStyleLbl="parChTrans1D2" presStyleIdx="2" presStyleCnt="5"/>
      <dgm:spPr/>
    </dgm:pt>
    <dgm:pt modelId="{287015F8-5D35-4824-A1A8-10270DDE2FD1}" type="pres">
      <dgm:prSet presAssocID="{23C4658F-A30D-48C5-A5CB-8622F0AE6F0F}" presName="connTx" presStyleLbl="parChTrans1D2" presStyleIdx="2" presStyleCnt="5"/>
      <dgm:spPr/>
    </dgm:pt>
    <dgm:pt modelId="{9DC7FB39-D7C2-48C2-A64B-ABAE7AE6A4DF}" type="pres">
      <dgm:prSet presAssocID="{0517539D-7B6C-490D-930C-50EC7FB447E5}" presName="node" presStyleLbl="node1" presStyleIdx="2" presStyleCnt="5">
        <dgm:presLayoutVars>
          <dgm:bulletEnabled val="1"/>
        </dgm:presLayoutVars>
      </dgm:prSet>
      <dgm:spPr/>
    </dgm:pt>
    <dgm:pt modelId="{7B4F1636-7FAA-4F10-9F66-5087FCF7D382}" type="pres">
      <dgm:prSet presAssocID="{F7BEBD1E-225B-4FC3-B65D-4D03BD4986EF}" presName="Name9" presStyleLbl="parChTrans1D2" presStyleIdx="3" presStyleCnt="5"/>
      <dgm:spPr/>
    </dgm:pt>
    <dgm:pt modelId="{F3059D57-6630-42B0-9732-5E0318ACBC70}" type="pres">
      <dgm:prSet presAssocID="{F7BEBD1E-225B-4FC3-B65D-4D03BD4986EF}" presName="connTx" presStyleLbl="parChTrans1D2" presStyleIdx="3" presStyleCnt="5"/>
      <dgm:spPr/>
    </dgm:pt>
    <dgm:pt modelId="{712984C3-D5C9-48FA-8F03-86BB427E162E}" type="pres">
      <dgm:prSet presAssocID="{E796E897-B3C0-443C-AEC7-77A4E5CFBBAF}" presName="node" presStyleLbl="node1" presStyleIdx="3" presStyleCnt="5">
        <dgm:presLayoutVars>
          <dgm:bulletEnabled val="1"/>
        </dgm:presLayoutVars>
      </dgm:prSet>
      <dgm:spPr/>
    </dgm:pt>
    <dgm:pt modelId="{CDFA908C-FD8A-4F20-85E3-B91654B21AFE}" type="pres">
      <dgm:prSet presAssocID="{7CA8F9D0-423B-40F9-B125-C2F863BDB0F7}" presName="Name9" presStyleLbl="parChTrans1D2" presStyleIdx="4" presStyleCnt="5"/>
      <dgm:spPr/>
    </dgm:pt>
    <dgm:pt modelId="{0CEDADDE-EC79-46CC-96C1-799F90CE54A4}" type="pres">
      <dgm:prSet presAssocID="{7CA8F9D0-423B-40F9-B125-C2F863BDB0F7}" presName="connTx" presStyleLbl="parChTrans1D2" presStyleIdx="4" presStyleCnt="5"/>
      <dgm:spPr/>
    </dgm:pt>
    <dgm:pt modelId="{B5B96BD1-A144-439A-BDAB-AC2CD64CD67F}" type="pres">
      <dgm:prSet presAssocID="{FAC9C803-4B82-459A-8D51-97FEA075A617}" presName="node" presStyleLbl="node1" presStyleIdx="4" presStyleCnt="5">
        <dgm:presLayoutVars>
          <dgm:bulletEnabled val="1"/>
        </dgm:presLayoutVars>
      </dgm:prSet>
      <dgm:spPr/>
    </dgm:pt>
  </dgm:ptLst>
  <dgm:cxnLst>
    <dgm:cxn modelId="{1358FC02-D8A8-4646-8776-667F6930951E}" srcId="{45EA3CAF-73E9-4285-A90F-24CF8F48B0E4}" destId="{D69FD8E7-DC3D-44F8-89AB-17C231F1CA2E}" srcOrd="1" destOrd="0" parTransId="{88D27105-79D6-4B64-8970-37D0E7743879}" sibTransId="{46AE65AD-8E91-4727-942D-DEF992FAA08F}"/>
    <dgm:cxn modelId="{88CF2506-E4F5-44A1-8685-53B5C7E3BC5F}" type="presOf" srcId="{E796E897-B3C0-443C-AEC7-77A4E5CFBBAF}" destId="{712984C3-D5C9-48FA-8F03-86BB427E162E}" srcOrd="0" destOrd="0" presId="urn:microsoft.com/office/officeart/2005/8/layout/radial1"/>
    <dgm:cxn modelId="{536DF02F-8C8A-4E4D-9865-E349CE1EAC8E}" type="presOf" srcId="{2FA38F60-B2D1-4DE1-8F0B-90588653CF11}" destId="{B4F3D807-7402-4FC6-9FBA-31B7926A6029}" srcOrd="0" destOrd="0" presId="urn:microsoft.com/office/officeart/2005/8/layout/radial1"/>
    <dgm:cxn modelId="{C236B937-F7C6-417C-B6BB-FDB78D7B3BB0}" srcId="{45EA3CAF-73E9-4285-A90F-24CF8F48B0E4}" destId="{FAC9C803-4B82-459A-8D51-97FEA075A617}" srcOrd="4" destOrd="0" parTransId="{7CA8F9D0-423B-40F9-B125-C2F863BDB0F7}" sibTransId="{8D783DD1-28EE-4674-AB49-CC5D580EDADE}"/>
    <dgm:cxn modelId="{AF368C3C-A488-49AD-B1C4-AD9F0B83AA40}" type="presOf" srcId="{FAC9C803-4B82-459A-8D51-97FEA075A617}" destId="{B5B96BD1-A144-439A-BDAB-AC2CD64CD67F}" srcOrd="0" destOrd="0" presId="urn:microsoft.com/office/officeart/2005/8/layout/radial1"/>
    <dgm:cxn modelId="{EE571A4E-FC2E-4115-9221-88334222409C}" type="presOf" srcId="{7CA8F9D0-423B-40F9-B125-C2F863BDB0F7}" destId="{CDFA908C-FD8A-4F20-85E3-B91654B21AFE}" srcOrd="0" destOrd="0" presId="urn:microsoft.com/office/officeart/2005/8/layout/radial1"/>
    <dgm:cxn modelId="{73D3AE74-B186-4EEF-AA09-99F4787C2BF0}" type="presOf" srcId="{0517539D-7B6C-490D-930C-50EC7FB447E5}" destId="{9DC7FB39-D7C2-48C2-A64B-ABAE7AE6A4DF}" srcOrd="0" destOrd="0" presId="urn:microsoft.com/office/officeart/2005/8/layout/radial1"/>
    <dgm:cxn modelId="{90CECB78-EB73-4E2F-AA10-EBAF60116A84}" type="presOf" srcId="{F2AA8CA7-91AC-4149-B073-03831C16B0E6}" destId="{E56B6346-1332-4693-A994-5F6BD890A59F}" srcOrd="0" destOrd="0" presId="urn:microsoft.com/office/officeart/2005/8/layout/radial1"/>
    <dgm:cxn modelId="{479FFD7C-3286-4CA8-803E-C189E7A7A049}" srcId="{45EA3CAF-73E9-4285-A90F-24CF8F48B0E4}" destId="{2FA38F60-B2D1-4DE1-8F0B-90588653CF11}" srcOrd="0" destOrd="0" parTransId="{F2AA8CA7-91AC-4149-B073-03831C16B0E6}" sibTransId="{B697A4D2-BB5E-45AF-80C4-7B630A213DC8}"/>
    <dgm:cxn modelId="{50397F8A-6510-4863-AE44-1F85AEB05FE8}" type="presOf" srcId="{D69FD8E7-DC3D-44F8-89AB-17C231F1CA2E}" destId="{B75CAE10-A5AF-47EC-8F65-9AAC25753B73}" srcOrd="0" destOrd="0" presId="urn:microsoft.com/office/officeart/2005/8/layout/radial1"/>
    <dgm:cxn modelId="{C2C1718D-7565-4C92-A4AB-AA2ADC9C76F7}" type="presOf" srcId="{F2AA8CA7-91AC-4149-B073-03831C16B0E6}" destId="{F52F638B-C465-46C2-8DCE-93F1FC3A6566}" srcOrd="1" destOrd="0" presId="urn:microsoft.com/office/officeart/2005/8/layout/radial1"/>
    <dgm:cxn modelId="{908A6E98-B218-4A2B-B5BC-81BDC824CC9D}" srcId="{45EA3CAF-73E9-4285-A90F-24CF8F48B0E4}" destId="{0517539D-7B6C-490D-930C-50EC7FB447E5}" srcOrd="2" destOrd="0" parTransId="{23C4658F-A30D-48C5-A5CB-8622F0AE6F0F}" sibTransId="{E0592745-3195-4810-8322-5116184A6D10}"/>
    <dgm:cxn modelId="{954ED2A1-D311-4BCB-BBC7-7905900C7EE2}" type="presOf" srcId="{F7BEBD1E-225B-4FC3-B65D-4D03BD4986EF}" destId="{7B4F1636-7FAA-4F10-9F66-5087FCF7D382}" srcOrd="0" destOrd="0" presId="urn:microsoft.com/office/officeart/2005/8/layout/radial1"/>
    <dgm:cxn modelId="{EF4DB0AE-1308-4B86-A754-DD86C3B76963}" type="presOf" srcId="{45EA3CAF-73E9-4285-A90F-24CF8F48B0E4}" destId="{C857CD97-3A67-45D0-9D98-24FC691FF949}" srcOrd="0" destOrd="0" presId="urn:microsoft.com/office/officeart/2005/8/layout/radial1"/>
    <dgm:cxn modelId="{943B9CC1-9897-4CB3-AA79-2276E3E76D9B}" type="presOf" srcId="{7CA8F9D0-423B-40F9-B125-C2F863BDB0F7}" destId="{0CEDADDE-EC79-46CC-96C1-799F90CE54A4}" srcOrd="1" destOrd="0" presId="urn:microsoft.com/office/officeart/2005/8/layout/radial1"/>
    <dgm:cxn modelId="{9AB226C4-224A-40F1-8541-25F4394EFD98}" type="presOf" srcId="{3223450D-CE1F-45B0-8431-F5DDB335A5E0}" destId="{A883B144-0172-4BDC-A277-14F7A917D763}" srcOrd="0" destOrd="0" presId="urn:microsoft.com/office/officeart/2005/8/layout/radial1"/>
    <dgm:cxn modelId="{C0178DC7-790C-4F2A-965D-29EC6743C47A}" type="presOf" srcId="{F7BEBD1E-225B-4FC3-B65D-4D03BD4986EF}" destId="{F3059D57-6630-42B0-9732-5E0318ACBC70}" srcOrd="1" destOrd="0" presId="urn:microsoft.com/office/officeart/2005/8/layout/radial1"/>
    <dgm:cxn modelId="{4ED2B8D8-6FFB-4D1D-ABB2-B39B2ADE21D7}" type="presOf" srcId="{23C4658F-A30D-48C5-A5CB-8622F0AE6F0F}" destId="{41DE97CB-EBAA-4681-A3A3-52A1A8027413}" srcOrd="0" destOrd="0" presId="urn:microsoft.com/office/officeart/2005/8/layout/radial1"/>
    <dgm:cxn modelId="{0FCEFDD9-2D2B-4F61-88CB-7089B6B04710}" type="presOf" srcId="{88D27105-79D6-4B64-8970-37D0E7743879}" destId="{AAB53301-440F-4B2E-9B2F-87996B8F0130}" srcOrd="1" destOrd="0" presId="urn:microsoft.com/office/officeart/2005/8/layout/radial1"/>
    <dgm:cxn modelId="{AB192FDA-90A4-4591-9387-15031D3A44FD}" type="presOf" srcId="{23C4658F-A30D-48C5-A5CB-8622F0AE6F0F}" destId="{287015F8-5D35-4824-A1A8-10270DDE2FD1}" srcOrd="1" destOrd="0" presId="urn:microsoft.com/office/officeart/2005/8/layout/radial1"/>
    <dgm:cxn modelId="{5980F7EB-1FB8-4E26-ADCE-5C58B164CD23}" srcId="{3223450D-CE1F-45B0-8431-F5DDB335A5E0}" destId="{45EA3CAF-73E9-4285-A90F-24CF8F48B0E4}" srcOrd="0" destOrd="0" parTransId="{90D37ED5-16CF-4C9A-8372-190AD9D993FD}" sibTransId="{D907FA02-7344-4979-8A3F-BB8B68AA1B1C}"/>
    <dgm:cxn modelId="{752B5FFA-5A83-4F7E-8954-A009AC1BD1DA}" type="presOf" srcId="{88D27105-79D6-4B64-8970-37D0E7743879}" destId="{DA9A9181-7036-4271-B9AD-3FA3A9DD3F0D}" srcOrd="0" destOrd="0" presId="urn:microsoft.com/office/officeart/2005/8/layout/radial1"/>
    <dgm:cxn modelId="{F92C7CFD-4EB7-4BDC-9914-5BC4C2CE2936}" srcId="{45EA3CAF-73E9-4285-A90F-24CF8F48B0E4}" destId="{E796E897-B3C0-443C-AEC7-77A4E5CFBBAF}" srcOrd="3" destOrd="0" parTransId="{F7BEBD1E-225B-4FC3-B65D-4D03BD4986EF}" sibTransId="{A2DF2A32-F71F-4995-95EB-A6D6119DBCA0}"/>
    <dgm:cxn modelId="{E816D5C9-3A0A-4AEA-A40A-077155E2BBCC}" type="presParOf" srcId="{A883B144-0172-4BDC-A277-14F7A917D763}" destId="{C857CD97-3A67-45D0-9D98-24FC691FF949}" srcOrd="0" destOrd="0" presId="urn:microsoft.com/office/officeart/2005/8/layout/radial1"/>
    <dgm:cxn modelId="{BDD80F64-7B89-4E33-B90C-D2569D93017F}" type="presParOf" srcId="{A883B144-0172-4BDC-A277-14F7A917D763}" destId="{E56B6346-1332-4693-A994-5F6BD890A59F}" srcOrd="1" destOrd="0" presId="urn:microsoft.com/office/officeart/2005/8/layout/radial1"/>
    <dgm:cxn modelId="{C5181059-E022-44D2-8DA3-2C366A529C8F}" type="presParOf" srcId="{E56B6346-1332-4693-A994-5F6BD890A59F}" destId="{F52F638B-C465-46C2-8DCE-93F1FC3A6566}" srcOrd="0" destOrd="0" presId="urn:microsoft.com/office/officeart/2005/8/layout/radial1"/>
    <dgm:cxn modelId="{16486425-98C1-4E92-8C8E-E5CCD0DF2938}" type="presParOf" srcId="{A883B144-0172-4BDC-A277-14F7A917D763}" destId="{B4F3D807-7402-4FC6-9FBA-31B7926A6029}" srcOrd="2" destOrd="0" presId="urn:microsoft.com/office/officeart/2005/8/layout/radial1"/>
    <dgm:cxn modelId="{A6EB2C20-FBEA-4EC3-BC79-F2DE1A4917E0}" type="presParOf" srcId="{A883B144-0172-4BDC-A277-14F7A917D763}" destId="{DA9A9181-7036-4271-B9AD-3FA3A9DD3F0D}" srcOrd="3" destOrd="0" presId="urn:microsoft.com/office/officeart/2005/8/layout/radial1"/>
    <dgm:cxn modelId="{98E95319-93BA-42BE-BDD0-84E43F8323D5}" type="presParOf" srcId="{DA9A9181-7036-4271-B9AD-3FA3A9DD3F0D}" destId="{AAB53301-440F-4B2E-9B2F-87996B8F0130}" srcOrd="0" destOrd="0" presId="urn:microsoft.com/office/officeart/2005/8/layout/radial1"/>
    <dgm:cxn modelId="{F1EDC2C9-3EEE-40D4-8829-6D0641C6CE25}" type="presParOf" srcId="{A883B144-0172-4BDC-A277-14F7A917D763}" destId="{B75CAE10-A5AF-47EC-8F65-9AAC25753B73}" srcOrd="4" destOrd="0" presId="urn:microsoft.com/office/officeart/2005/8/layout/radial1"/>
    <dgm:cxn modelId="{D9EA6D3B-1090-4EC5-84A7-AB424C338BDE}" type="presParOf" srcId="{A883B144-0172-4BDC-A277-14F7A917D763}" destId="{41DE97CB-EBAA-4681-A3A3-52A1A8027413}" srcOrd="5" destOrd="0" presId="urn:microsoft.com/office/officeart/2005/8/layout/radial1"/>
    <dgm:cxn modelId="{118B4DD1-3730-4617-937B-AF0434DA340B}" type="presParOf" srcId="{41DE97CB-EBAA-4681-A3A3-52A1A8027413}" destId="{287015F8-5D35-4824-A1A8-10270DDE2FD1}" srcOrd="0" destOrd="0" presId="urn:microsoft.com/office/officeart/2005/8/layout/radial1"/>
    <dgm:cxn modelId="{B08DB04F-9AB1-4035-8392-5B4443BCDD9A}" type="presParOf" srcId="{A883B144-0172-4BDC-A277-14F7A917D763}" destId="{9DC7FB39-D7C2-48C2-A64B-ABAE7AE6A4DF}" srcOrd="6" destOrd="0" presId="urn:microsoft.com/office/officeart/2005/8/layout/radial1"/>
    <dgm:cxn modelId="{340F4498-B9E3-4CDA-930C-B8512FBCB108}" type="presParOf" srcId="{A883B144-0172-4BDC-A277-14F7A917D763}" destId="{7B4F1636-7FAA-4F10-9F66-5087FCF7D382}" srcOrd="7" destOrd="0" presId="urn:microsoft.com/office/officeart/2005/8/layout/radial1"/>
    <dgm:cxn modelId="{E2B21341-B508-4C14-BE84-A8102153FF42}" type="presParOf" srcId="{7B4F1636-7FAA-4F10-9F66-5087FCF7D382}" destId="{F3059D57-6630-42B0-9732-5E0318ACBC70}" srcOrd="0" destOrd="0" presId="urn:microsoft.com/office/officeart/2005/8/layout/radial1"/>
    <dgm:cxn modelId="{66E07702-65A6-437C-9B40-CA03D2EEB8EA}" type="presParOf" srcId="{A883B144-0172-4BDC-A277-14F7A917D763}" destId="{712984C3-D5C9-48FA-8F03-86BB427E162E}" srcOrd="8" destOrd="0" presId="urn:microsoft.com/office/officeart/2005/8/layout/radial1"/>
    <dgm:cxn modelId="{292B8C08-A8A8-4530-84FC-83E13C6ACCE9}" type="presParOf" srcId="{A883B144-0172-4BDC-A277-14F7A917D763}" destId="{CDFA908C-FD8A-4F20-85E3-B91654B21AFE}" srcOrd="9" destOrd="0" presId="urn:microsoft.com/office/officeart/2005/8/layout/radial1"/>
    <dgm:cxn modelId="{3516EB74-D913-40CF-9C51-B1EECC260C0A}" type="presParOf" srcId="{CDFA908C-FD8A-4F20-85E3-B91654B21AFE}" destId="{0CEDADDE-EC79-46CC-96C1-799F90CE54A4}" srcOrd="0" destOrd="0" presId="urn:microsoft.com/office/officeart/2005/8/layout/radial1"/>
    <dgm:cxn modelId="{EAA5EB17-6608-48E8-9A7D-A9A93BDF0C4C}" type="presParOf" srcId="{A883B144-0172-4BDC-A277-14F7A917D763}" destId="{B5B96BD1-A144-439A-BDAB-AC2CD64CD67F}" srcOrd="10" destOrd="0" presId="urn:microsoft.com/office/officeart/2005/8/layout/radial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57CD97-3A67-45D0-9D98-24FC691FF949}">
      <dsp:nvSpPr>
        <dsp:cNvPr id="0" name=""/>
        <dsp:cNvSpPr/>
      </dsp:nvSpPr>
      <dsp:spPr>
        <a:xfrm>
          <a:off x="1315799" y="1449019"/>
          <a:ext cx="1050765" cy="105076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endParaRPr lang="es-MX" sz="900" b="0" i="0" u="none" strike="noStrike" kern="100" baseline="0">
            <a:latin typeface="Arial" panose="020B0604020202020204" pitchFamily="34" charset="0"/>
          </a:endParaRPr>
        </a:p>
        <a:p>
          <a:pPr marL="0" marR="0" lvl="0" indent="0" algn="ctr" defTabSz="400050" rtl="0">
            <a:lnSpc>
              <a:spcPct val="90000"/>
            </a:lnSpc>
            <a:spcBef>
              <a:spcPct val="0"/>
            </a:spcBef>
            <a:spcAft>
              <a:spcPct val="35000"/>
            </a:spcAft>
            <a:buNone/>
          </a:pPr>
          <a:r>
            <a:rPr lang="es-MX" sz="900" b="1" i="0" u="none" strike="noStrike" kern="100" baseline="0">
              <a:latin typeface="Aptos" panose="020B0004020202020204" pitchFamily="34" charset="0"/>
            </a:rPr>
            <a:t>NEGOCIO DE FRANQUI</a:t>
          </a:r>
          <a:r>
            <a:rPr lang="es-MX" sz="900" b="1" i="0" u="none" strike="noStrike" kern="100" baseline="0">
              <a:latin typeface="Arial" panose="020B0604020202020204" pitchFamily="34" charset="0"/>
            </a:rPr>
            <a:t>-</a:t>
          </a:r>
          <a:r>
            <a:rPr lang="es-MX" sz="900" b="1" i="0" u="none" strike="noStrike" kern="100" baseline="0">
              <a:latin typeface="Aptos" panose="020B0004020202020204" pitchFamily="34" charset="0"/>
            </a:rPr>
            <a:t>CIAS</a:t>
          </a:r>
          <a:endParaRPr lang="es-VE" sz="900"/>
        </a:p>
      </dsp:txBody>
      <dsp:txXfrm>
        <a:off x="1469680" y="1602900"/>
        <a:ext cx="743003" cy="743003"/>
      </dsp:txXfrm>
    </dsp:sp>
    <dsp:sp modelId="{E56B6346-1332-4693-A994-5F6BD890A59F}">
      <dsp:nvSpPr>
        <dsp:cNvPr id="0" name=""/>
        <dsp:cNvSpPr/>
      </dsp:nvSpPr>
      <dsp:spPr>
        <a:xfrm rot="16200000">
          <a:off x="1682315" y="1264470"/>
          <a:ext cx="317734" cy="51363"/>
        </a:xfrm>
        <a:custGeom>
          <a:avLst/>
          <a:gdLst/>
          <a:ahLst/>
          <a:cxnLst/>
          <a:rect l="0" t="0" r="0" b="0"/>
          <a:pathLst>
            <a:path>
              <a:moveTo>
                <a:pt x="0" y="25681"/>
              </a:moveTo>
              <a:lnTo>
                <a:pt x="31773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VE" sz="500" kern="1200"/>
        </a:p>
      </dsp:txBody>
      <dsp:txXfrm>
        <a:off x="1833239" y="1282209"/>
        <a:ext cx="15886" cy="15886"/>
      </dsp:txXfrm>
    </dsp:sp>
    <dsp:sp modelId="{B4F3D807-7402-4FC6-9FBA-31B7926A6029}">
      <dsp:nvSpPr>
        <dsp:cNvPr id="0" name=""/>
        <dsp:cNvSpPr/>
      </dsp:nvSpPr>
      <dsp:spPr>
        <a:xfrm>
          <a:off x="1315799" y="80519"/>
          <a:ext cx="1050765" cy="105076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endParaRPr lang="es-MX" sz="1000" b="0" i="0" u="none" strike="noStrike" kern="100" baseline="0">
            <a:latin typeface="Arial" panose="020B0604020202020204" pitchFamily="34" charset="0"/>
          </a:endParaRPr>
        </a:p>
        <a:p>
          <a:pPr marL="0" marR="0" lvl="0" indent="0" algn="ctr" defTabSz="444500" rtl="0">
            <a:lnSpc>
              <a:spcPct val="90000"/>
            </a:lnSpc>
            <a:spcBef>
              <a:spcPct val="0"/>
            </a:spcBef>
            <a:spcAft>
              <a:spcPct val="35000"/>
            </a:spcAft>
            <a:buNone/>
          </a:pPr>
          <a:endParaRPr lang="es-MX" sz="1000" b="0" i="0" u="none" strike="noStrike" kern="100" baseline="0">
            <a:latin typeface="Arial" panose="020B0604020202020204" pitchFamily="34" charset="0"/>
          </a:endParaRPr>
        </a:p>
        <a:p>
          <a:pPr marL="0" marR="0" lvl="0" indent="0" algn="ctr" defTabSz="444500" rtl="0">
            <a:lnSpc>
              <a:spcPct val="90000"/>
            </a:lnSpc>
            <a:spcBef>
              <a:spcPct val="0"/>
            </a:spcBef>
            <a:spcAft>
              <a:spcPct val="35000"/>
            </a:spcAft>
            <a:buNone/>
          </a:pPr>
          <a:r>
            <a:rPr lang="es-MX" sz="1000" b="0" i="0" u="none" strike="noStrike" kern="100" baseline="0">
              <a:latin typeface="Aptos" panose="020B0004020202020204" pitchFamily="34" charset="0"/>
            </a:rPr>
            <a:t>CONTROL CAMBIARIO</a:t>
          </a:r>
          <a:endParaRPr lang="es-VE" sz="1000"/>
        </a:p>
      </dsp:txBody>
      <dsp:txXfrm>
        <a:off x="1469680" y="234400"/>
        <a:ext cx="743003" cy="743003"/>
      </dsp:txXfrm>
    </dsp:sp>
    <dsp:sp modelId="{DA9A9181-7036-4271-B9AD-3FA3A9DD3F0D}">
      <dsp:nvSpPr>
        <dsp:cNvPr id="0" name=""/>
        <dsp:cNvSpPr/>
      </dsp:nvSpPr>
      <dsp:spPr>
        <a:xfrm rot="20520000">
          <a:off x="2333075" y="1737276"/>
          <a:ext cx="317734" cy="51363"/>
        </a:xfrm>
        <a:custGeom>
          <a:avLst/>
          <a:gdLst/>
          <a:ahLst/>
          <a:cxnLst/>
          <a:rect l="0" t="0" r="0" b="0"/>
          <a:pathLst>
            <a:path>
              <a:moveTo>
                <a:pt x="0" y="25681"/>
              </a:moveTo>
              <a:lnTo>
                <a:pt x="31773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VE" sz="500" kern="1200"/>
        </a:p>
      </dsp:txBody>
      <dsp:txXfrm>
        <a:off x="2483999" y="1755014"/>
        <a:ext cx="15886" cy="15886"/>
      </dsp:txXfrm>
    </dsp:sp>
    <dsp:sp modelId="{B75CAE10-A5AF-47EC-8F65-9AAC25753B73}">
      <dsp:nvSpPr>
        <dsp:cNvPr id="0" name=""/>
        <dsp:cNvSpPr/>
      </dsp:nvSpPr>
      <dsp:spPr>
        <a:xfrm>
          <a:off x="2617320" y="1026129"/>
          <a:ext cx="1050765" cy="105076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endParaRPr lang="es-MX" sz="1000" b="0" i="0" u="none" strike="noStrike" kern="100" baseline="0">
            <a:latin typeface="Arial" panose="020B0604020202020204" pitchFamily="34" charset="0"/>
          </a:endParaRPr>
        </a:p>
        <a:p>
          <a:pPr marL="0" marR="0" lvl="0" indent="0" algn="ctr" defTabSz="444500" rtl="0">
            <a:lnSpc>
              <a:spcPct val="90000"/>
            </a:lnSpc>
            <a:spcBef>
              <a:spcPct val="0"/>
            </a:spcBef>
            <a:spcAft>
              <a:spcPct val="35000"/>
            </a:spcAft>
            <a:buNone/>
          </a:pPr>
          <a:endParaRPr lang="es-MX" sz="1000" b="0" i="0" u="none" strike="noStrike" kern="100" baseline="0">
            <a:latin typeface="Arial" panose="020B0604020202020204" pitchFamily="34" charset="0"/>
          </a:endParaRPr>
        </a:p>
        <a:p>
          <a:pPr marL="0" marR="0" lvl="0" indent="0" algn="ctr" defTabSz="444500" rtl="0">
            <a:lnSpc>
              <a:spcPct val="90000"/>
            </a:lnSpc>
            <a:spcBef>
              <a:spcPct val="0"/>
            </a:spcBef>
            <a:spcAft>
              <a:spcPct val="35000"/>
            </a:spcAft>
            <a:buNone/>
          </a:pPr>
          <a:r>
            <a:rPr lang="es-MX" sz="1000" b="0" i="0" u="none" strike="noStrike" kern="100" baseline="0">
              <a:latin typeface="Aptos" panose="020B0004020202020204" pitchFamily="34" charset="0"/>
            </a:rPr>
            <a:t>CONTROL DE PRECIOS</a:t>
          </a:r>
          <a:endParaRPr lang="es-VE" sz="1000"/>
        </a:p>
      </dsp:txBody>
      <dsp:txXfrm>
        <a:off x="2771201" y="1180010"/>
        <a:ext cx="743003" cy="743003"/>
      </dsp:txXfrm>
    </dsp:sp>
    <dsp:sp modelId="{41DE97CB-EBAA-4681-A3A3-52A1A8027413}">
      <dsp:nvSpPr>
        <dsp:cNvPr id="0" name=""/>
        <dsp:cNvSpPr/>
      </dsp:nvSpPr>
      <dsp:spPr>
        <a:xfrm rot="3240000">
          <a:off x="2084507" y="2502291"/>
          <a:ext cx="317734" cy="51363"/>
        </a:xfrm>
        <a:custGeom>
          <a:avLst/>
          <a:gdLst/>
          <a:ahLst/>
          <a:cxnLst/>
          <a:rect l="0" t="0" r="0" b="0"/>
          <a:pathLst>
            <a:path>
              <a:moveTo>
                <a:pt x="0" y="25681"/>
              </a:moveTo>
              <a:lnTo>
                <a:pt x="31773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VE" sz="500" kern="1200"/>
        </a:p>
      </dsp:txBody>
      <dsp:txXfrm>
        <a:off x="2235431" y="2520029"/>
        <a:ext cx="15886" cy="15886"/>
      </dsp:txXfrm>
    </dsp:sp>
    <dsp:sp modelId="{9DC7FB39-D7C2-48C2-A64B-ABAE7AE6A4DF}">
      <dsp:nvSpPr>
        <dsp:cNvPr id="0" name=""/>
        <dsp:cNvSpPr/>
      </dsp:nvSpPr>
      <dsp:spPr>
        <a:xfrm>
          <a:off x="2120183" y="2556159"/>
          <a:ext cx="1050765" cy="105076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s-MX" sz="1000" b="0" i="0" u="none" strike="noStrike" kern="100" baseline="0">
              <a:latin typeface="Aptos" panose="020B0004020202020204" pitchFamily="34" charset="0"/>
            </a:rPr>
            <a:t>PROHIBI</a:t>
          </a:r>
          <a:r>
            <a:rPr lang="es-MX" sz="1000" b="0" i="0" u="none" strike="noStrike" kern="100" baseline="0">
              <a:latin typeface="Arial" panose="020B0604020202020204" pitchFamily="34" charset="0"/>
            </a:rPr>
            <a:t>-</a:t>
          </a:r>
          <a:r>
            <a:rPr lang="es-MX" sz="1000" b="0" i="0" u="none" strike="noStrike" kern="100" baseline="0">
              <a:latin typeface="Aptos" panose="020B0004020202020204" pitchFamily="34" charset="0"/>
            </a:rPr>
            <a:t>CIÓN REPATRIA</a:t>
          </a:r>
          <a:r>
            <a:rPr lang="es-MX" sz="1000" b="0" i="0" u="none" strike="noStrike" kern="100" baseline="0">
              <a:latin typeface="Arial" panose="020B0604020202020204" pitchFamily="34" charset="0"/>
            </a:rPr>
            <a:t>-</a:t>
          </a:r>
          <a:r>
            <a:rPr lang="es-MX" sz="1000" b="0" i="0" u="none" strike="noStrike" kern="100" baseline="0">
              <a:latin typeface="Aptos" panose="020B0004020202020204" pitchFamily="34" charset="0"/>
            </a:rPr>
            <a:t>CIÓN DE CAPITALES</a:t>
          </a:r>
          <a:endParaRPr lang="es-VE" sz="1000"/>
        </a:p>
      </dsp:txBody>
      <dsp:txXfrm>
        <a:off x="2274064" y="2710040"/>
        <a:ext cx="743003" cy="743003"/>
      </dsp:txXfrm>
    </dsp:sp>
    <dsp:sp modelId="{7B4F1636-7FAA-4F10-9F66-5087FCF7D382}">
      <dsp:nvSpPr>
        <dsp:cNvPr id="0" name=""/>
        <dsp:cNvSpPr/>
      </dsp:nvSpPr>
      <dsp:spPr>
        <a:xfrm rot="7560000">
          <a:off x="1280123" y="2502291"/>
          <a:ext cx="317734" cy="51363"/>
        </a:xfrm>
        <a:custGeom>
          <a:avLst/>
          <a:gdLst/>
          <a:ahLst/>
          <a:cxnLst/>
          <a:rect l="0" t="0" r="0" b="0"/>
          <a:pathLst>
            <a:path>
              <a:moveTo>
                <a:pt x="0" y="25681"/>
              </a:moveTo>
              <a:lnTo>
                <a:pt x="31773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VE" sz="500" kern="1200"/>
        </a:p>
      </dsp:txBody>
      <dsp:txXfrm rot="10800000">
        <a:off x="1431046" y="2520029"/>
        <a:ext cx="15886" cy="15886"/>
      </dsp:txXfrm>
    </dsp:sp>
    <dsp:sp modelId="{712984C3-D5C9-48FA-8F03-86BB427E162E}">
      <dsp:nvSpPr>
        <dsp:cNvPr id="0" name=""/>
        <dsp:cNvSpPr/>
      </dsp:nvSpPr>
      <dsp:spPr>
        <a:xfrm>
          <a:off x="511415" y="2556159"/>
          <a:ext cx="1050765" cy="105076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endParaRPr lang="es-MX" sz="1000" b="0" i="0" u="none" strike="noStrike" kern="100" baseline="0">
            <a:latin typeface="Arial" panose="020B0604020202020204" pitchFamily="34" charset="0"/>
          </a:endParaRPr>
        </a:p>
        <a:p>
          <a:pPr marL="0" marR="0" lvl="0" indent="0" algn="ctr" defTabSz="444500" rtl="0">
            <a:lnSpc>
              <a:spcPct val="90000"/>
            </a:lnSpc>
            <a:spcBef>
              <a:spcPct val="0"/>
            </a:spcBef>
            <a:spcAft>
              <a:spcPct val="35000"/>
            </a:spcAft>
            <a:buNone/>
          </a:pPr>
          <a:endParaRPr lang="es-MX" sz="1000" b="0" i="0" u="none" strike="noStrike" kern="100" baseline="0">
            <a:latin typeface="Arial" panose="020B0604020202020204" pitchFamily="34" charset="0"/>
          </a:endParaRPr>
        </a:p>
        <a:p>
          <a:pPr marL="0" marR="0" lvl="0" indent="0" algn="ctr" defTabSz="444500" rtl="0">
            <a:lnSpc>
              <a:spcPct val="90000"/>
            </a:lnSpc>
            <a:spcBef>
              <a:spcPct val="0"/>
            </a:spcBef>
            <a:spcAft>
              <a:spcPct val="35000"/>
            </a:spcAft>
            <a:buNone/>
          </a:pPr>
          <a:r>
            <a:rPr lang="es-MX" sz="1000" b="0" i="0" u="none" strike="noStrike" kern="100" baseline="0">
              <a:latin typeface="Aptos" panose="020B0004020202020204" pitchFamily="34" charset="0"/>
            </a:rPr>
            <a:t>LÍMITE A LAS GANANCIAS</a:t>
          </a:r>
          <a:endParaRPr lang="es-VE" sz="1000"/>
        </a:p>
      </dsp:txBody>
      <dsp:txXfrm>
        <a:off x="665296" y="2710040"/>
        <a:ext cx="743003" cy="743003"/>
      </dsp:txXfrm>
    </dsp:sp>
    <dsp:sp modelId="{CDFA908C-FD8A-4F20-85E3-B91654B21AFE}">
      <dsp:nvSpPr>
        <dsp:cNvPr id="0" name=""/>
        <dsp:cNvSpPr/>
      </dsp:nvSpPr>
      <dsp:spPr>
        <a:xfrm rot="11880000">
          <a:off x="1031554" y="1737276"/>
          <a:ext cx="317734" cy="51363"/>
        </a:xfrm>
        <a:custGeom>
          <a:avLst/>
          <a:gdLst/>
          <a:ahLst/>
          <a:cxnLst/>
          <a:rect l="0" t="0" r="0" b="0"/>
          <a:pathLst>
            <a:path>
              <a:moveTo>
                <a:pt x="0" y="25681"/>
              </a:moveTo>
              <a:lnTo>
                <a:pt x="317734" y="25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VE" sz="500" kern="1200"/>
        </a:p>
      </dsp:txBody>
      <dsp:txXfrm rot="10800000">
        <a:off x="1182478" y="1755014"/>
        <a:ext cx="15886" cy="15886"/>
      </dsp:txXfrm>
    </dsp:sp>
    <dsp:sp modelId="{B5B96BD1-A144-439A-BDAB-AC2CD64CD67F}">
      <dsp:nvSpPr>
        <dsp:cNvPr id="0" name=""/>
        <dsp:cNvSpPr/>
      </dsp:nvSpPr>
      <dsp:spPr>
        <a:xfrm>
          <a:off x="14278" y="1026129"/>
          <a:ext cx="1050765" cy="105076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endParaRPr lang="es-MX" sz="1000" b="0" i="0" u="none" strike="noStrike" kern="100" baseline="0">
            <a:latin typeface="Arial" panose="020B0604020202020204" pitchFamily="34" charset="0"/>
          </a:endParaRPr>
        </a:p>
        <a:p>
          <a:pPr marL="0" marR="0" lvl="0" indent="0" algn="ctr" defTabSz="444500" rtl="0">
            <a:lnSpc>
              <a:spcPct val="90000"/>
            </a:lnSpc>
            <a:spcBef>
              <a:spcPct val="0"/>
            </a:spcBef>
            <a:spcAft>
              <a:spcPct val="35000"/>
            </a:spcAft>
            <a:buNone/>
          </a:pPr>
          <a:endParaRPr lang="es-MX" sz="1000" b="0" i="0" u="none" strike="noStrike" kern="100" baseline="0">
            <a:latin typeface="Arial" panose="020B0604020202020204" pitchFamily="34" charset="0"/>
          </a:endParaRPr>
        </a:p>
        <a:p>
          <a:pPr marL="0" marR="0" lvl="0" indent="0" algn="ctr" defTabSz="444500" rtl="0">
            <a:lnSpc>
              <a:spcPct val="90000"/>
            </a:lnSpc>
            <a:spcBef>
              <a:spcPct val="0"/>
            </a:spcBef>
            <a:spcAft>
              <a:spcPct val="35000"/>
            </a:spcAft>
            <a:buNone/>
          </a:pPr>
          <a:r>
            <a:rPr lang="es-MX" sz="1000" b="0" i="0" u="none" strike="noStrike" kern="100" baseline="0">
              <a:latin typeface="Aptos" panose="020B0004020202020204" pitchFamily="34" charset="0"/>
            </a:rPr>
            <a:t>HIPER-</a:t>
          </a:r>
        </a:p>
        <a:p>
          <a:pPr marL="0" marR="0" lvl="0" indent="0" algn="ctr" defTabSz="444500" rtl="0">
            <a:lnSpc>
              <a:spcPct val="90000"/>
            </a:lnSpc>
            <a:spcBef>
              <a:spcPct val="0"/>
            </a:spcBef>
            <a:spcAft>
              <a:spcPct val="35000"/>
            </a:spcAft>
            <a:buNone/>
          </a:pPr>
          <a:r>
            <a:rPr lang="es-MX" sz="1000" b="0" i="0" u="none" strike="noStrike" kern="100" baseline="0">
              <a:latin typeface="Aptos" panose="020B0004020202020204" pitchFamily="34" charset="0"/>
            </a:rPr>
            <a:t>INFLACIÓN</a:t>
          </a:r>
          <a:endParaRPr lang="es-VE" sz="1000"/>
        </a:p>
      </dsp:txBody>
      <dsp:txXfrm>
        <a:off x="168159" y="1180010"/>
        <a:ext cx="743003" cy="743003"/>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249C0-8E17-4661-9E35-89566D6B0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38</Pages>
  <Words>10659</Words>
  <Characters>58625</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dc:creator>
  <cp:lastModifiedBy>Usuario</cp:lastModifiedBy>
  <cp:revision>157</cp:revision>
  <dcterms:created xsi:type="dcterms:W3CDTF">2025-11-18T16:13:00Z</dcterms:created>
  <dcterms:modified xsi:type="dcterms:W3CDTF">2025-12-11T13:29:00Z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2025-04-23T13:12:52Z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0c2b6ee7-7309-4bb9-ae89-79b3dda3e7f2</vt:lpwstr>
  </property>
  <property fmtid="{D5CDD505-2E9C-101B-9397-08002B2CF9AE}" pid="7" name="MSIP_Label_defa4170-0d19-0005-0004-bc88714345d2_ActionId">
    <vt:lpwstr>afa54f46-0293-45e4-9f63-d11887b99ff3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