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B17652" w14:textId="77777777" w:rsidR="00A260D6" w:rsidRDefault="00A260D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sz w:val="32"/>
          <w:szCs w:val="32"/>
        </w:rPr>
      </w:pPr>
    </w:p>
    <w:p w14:paraId="0015083A" w14:textId="77777777" w:rsidR="00A260D6" w:rsidRDefault="00A260D6">
      <w:pPr>
        <w:pStyle w:val="Ttulo"/>
        <w:keepNext w:val="0"/>
        <w:keepLines w:val="0"/>
        <w:spacing w:line="240" w:lineRule="auto"/>
        <w:ind w:left="2552"/>
        <w:jc w:val="left"/>
      </w:pPr>
    </w:p>
    <w:p w14:paraId="41E943C8" w14:textId="77777777" w:rsidR="00A260D6" w:rsidRPr="00861F4F" w:rsidRDefault="00000000">
      <w:pPr>
        <w:pStyle w:val="Ttulo"/>
        <w:keepNext w:val="0"/>
        <w:keepLines w:val="0"/>
        <w:spacing w:line="240" w:lineRule="auto"/>
        <w:ind w:left="2552"/>
        <w:jc w:val="left"/>
        <w:rPr>
          <w:i/>
          <w:lang w:val="en-US"/>
        </w:rPr>
      </w:pPr>
      <w:r>
        <w:t xml:space="preserve">Mauro </w:t>
      </w:r>
      <w:proofErr w:type="spellStart"/>
      <w:r>
        <w:t>Cazzaniga</w:t>
      </w:r>
      <w:proofErr w:type="spellEnd"/>
      <w:r>
        <w:t xml:space="preserve">, Florence </w:t>
      </w:r>
      <w:proofErr w:type="spellStart"/>
      <w:r>
        <w:t>Jaumotte</w:t>
      </w:r>
      <w:proofErr w:type="spellEnd"/>
      <w:r>
        <w:t xml:space="preserve">, </w:t>
      </w:r>
      <w:proofErr w:type="spellStart"/>
      <w:r>
        <w:t>Longji</w:t>
      </w:r>
      <w:proofErr w:type="spellEnd"/>
      <w:r>
        <w:t xml:space="preserve"> Li, Giovanni Melina, </w:t>
      </w:r>
      <w:proofErr w:type="spellStart"/>
      <w:r>
        <w:t>Augustus</w:t>
      </w:r>
      <w:proofErr w:type="spellEnd"/>
      <w:r>
        <w:t xml:space="preserve"> J. </w:t>
      </w:r>
      <w:proofErr w:type="spellStart"/>
      <w:r>
        <w:t>Panton</w:t>
      </w:r>
      <w:proofErr w:type="spellEnd"/>
      <w:r>
        <w:t xml:space="preserve">, Carlo </w:t>
      </w:r>
      <w:proofErr w:type="spellStart"/>
      <w:r>
        <w:t>Pizzinelli</w:t>
      </w:r>
      <w:proofErr w:type="spellEnd"/>
      <w:r>
        <w:t xml:space="preserve">, Emma Rockall y Marina M. Tavares (2024). </w:t>
      </w:r>
      <w:r w:rsidRPr="00861F4F">
        <w:rPr>
          <w:i/>
          <w:lang w:val="en-US"/>
        </w:rPr>
        <w:t>Gen-AI: Artificial Intelligence and the Future of Work</w:t>
      </w:r>
      <w:r>
        <w:rPr>
          <w:noProof/>
        </w:rPr>
        <w:drawing>
          <wp:anchor distT="0" distB="0" distL="0" distR="0" simplePos="0" relativeHeight="251658240" behindDoc="0" locked="0" layoutInCell="1" hidden="0" allowOverlap="1" wp14:anchorId="04F1C248" wp14:editId="49B6EE0A">
            <wp:simplePos x="0" y="0"/>
            <wp:positionH relativeFrom="column">
              <wp:posOffset>0</wp:posOffset>
            </wp:positionH>
            <wp:positionV relativeFrom="paragraph">
              <wp:posOffset>953</wp:posOffset>
            </wp:positionV>
            <wp:extent cx="692668" cy="1038723"/>
            <wp:effectExtent l="0" t="0" r="0" b="0"/>
            <wp:wrapSquare wrapText="bothSides" distT="0" distB="0" distL="0" distR="0"/>
            <wp:docPr id="6" name="image2.jpg" descr="The Technology Trap: Capital, Labor, and Power in the Age of Automation:  Frey, Carl Benedikt: 9780691210797: Amazon.com: Books"/>
            <wp:cNvGraphicFramePr/>
            <a:graphic xmlns:a="http://schemas.openxmlformats.org/drawingml/2006/main">
              <a:graphicData uri="http://schemas.openxmlformats.org/drawingml/2006/picture">
                <pic:pic xmlns:pic="http://schemas.openxmlformats.org/drawingml/2006/picture">
                  <pic:nvPicPr>
                    <pic:cNvPr id="0" name="image2.jpg" descr="The Technology Trap: Capital, Labor, and Power in the Age of Automation:  Frey, Carl Benedikt: 9780691210797: Amazon.com: Books"/>
                    <pic:cNvPicPr preferRelativeResize="0"/>
                  </pic:nvPicPr>
                  <pic:blipFill>
                    <a:blip r:embed="rId6"/>
                    <a:srcRect l="6671" r="6671"/>
                    <a:stretch>
                      <a:fillRect/>
                    </a:stretch>
                  </pic:blipFill>
                  <pic:spPr>
                    <a:xfrm>
                      <a:off x="0" y="0"/>
                      <a:ext cx="692668" cy="1038723"/>
                    </a:xfrm>
                    <a:prstGeom prst="rect">
                      <a:avLst/>
                    </a:prstGeom>
                    <a:ln/>
                  </pic:spPr>
                </pic:pic>
              </a:graphicData>
            </a:graphic>
          </wp:anchor>
        </w:drawing>
      </w:r>
    </w:p>
    <w:p w14:paraId="2CDA17AA" w14:textId="77777777" w:rsidR="00A260D6" w:rsidRPr="00861F4F" w:rsidRDefault="00A260D6">
      <w:pPr>
        <w:pStyle w:val="Ttulo"/>
        <w:keepNext w:val="0"/>
        <w:keepLines w:val="0"/>
        <w:spacing w:line="240" w:lineRule="auto"/>
        <w:ind w:left="2552"/>
        <w:jc w:val="left"/>
        <w:rPr>
          <w:i/>
          <w:lang w:val="en-US"/>
        </w:rPr>
      </w:pPr>
      <w:bookmarkStart w:id="0" w:name="_qel2o3gn9g8b" w:colFirst="0" w:colLast="0"/>
      <w:bookmarkEnd w:id="0"/>
    </w:p>
    <w:p w14:paraId="45CAAB3A" w14:textId="77777777" w:rsidR="00A260D6" w:rsidRPr="00861F4F" w:rsidRDefault="0000000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Garamond" w:eastAsia="Garamond" w:hAnsi="Garamond" w:cs="Garamond"/>
          <w:i/>
          <w:sz w:val="16"/>
          <w:szCs w:val="16"/>
          <w:lang w:val="en-US"/>
        </w:rPr>
      </w:pPr>
      <w:r w:rsidRPr="00861F4F">
        <w:rPr>
          <w:rFonts w:ascii="Garamond" w:eastAsia="Garamond" w:hAnsi="Garamond" w:cs="Garamond"/>
          <w:i/>
          <w:sz w:val="28"/>
          <w:szCs w:val="28"/>
          <w:lang w:val="en-US"/>
        </w:rPr>
        <w:t>Luis Lauriño</w:t>
      </w:r>
      <w:r>
        <w:rPr>
          <w:rFonts w:ascii="Garamond" w:eastAsia="Garamond" w:hAnsi="Garamond" w:cs="Garamond"/>
          <w:i/>
          <w:sz w:val="28"/>
          <w:szCs w:val="28"/>
          <w:vertAlign w:val="superscript"/>
        </w:rPr>
        <w:footnoteReference w:id="1"/>
      </w:r>
    </w:p>
    <w:p w14:paraId="0B179B14" w14:textId="77777777" w:rsidR="00A260D6" w:rsidRPr="00861F4F" w:rsidRDefault="00A260D6">
      <w:pPr>
        <w:ind w:left="2127"/>
        <w:jc w:val="right"/>
        <w:rPr>
          <w:rFonts w:ascii="Garamond" w:eastAsia="Garamond" w:hAnsi="Garamond" w:cs="Garamond"/>
          <w:b/>
          <w:sz w:val="22"/>
          <w:szCs w:val="22"/>
          <w:lang w:val="en-US"/>
        </w:rPr>
      </w:pPr>
    </w:p>
    <w:p w14:paraId="23A4FAED" w14:textId="77777777" w:rsidR="00A260D6" w:rsidRPr="00861F4F" w:rsidRDefault="00A260D6">
      <w:pPr>
        <w:ind w:left="2127"/>
        <w:jc w:val="right"/>
        <w:rPr>
          <w:rFonts w:ascii="Garamond" w:eastAsia="Garamond" w:hAnsi="Garamond" w:cs="Garamond"/>
          <w:b/>
          <w:sz w:val="22"/>
          <w:szCs w:val="22"/>
          <w:lang w:val="en-US"/>
        </w:rPr>
      </w:pPr>
    </w:p>
    <w:p w14:paraId="0B3B1378" w14:textId="77777777" w:rsidR="00A260D6" w:rsidRPr="00861F4F" w:rsidRDefault="00000000">
      <w:pPr>
        <w:jc w:val="both"/>
        <w:rPr>
          <w:rFonts w:ascii="Garamond" w:eastAsia="Garamond" w:hAnsi="Garamond" w:cs="Garamond"/>
          <w:sz w:val="22"/>
          <w:szCs w:val="22"/>
          <w:lang w:val="en-US"/>
        </w:rPr>
      </w:pPr>
      <w:r w:rsidRPr="00861F4F">
        <w:rPr>
          <w:rFonts w:ascii="Garamond" w:eastAsia="Garamond" w:hAnsi="Garamond" w:cs="Garamond"/>
          <w:sz w:val="22"/>
          <w:szCs w:val="22"/>
          <w:lang w:val="en-US"/>
        </w:rPr>
        <w:t>Editorial: International Monetary Fund.</w:t>
      </w:r>
    </w:p>
    <w:p w14:paraId="74668D00" w14:textId="77777777" w:rsidR="00A260D6" w:rsidRPr="00861F4F" w:rsidRDefault="00000000">
      <w:pPr>
        <w:jc w:val="both"/>
        <w:rPr>
          <w:rFonts w:ascii="Garamond" w:eastAsia="Garamond" w:hAnsi="Garamond" w:cs="Garamond"/>
          <w:sz w:val="22"/>
          <w:szCs w:val="22"/>
          <w:lang w:val="en-US"/>
        </w:rPr>
      </w:pPr>
      <w:r w:rsidRPr="00861F4F">
        <w:rPr>
          <w:rFonts w:ascii="Garamond" w:eastAsia="Garamond" w:hAnsi="Garamond" w:cs="Garamond"/>
          <w:sz w:val="22"/>
          <w:szCs w:val="22"/>
          <w:lang w:val="en-US"/>
        </w:rPr>
        <w:t>ISBN: 9798400262548.</w:t>
      </w:r>
    </w:p>
    <w:p w14:paraId="1D3C31DD" w14:textId="77777777" w:rsidR="00A260D6" w:rsidRDefault="00000000">
      <w:pPr>
        <w:jc w:val="both"/>
        <w:rPr>
          <w:rFonts w:ascii="Garamond" w:eastAsia="Garamond" w:hAnsi="Garamond" w:cs="Garamond"/>
          <w:sz w:val="22"/>
          <w:szCs w:val="22"/>
        </w:rPr>
      </w:pPr>
      <w:r>
        <w:rPr>
          <w:rFonts w:ascii="Garamond" w:eastAsia="Garamond" w:hAnsi="Garamond" w:cs="Garamond"/>
          <w:sz w:val="22"/>
          <w:szCs w:val="22"/>
        </w:rPr>
        <w:t>Páginas: 40.</w:t>
      </w:r>
    </w:p>
    <w:p w14:paraId="29519E50" w14:textId="77777777" w:rsidR="00A260D6" w:rsidRDefault="00A260D6">
      <w:pPr>
        <w:jc w:val="both"/>
        <w:rPr>
          <w:rFonts w:ascii="Garamond" w:eastAsia="Garamond" w:hAnsi="Garamond" w:cs="Garamond"/>
          <w:b/>
          <w:sz w:val="22"/>
          <w:szCs w:val="22"/>
        </w:rPr>
      </w:pPr>
    </w:p>
    <w:p w14:paraId="3B33314A" w14:textId="77777777" w:rsidR="00A260D6" w:rsidRDefault="00000000">
      <w:pPr>
        <w:shd w:val="clear" w:color="auto" w:fill="FFFFFF"/>
        <w:spacing w:after="120" w:line="360" w:lineRule="auto"/>
        <w:ind w:firstLine="280"/>
        <w:jc w:val="both"/>
        <w:rPr>
          <w:rFonts w:ascii="Garamond" w:eastAsia="Garamond" w:hAnsi="Garamond" w:cs="Garamond"/>
          <w:sz w:val="22"/>
          <w:szCs w:val="22"/>
        </w:rPr>
      </w:pPr>
      <w:r>
        <w:rPr>
          <w:rFonts w:ascii="Garamond" w:eastAsia="Garamond" w:hAnsi="Garamond" w:cs="Garamond"/>
          <w:i/>
          <w:sz w:val="22"/>
          <w:szCs w:val="22"/>
        </w:rPr>
        <w:t>Gen-</w:t>
      </w:r>
      <w:proofErr w:type="spellStart"/>
      <w:r>
        <w:rPr>
          <w:rFonts w:ascii="Garamond" w:eastAsia="Garamond" w:hAnsi="Garamond" w:cs="Garamond"/>
          <w:i/>
          <w:sz w:val="22"/>
          <w:szCs w:val="22"/>
        </w:rPr>
        <w:t>AI</w:t>
      </w:r>
      <w:proofErr w:type="spellEnd"/>
      <w:r>
        <w:rPr>
          <w:rFonts w:ascii="Garamond" w:eastAsia="Garamond" w:hAnsi="Garamond" w:cs="Garamond"/>
          <w:i/>
          <w:sz w:val="22"/>
          <w:szCs w:val="22"/>
        </w:rPr>
        <w:t xml:space="preserve">: Artificial </w:t>
      </w:r>
      <w:proofErr w:type="spellStart"/>
      <w:r>
        <w:rPr>
          <w:rFonts w:ascii="Garamond" w:eastAsia="Garamond" w:hAnsi="Garamond" w:cs="Garamond"/>
          <w:i/>
          <w:sz w:val="22"/>
          <w:szCs w:val="22"/>
        </w:rPr>
        <w:t>Intelligence</w:t>
      </w:r>
      <w:proofErr w:type="spellEnd"/>
      <w:r>
        <w:rPr>
          <w:rFonts w:ascii="Garamond" w:eastAsia="Garamond" w:hAnsi="Garamond" w:cs="Garamond"/>
          <w:i/>
          <w:sz w:val="22"/>
          <w:szCs w:val="22"/>
        </w:rPr>
        <w:t xml:space="preserve"> and </w:t>
      </w:r>
      <w:proofErr w:type="spellStart"/>
      <w:r>
        <w:rPr>
          <w:rFonts w:ascii="Garamond" w:eastAsia="Garamond" w:hAnsi="Garamond" w:cs="Garamond"/>
          <w:i/>
          <w:sz w:val="22"/>
          <w:szCs w:val="22"/>
        </w:rPr>
        <w:t>the</w:t>
      </w:r>
      <w:proofErr w:type="spellEnd"/>
      <w:r>
        <w:rPr>
          <w:rFonts w:ascii="Garamond" w:eastAsia="Garamond" w:hAnsi="Garamond" w:cs="Garamond"/>
          <w:i/>
          <w:sz w:val="22"/>
          <w:szCs w:val="22"/>
        </w:rPr>
        <w:t xml:space="preserve"> Future </w:t>
      </w:r>
      <w:proofErr w:type="spellStart"/>
      <w:r>
        <w:rPr>
          <w:rFonts w:ascii="Garamond" w:eastAsia="Garamond" w:hAnsi="Garamond" w:cs="Garamond"/>
          <w:i/>
          <w:sz w:val="22"/>
          <w:szCs w:val="22"/>
        </w:rPr>
        <w:t>of</w:t>
      </w:r>
      <w:proofErr w:type="spellEnd"/>
      <w:r>
        <w:rPr>
          <w:rFonts w:ascii="Garamond" w:eastAsia="Garamond" w:hAnsi="Garamond" w:cs="Garamond"/>
          <w:i/>
          <w:sz w:val="22"/>
          <w:szCs w:val="22"/>
        </w:rPr>
        <w:t xml:space="preserve"> </w:t>
      </w:r>
      <w:proofErr w:type="spellStart"/>
      <w:r>
        <w:rPr>
          <w:rFonts w:ascii="Garamond" w:eastAsia="Garamond" w:hAnsi="Garamond" w:cs="Garamond"/>
          <w:i/>
          <w:sz w:val="22"/>
          <w:szCs w:val="22"/>
        </w:rPr>
        <w:t>Work</w:t>
      </w:r>
      <w:proofErr w:type="spellEnd"/>
      <w:r>
        <w:rPr>
          <w:rFonts w:ascii="Garamond" w:eastAsia="Garamond" w:hAnsi="Garamond" w:cs="Garamond"/>
          <w:sz w:val="22"/>
          <w:szCs w:val="22"/>
        </w:rPr>
        <w:t xml:space="preserve"> ofrece un análisis detallado y matizado sobre cómo la IA, especialmente la IA generativa (Gen-</w:t>
      </w:r>
      <w:proofErr w:type="spellStart"/>
      <w:r>
        <w:rPr>
          <w:rFonts w:ascii="Garamond" w:eastAsia="Garamond" w:hAnsi="Garamond" w:cs="Garamond"/>
          <w:sz w:val="22"/>
          <w:szCs w:val="22"/>
        </w:rPr>
        <w:t>AI</w:t>
      </w:r>
      <w:proofErr w:type="spellEnd"/>
      <w:r>
        <w:rPr>
          <w:rFonts w:ascii="Garamond" w:eastAsia="Garamond" w:hAnsi="Garamond" w:cs="Garamond"/>
          <w:sz w:val="22"/>
          <w:szCs w:val="22"/>
        </w:rPr>
        <w:t>), está transformando los mercados laborales y las economías.</w:t>
      </w:r>
    </w:p>
    <w:p w14:paraId="35F6AFA3" w14:textId="77777777" w:rsidR="00A260D6" w:rsidRDefault="00000000">
      <w:pPr>
        <w:shd w:val="clear" w:color="auto" w:fill="FFFFFF"/>
        <w:spacing w:after="120" w:line="360" w:lineRule="auto"/>
        <w:ind w:firstLine="280"/>
        <w:jc w:val="both"/>
        <w:rPr>
          <w:rFonts w:ascii="Garamond" w:eastAsia="Garamond" w:hAnsi="Garamond" w:cs="Garamond"/>
          <w:sz w:val="22"/>
          <w:szCs w:val="22"/>
        </w:rPr>
      </w:pPr>
      <w:r>
        <w:rPr>
          <w:rFonts w:ascii="Garamond" w:eastAsia="Garamond" w:hAnsi="Garamond" w:cs="Garamond"/>
          <w:sz w:val="22"/>
          <w:szCs w:val="22"/>
        </w:rPr>
        <w:t>El impacto de la IA en el empleo es un tema central de la obra. Los autores exploran cómo la tecnología está remodelando no sólo los trabajos tradicionales, sino también roles que históricamente se consideraban inmunes a la automatización. En este sentido, el libro rompe con la noción de que sólo los trabajos de baja habilidad son susceptibles a la disrupción, al mostrar que incluso ocupaciones de alta habilidad como los cirujanos y los abogados están siendo afectadas por las tecnologías avanzadas de IA.</w:t>
      </w:r>
    </w:p>
    <w:p w14:paraId="53BCCC31" w14:textId="77777777" w:rsidR="00A260D6" w:rsidRDefault="00000000">
      <w:pPr>
        <w:shd w:val="clear" w:color="auto" w:fill="FFFFFF"/>
        <w:spacing w:after="120" w:line="360" w:lineRule="auto"/>
        <w:ind w:firstLine="280"/>
        <w:jc w:val="both"/>
        <w:rPr>
          <w:rFonts w:ascii="Garamond" w:eastAsia="Garamond" w:hAnsi="Garamond" w:cs="Garamond"/>
          <w:sz w:val="22"/>
          <w:szCs w:val="22"/>
        </w:rPr>
      </w:pPr>
      <w:r>
        <w:rPr>
          <w:rFonts w:ascii="Garamond" w:eastAsia="Garamond" w:hAnsi="Garamond" w:cs="Garamond"/>
          <w:sz w:val="22"/>
          <w:szCs w:val="22"/>
        </w:rPr>
        <w:t>Una de las contribuciones más significativas del trabajo es su discusión sobre la desigualdad y la "complementariedad ocupacional". Los autores introducen este concepto para analizar cómo diferentes trabajos interactúan con la IA. A través de esta óptica, se observa que mientras algunos roles pueden beneficiarse y mejorarse por la IA, otros están en riesgo de desaparición, especialmente aquellos con menor complementariedad. Este análisis se constituye en un aspecto fundamental para entender cómo las nuevas tecnologías podrían afectar el acceso al empleo, a la par de exacerbar las desigualdades existentes en el mercado laboral.</w:t>
      </w:r>
    </w:p>
    <w:p w14:paraId="0CF254B0" w14:textId="77777777" w:rsidR="00A260D6" w:rsidRDefault="00000000">
      <w:pPr>
        <w:shd w:val="clear" w:color="auto" w:fill="FFFFFF"/>
        <w:spacing w:after="120" w:line="360" w:lineRule="auto"/>
        <w:ind w:firstLine="280"/>
        <w:jc w:val="both"/>
        <w:rPr>
          <w:rFonts w:ascii="Garamond" w:eastAsia="Garamond" w:hAnsi="Garamond" w:cs="Garamond"/>
          <w:sz w:val="22"/>
          <w:szCs w:val="22"/>
        </w:rPr>
      </w:pPr>
      <w:r>
        <w:rPr>
          <w:rFonts w:ascii="Garamond" w:eastAsia="Garamond" w:hAnsi="Garamond" w:cs="Garamond"/>
          <w:sz w:val="22"/>
          <w:szCs w:val="22"/>
        </w:rPr>
        <w:t>Este trabajo también propone el índice de Preparación para la IA (</w:t>
      </w:r>
      <w:proofErr w:type="spellStart"/>
      <w:r>
        <w:rPr>
          <w:rFonts w:ascii="Garamond" w:eastAsia="Garamond" w:hAnsi="Garamond" w:cs="Garamond"/>
          <w:sz w:val="22"/>
          <w:szCs w:val="22"/>
        </w:rPr>
        <w:t>AIPI</w:t>
      </w:r>
      <w:proofErr w:type="spellEnd"/>
      <w:r>
        <w:rPr>
          <w:rFonts w:ascii="Garamond" w:eastAsia="Garamond" w:hAnsi="Garamond" w:cs="Garamond"/>
          <w:sz w:val="22"/>
          <w:szCs w:val="22"/>
        </w:rPr>
        <w:t>), un marco innovador para evaluar la capacidad de los países para integrar la IA en sus economías. Este índice pone de relieve que las economías avanzadas, con su infraestructura digital robusta y un capital humano altamente calificado, están mejor posicionadas para adoptar la IA. En contraste, los países de bajos ingresos y algunos mercados emergentes enfrentan importantes desafíos, necesitando invertir significativamente en infraestructura digital y en la capacitación de su fuerza laboral para no quedarse rezagados. Esta disparidad en la preparación puede llevar a una mayor brecha tecnológica y económica entre las naciones desarrolladas y en desarrollo.</w:t>
      </w:r>
    </w:p>
    <w:p w14:paraId="47A79218" w14:textId="77777777" w:rsidR="00A260D6" w:rsidRDefault="00000000">
      <w:pPr>
        <w:shd w:val="clear" w:color="auto" w:fill="FFFFFF"/>
        <w:spacing w:after="120" w:line="360" w:lineRule="auto"/>
        <w:ind w:firstLine="280"/>
        <w:jc w:val="both"/>
        <w:rPr>
          <w:rFonts w:ascii="Garamond" w:eastAsia="Garamond" w:hAnsi="Garamond" w:cs="Garamond"/>
          <w:sz w:val="22"/>
          <w:szCs w:val="22"/>
        </w:rPr>
      </w:pPr>
      <w:r>
        <w:rPr>
          <w:rFonts w:ascii="Garamond" w:eastAsia="Garamond" w:hAnsi="Garamond" w:cs="Garamond"/>
          <w:sz w:val="22"/>
          <w:szCs w:val="22"/>
        </w:rPr>
        <w:lastRenderedPageBreak/>
        <w:t>En lo que respecta a los trabajadores jóvenes y la futura fuerza laboral, los autores advierten sobre los desafíos que la IA podría demandar. La interrupción de los trabajos de nivel inicial, que tradicionalmente han sido un trampolín hacia roles más senior, plantea un riesgo significativo. Los jóvenes con educación universitaria podrían encontrar más difícil avanzar en sus carreras si estos roles son automatizados, lo que podría desembocar en una mayor desigualdad de oportunidades.</w:t>
      </w:r>
    </w:p>
    <w:p w14:paraId="029C785E" w14:textId="77777777" w:rsidR="00A260D6" w:rsidRDefault="00000000">
      <w:pPr>
        <w:shd w:val="clear" w:color="auto" w:fill="FFFFFF"/>
        <w:spacing w:after="120" w:line="360" w:lineRule="auto"/>
        <w:ind w:firstLine="280"/>
        <w:jc w:val="both"/>
        <w:rPr>
          <w:rFonts w:ascii="Garamond" w:eastAsia="Garamond" w:hAnsi="Garamond" w:cs="Garamond"/>
          <w:sz w:val="22"/>
          <w:szCs w:val="22"/>
        </w:rPr>
      </w:pPr>
      <w:r>
        <w:rPr>
          <w:rFonts w:ascii="Garamond" w:eastAsia="Garamond" w:hAnsi="Garamond" w:cs="Garamond"/>
          <w:sz w:val="22"/>
          <w:szCs w:val="22"/>
        </w:rPr>
        <w:t>Sin embargo, este trabajo también destaca las oportunidades que la IA supone. Por ejemplo, se discuten las mejoras potenciales en la prestación de servicios gubernamentales a través de tecnologías "</w:t>
      </w:r>
      <w:proofErr w:type="spellStart"/>
      <w:r>
        <w:rPr>
          <w:rFonts w:ascii="Garamond" w:eastAsia="Garamond" w:hAnsi="Garamond" w:cs="Garamond"/>
          <w:sz w:val="22"/>
          <w:szCs w:val="22"/>
        </w:rPr>
        <w:t>govtech</w:t>
      </w:r>
      <w:proofErr w:type="spellEnd"/>
      <w:r>
        <w:rPr>
          <w:rFonts w:ascii="Garamond" w:eastAsia="Garamond" w:hAnsi="Garamond" w:cs="Garamond"/>
          <w:sz w:val="22"/>
          <w:szCs w:val="22"/>
        </w:rPr>
        <w:t>", así como los beneficios en la atención médica mediante el uso de análisis predictivos. Para aprovechar estas oportunidades, sostienen los autores, será esencial contar con políticas públicas sólidas que promuevan la alfabetización digital y fomenten la colaboración internacional.</w:t>
      </w:r>
    </w:p>
    <w:p w14:paraId="47C252DD" w14:textId="77777777" w:rsidR="00A260D6" w:rsidRDefault="00000000">
      <w:pPr>
        <w:shd w:val="clear" w:color="auto" w:fill="FFFFFF"/>
        <w:spacing w:after="120" w:line="360" w:lineRule="auto"/>
        <w:ind w:firstLine="280"/>
        <w:jc w:val="both"/>
        <w:rPr>
          <w:rFonts w:ascii="Garamond" w:eastAsia="Garamond" w:hAnsi="Garamond" w:cs="Garamond"/>
          <w:sz w:val="22"/>
          <w:szCs w:val="22"/>
        </w:rPr>
      </w:pPr>
      <w:r>
        <w:rPr>
          <w:rFonts w:ascii="Garamond" w:eastAsia="Garamond" w:hAnsi="Garamond" w:cs="Garamond"/>
          <w:sz w:val="22"/>
          <w:szCs w:val="22"/>
        </w:rPr>
        <w:t xml:space="preserve">En suma, </w:t>
      </w:r>
      <w:r>
        <w:rPr>
          <w:rFonts w:ascii="Garamond" w:eastAsia="Garamond" w:hAnsi="Garamond" w:cs="Garamond"/>
          <w:i/>
          <w:sz w:val="22"/>
          <w:szCs w:val="22"/>
        </w:rPr>
        <w:t>Gen-</w:t>
      </w:r>
      <w:proofErr w:type="spellStart"/>
      <w:r>
        <w:rPr>
          <w:rFonts w:ascii="Garamond" w:eastAsia="Garamond" w:hAnsi="Garamond" w:cs="Garamond"/>
          <w:i/>
          <w:sz w:val="22"/>
          <w:szCs w:val="22"/>
        </w:rPr>
        <w:t>AI</w:t>
      </w:r>
      <w:proofErr w:type="spellEnd"/>
      <w:r>
        <w:rPr>
          <w:rFonts w:ascii="Garamond" w:eastAsia="Garamond" w:hAnsi="Garamond" w:cs="Garamond"/>
          <w:i/>
          <w:sz w:val="22"/>
          <w:szCs w:val="22"/>
        </w:rPr>
        <w:t xml:space="preserve">: Artificial </w:t>
      </w:r>
      <w:proofErr w:type="spellStart"/>
      <w:r>
        <w:rPr>
          <w:rFonts w:ascii="Garamond" w:eastAsia="Garamond" w:hAnsi="Garamond" w:cs="Garamond"/>
          <w:i/>
          <w:sz w:val="22"/>
          <w:szCs w:val="22"/>
        </w:rPr>
        <w:t>Intelligence</w:t>
      </w:r>
      <w:proofErr w:type="spellEnd"/>
      <w:r>
        <w:rPr>
          <w:rFonts w:ascii="Garamond" w:eastAsia="Garamond" w:hAnsi="Garamond" w:cs="Garamond"/>
          <w:i/>
          <w:sz w:val="22"/>
          <w:szCs w:val="22"/>
        </w:rPr>
        <w:t xml:space="preserve"> and </w:t>
      </w:r>
      <w:proofErr w:type="spellStart"/>
      <w:r>
        <w:rPr>
          <w:rFonts w:ascii="Garamond" w:eastAsia="Garamond" w:hAnsi="Garamond" w:cs="Garamond"/>
          <w:i/>
          <w:sz w:val="22"/>
          <w:szCs w:val="22"/>
        </w:rPr>
        <w:t>the</w:t>
      </w:r>
      <w:proofErr w:type="spellEnd"/>
      <w:r>
        <w:rPr>
          <w:rFonts w:ascii="Garamond" w:eastAsia="Garamond" w:hAnsi="Garamond" w:cs="Garamond"/>
          <w:i/>
          <w:sz w:val="22"/>
          <w:szCs w:val="22"/>
        </w:rPr>
        <w:t xml:space="preserve"> Future </w:t>
      </w:r>
      <w:proofErr w:type="spellStart"/>
      <w:r>
        <w:rPr>
          <w:rFonts w:ascii="Garamond" w:eastAsia="Garamond" w:hAnsi="Garamond" w:cs="Garamond"/>
          <w:i/>
          <w:sz w:val="22"/>
          <w:szCs w:val="22"/>
        </w:rPr>
        <w:t>of</w:t>
      </w:r>
      <w:proofErr w:type="spellEnd"/>
      <w:r>
        <w:rPr>
          <w:rFonts w:ascii="Garamond" w:eastAsia="Garamond" w:hAnsi="Garamond" w:cs="Garamond"/>
          <w:i/>
          <w:sz w:val="22"/>
          <w:szCs w:val="22"/>
        </w:rPr>
        <w:t xml:space="preserve"> </w:t>
      </w:r>
      <w:proofErr w:type="spellStart"/>
      <w:r>
        <w:rPr>
          <w:rFonts w:ascii="Garamond" w:eastAsia="Garamond" w:hAnsi="Garamond" w:cs="Garamond"/>
          <w:i/>
          <w:sz w:val="22"/>
          <w:szCs w:val="22"/>
        </w:rPr>
        <w:t>Work</w:t>
      </w:r>
      <w:proofErr w:type="spellEnd"/>
      <w:r>
        <w:rPr>
          <w:rFonts w:ascii="Garamond" w:eastAsia="Garamond" w:hAnsi="Garamond" w:cs="Garamond"/>
          <w:sz w:val="22"/>
          <w:szCs w:val="22"/>
        </w:rPr>
        <w:t xml:space="preserve"> ofrece un análisis exhaustivo del impacto de la IA en los mercados laborales globales. A través de un meticuloso examen de datos empíricos y análisis cualitativo, los autores proporcionan una visión profunda de cómo las economías pueden adaptarse a esta transformación tecnológica.</w:t>
      </w:r>
    </w:p>
    <w:sectPr w:rsidR="00A260D6">
      <w:headerReference w:type="default" r:id="rId7"/>
      <w:footerReference w:type="even" r:id="rId8"/>
      <w:footerReference w:type="default" r:id="rId9"/>
      <w:headerReference w:type="first" r:id="rId10"/>
      <w:footerReference w:type="first" r:id="rId11"/>
      <w:pgSz w:w="12240" w:h="15840"/>
      <w:pgMar w:top="713" w:right="1041" w:bottom="1417" w:left="1275" w:header="714" w:footer="566" w:gutter="0"/>
      <w:pgNumType w:start="11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414042" w14:textId="77777777" w:rsidR="00A35E62" w:rsidRDefault="00A35E62">
      <w:r>
        <w:separator/>
      </w:r>
    </w:p>
  </w:endnote>
  <w:endnote w:type="continuationSeparator" w:id="0">
    <w:p w14:paraId="105F87F2" w14:textId="77777777" w:rsidR="00A35E62" w:rsidRDefault="00A35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52C7EDE5-2C44-43BF-BF52-C1F99E3353BD}"/>
    <w:embedBold r:id="rId2" w:fontKey="{67328DA7-844E-4152-8FE2-594E8E478EF9}"/>
    <w:embedItalic r:id="rId3" w:fontKey="{233B59D0-A962-4092-B3C8-333FC7266237}"/>
    <w:embedBoldItalic r:id="rId4" w:fontKey="{B889DE92-79A6-4720-9572-392CF1622B5A}"/>
  </w:font>
  <w:font w:name="Times New Roman">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embedRegular r:id="rId5" w:fontKey="{EB93C601-3BD2-459C-8E1D-5531916D0859}"/>
    <w:embedBold r:id="rId6" w:fontKey="{89DEA314-5C5C-4012-AC62-6A4961FC8C88}"/>
  </w:font>
  <w:font w:name="Calibri">
    <w:panose1 w:val="020F0502020204030204"/>
    <w:charset w:val="00"/>
    <w:family w:val="swiss"/>
    <w:pitch w:val="variable"/>
    <w:sig w:usb0="E4002EFF" w:usb1="C200247B" w:usb2="00000009" w:usb3="00000000" w:csb0="000001FF" w:csb1="00000000"/>
    <w:embedRegular r:id="rId7" w:fontKey="{E1935DCB-A838-4E34-B2A3-BF8C026827A0}"/>
  </w:font>
  <w:font w:name="Cambria">
    <w:panose1 w:val="02040503050406030204"/>
    <w:charset w:val="00"/>
    <w:family w:val="roman"/>
    <w:pitch w:val="variable"/>
    <w:sig w:usb0="E00006FF" w:usb1="420024FF" w:usb2="02000000" w:usb3="00000000" w:csb0="0000019F" w:csb1="00000000"/>
    <w:embedRegular r:id="rId8" w:fontKey="{284D1ED5-9612-4A6E-BCAA-9064B332FF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76470" w14:textId="77777777" w:rsidR="00A260D6"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A75036B" w14:textId="77777777" w:rsidR="00A260D6" w:rsidRDefault="00A260D6">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3ED11" w14:textId="77777777" w:rsidR="00A260D6" w:rsidRDefault="00000000">
    <w:pPr>
      <w:pBdr>
        <w:top w:val="nil"/>
        <w:left w:val="nil"/>
        <w:bottom w:val="nil"/>
        <w:right w:val="nil"/>
        <w:between w:val="nil"/>
      </w:pBdr>
      <w:tabs>
        <w:tab w:val="center" w:pos="4419"/>
        <w:tab w:val="right" w:pos="8838"/>
      </w:tabs>
      <w:jc w:val="right"/>
      <w:rPr>
        <w:rFonts w:ascii="Garamond" w:eastAsia="Garamond" w:hAnsi="Garamond" w:cs="Garamond"/>
        <w:color w:val="000000"/>
        <w:sz w:val="16"/>
        <w:szCs w:val="16"/>
      </w:rPr>
    </w:pPr>
    <w:r>
      <w:rPr>
        <w:rFonts w:ascii="Garamond" w:eastAsia="Garamond" w:hAnsi="Garamond" w:cs="Garamond"/>
        <w:sz w:val="16"/>
        <w:szCs w:val="16"/>
      </w:rPr>
      <w:t xml:space="preserve">Temas de Coyuntura n.º 88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sidR="00861F4F">
      <w:rPr>
        <w:rFonts w:ascii="Garamond" w:eastAsia="Garamond" w:hAnsi="Garamond" w:cs="Garamond"/>
        <w:noProof/>
        <w:color w:val="000000"/>
        <w:sz w:val="22"/>
        <w:szCs w:val="22"/>
      </w:rPr>
      <w:t>111</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r>
      <w:rPr>
        <w:noProof/>
      </w:rPr>
      <mc:AlternateContent>
        <mc:Choice Requires="wpg">
          <w:drawing>
            <wp:anchor distT="0" distB="0" distL="114300" distR="114300" simplePos="0" relativeHeight="251661312" behindDoc="0" locked="0" layoutInCell="1" hidden="0" allowOverlap="1" wp14:anchorId="7F60E90B" wp14:editId="43D946DA">
              <wp:simplePos x="0" y="0"/>
              <wp:positionH relativeFrom="column">
                <wp:posOffset>6019800</wp:posOffset>
              </wp:positionH>
              <wp:positionV relativeFrom="paragraph">
                <wp:posOffset>38100</wp:posOffset>
              </wp:positionV>
              <wp:extent cx="12700" cy="812800"/>
              <wp:effectExtent l="0" t="0" r="0" b="0"/>
              <wp:wrapNone/>
              <wp:docPr id="1" name="Conector recto de flecha 1"/>
              <wp:cNvGraphicFramePr/>
              <a:graphic xmlns:a="http://schemas.openxmlformats.org/drawingml/2006/main">
                <a:graphicData uri="http://schemas.microsoft.com/office/word/2010/wordprocessingShape">
                  <wps:wsp>
                    <wps:cNvCnPr/>
                    <wps:spPr>
                      <a:xfrm>
                        <a:off x="5346000" y="3381855"/>
                        <a:ext cx="2700" cy="12033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14:paraId="279A671D" w14:textId="77777777" w:rsidR="00A260D6" w:rsidRDefault="0000000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proofErr w:type="gramStart"/>
    <w:r>
      <w:rPr>
        <w:rFonts w:ascii="Garamond" w:eastAsia="Garamond" w:hAnsi="Garamond" w:cs="Garamond"/>
        <w:sz w:val="16"/>
        <w:szCs w:val="16"/>
      </w:rPr>
      <w:t>Dic.</w:t>
    </w:r>
    <w:proofErr w:type="gramEnd"/>
    <w:r>
      <w:rPr>
        <w:rFonts w:ascii="Garamond" w:eastAsia="Garamond" w:hAnsi="Garamond" w:cs="Garamond"/>
        <w:color w:val="000000"/>
        <w:sz w:val="16"/>
        <w:szCs w:val="16"/>
      </w:rPr>
      <w:t xml:space="preserve"> </w:t>
    </w:r>
    <w:r>
      <w:rPr>
        <w:rFonts w:ascii="Garamond" w:eastAsia="Garamond" w:hAnsi="Garamond" w:cs="Garamond"/>
        <w:sz w:val="16"/>
        <w:szCs w:val="16"/>
      </w:rPr>
      <w:t>2023</w:t>
    </w:r>
  </w:p>
  <w:p w14:paraId="69729761" w14:textId="77777777" w:rsidR="00A260D6"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BA841" w14:textId="77777777" w:rsidR="00A260D6" w:rsidRDefault="00A260D6">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6792AA77" w14:textId="77777777" w:rsidR="00A260D6"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Pr>
        <w:rFonts w:ascii="Garamond" w:eastAsia="Garamond" w:hAnsi="Garamond" w:cs="Garamond"/>
        <w:color w:val="000000"/>
        <w:sz w:val="16"/>
        <w:szCs w:val="16"/>
      </w:rPr>
      <w:t xml:space="preserve">Temas de Coyuntura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88</w:t>
    </w:r>
    <w:r>
      <w:rPr>
        <w:noProof/>
      </w:rPr>
      <mc:AlternateContent>
        <mc:Choice Requires="wpg">
          <w:drawing>
            <wp:anchor distT="0" distB="0" distL="114300" distR="114300" simplePos="0" relativeHeight="251662336" behindDoc="0" locked="0" layoutInCell="1" hidden="0" allowOverlap="1" wp14:anchorId="7198F233" wp14:editId="13907854">
              <wp:simplePos x="0" y="0"/>
              <wp:positionH relativeFrom="column">
                <wp:posOffset>6019800</wp:posOffset>
              </wp:positionH>
              <wp:positionV relativeFrom="paragraph">
                <wp:posOffset>28575</wp:posOffset>
              </wp:positionV>
              <wp:extent cx="12700" cy="730250"/>
              <wp:effectExtent l="0" t="0" r="0" b="0"/>
              <wp:wrapNone/>
              <wp:docPr id="2" name="Conector recto de flecha 2"/>
              <wp:cNvGraphicFramePr/>
              <a:graphic xmlns:a="http://schemas.openxmlformats.org/drawingml/2006/main">
                <a:graphicData uri="http://schemas.microsoft.com/office/word/2010/wordprocessingShape">
                  <wps:wsp>
                    <wps:cNvCnPr/>
                    <wps:spPr>
                      <a:xfrm>
                        <a:off x="5346000" y="3382173"/>
                        <a:ext cx="2700" cy="10800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14:paraId="00A283CE" w14:textId="77777777" w:rsidR="00A260D6"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proofErr w:type="gramStart"/>
    <w:r>
      <w:rPr>
        <w:rFonts w:ascii="Garamond" w:eastAsia="Garamond" w:hAnsi="Garamond" w:cs="Garamond"/>
        <w:sz w:val="16"/>
        <w:szCs w:val="16"/>
      </w:rPr>
      <w:t>Dic</w:t>
    </w:r>
    <w:r>
      <w:rPr>
        <w:rFonts w:ascii="Garamond" w:eastAsia="Garamond" w:hAnsi="Garamond" w:cs="Garamond"/>
        <w:color w:val="000000"/>
        <w:sz w:val="16"/>
        <w:szCs w:val="16"/>
      </w:rPr>
      <w:t>.</w:t>
    </w:r>
    <w:proofErr w:type="gramEnd"/>
    <w:r>
      <w:rPr>
        <w:rFonts w:ascii="Garamond" w:eastAsia="Garamond" w:hAnsi="Garamond" w:cs="Garamond"/>
        <w:color w:val="000000"/>
        <w:sz w:val="16"/>
        <w:szCs w:val="16"/>
      </w:rPr>
      <w:t xml:space="preserve"> </w:t>
    </w:r>
    <w:r>
      <w:rPr>
        <w:rFonts w:ascii="Garamond" w:eastAsia="Garamond" w:hAnsi="Garamond" w:cs="Garamond"/>
        <w:sz w:val="16"/>
        <w:szCs w:val="16"/>
      </w:rPr>
      <w:t>2023</w:t>
    </w:r>
  </w:p>
  <w:p w14:paraId="75A730E0" w14:textId="77777777" w:rsidR="00A260D6"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6569EB" w14:textId="77777777" w:rsidR="00A35E62" w:rsidRDefault="00A35E62">
      <w:r>
        <w:separator/>
      </w:r>
    </w:p>
  </w:footnote>
  <w:footnote w:type="continuationSeparator" w:id="0">
    <w:p w14:paraId="18F9AC8A" w14:textId="77777777" w:rsidR="00A35E62" w:rsidRDefault="00A35E62">
      <w:r>
        <w:continuationSeparator/>
      </w:r>
    </w:p>
  </w:footnote>
  <w:footnote w:id="1">
    <w:p w14:paraId="2864F447" w14:textId="77777777" w:rsidR="00A260D6" w:rsidRDefault="00000000">
      <w:pPr>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Profesor, investigador y director de docencia del Instituto de Investigaciones Económicas y Sociales (</w:t>
      </w:r>
      <w:proofErr w:type="spellStart"/>
      <w:r>
        <w:rPr>
          <w:rFonts w:ascii="Garamond" w:eastAsia="Garamond" w:hAnsi="Garamond" w:cs="Garamond"/>
          <w:sz w:val="20"/>
          <w:szCs w:val="20"/>
        </w:rPr>
        <w:t>IIES</w:t>
      </w:r>
      <w:proofErr w:type="spellEnd"/>
      <w:r>
        <w:rPr>
          <w:rFonts w:ascii="Garamond" w:eastAsia="Garamond" w:hAnsi="Garamond" w:cs="Garamond"/>
          <w:sz w:val="20"/>
          <w:szCs w:val="20"/>
        </w:rPr>
        <w:t xml:space="preserve">) de la Universidad Católica Andrés Bello (UCAB). Editor de </w:t>
      </w:r>
      <w:r>
        <w:rPr>
          <w:rFonts w:ascii="Garamond" w:eastAsia="Garamond" w:hAnsi="Garamond" w:cs="Garamond"/>
          <w:i/>
          <w:sz w:val="20"/>
          <w:szCs w:val="20"/>
        </w:rPr>
        <w:t>Temas de Coyuntura</w:t>
      </w:r>
      <w:r>
        <w:rPr>
          <w:rFonts w:ascii="Garamond" w:eastAsia="Garamond" w:hAnsi="Garamond" w:cs="Garamond"/>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412180" w14:textId="77777777" w:rsidR="00A260D6" w:rsidRDefault="00000000">
    <w:pPr>
      <w:rPr>
        <w:rFonts w:ascii="Garamond" w:eastAsia="Garamond" w:hAnsi="Garamond" w:cs="Garamond"/>
        <w:i/>
        <w:color w:val="000000"/>
        <w:sz w:val="22"/>
        <w:szCs w:val="22"/>
      </w:rPr>
    </w:pPr>
    <w:r>
      <w:rPr>
        <w:rFonts w:ascii="Garamond" w:eastAsia="Garamond" w:hAnsi="Garamond" w:cs="Garamond"/>
        <w:i/>
        <w:sz w:val="22"/>
        <w:szCs w:val="22"/>
      </w:rPr>
      <w:t>Crítica bibliográfica</w:t>
    </w:r>
  </w:p>
  <w:p w14:paraId="17AEDB28" w14:textId="77777777" w:rsidR="00A260D6"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5680BA98" wp14:editId="23834E55">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2A1A5517" w14:textId="77777777" w:rsidR="00A260D6" w:rsidRDefault="00000000">
    <w:pPr>
      <w:pBdr>
        <w:top w:val="nil"/>
        <w:left w:val="nil"/>
        <w:bottom w:val="nil"/>
        <w:right w:val="nil"/>
        <w:between w:val="nil"/>
      </w:pBdr>
      <w:ind w:right="143"/>
      <w:jc w:val="right"/>
      <w:rPr>
        <w:rFonts w:ascii="Garamond" w:eastAsia="Garamond" w:hAnsi="Garamond" w:cs="Garamond"/>
        <w:smallCaps/>
        <w:color w:val="000000"/>
        <w:sz w:val="22"/>
        <w:szCs w:val="22"/>
      </w:rPr>
    </w:pPr>
    <w:r>
      <w:rPr>
        <w:rFonts w:ascii="Garamond" w:eastAsia="Garamond" w:hAnsi="Garamond" w:cs="Garamond"/>
        <w:smallCaps/>
        <w:sz w:val="22"/>
        <w:szCs w:val="22"/>
      </w:rPr>
      <w:t xml:space="preserve">Luis </w:t>
    </w:r>
    <w:proofErr w:type="spellStart"/>
    <w:r>
      <w:rPr>
        <w:rFonts w:ascii="Garamond" w:eastAsia="Garamond" w:hAnsi="Garamond" w:cs="Garamond"/>
        <w:smallCaps/>
        <w:sz w:val="22"/>
        <w:szCs w:val="22"/>
      </w:rPr>
      <w:t>Lauriño</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0E600" w14:textId="2BBECB97" w:rsidR="00A260D6" w:rsidRDefault="00000000">
    <w:pPr>
      <w:ind w:left="142"/>
      <w:rPr>
        <w:rFonts w:ascii="Garamond" w:eastAsia="Garamond" w:hAnsi="Garamond" w:cs="Garamond"/>
        <w:color w:val="000000"/>
        <w:sz w:val="15"/>
        <w:szCs w:val="15"/>
      </w:rPr>
    </w:pPr>
    <w:r>
      <w:rPr>
        <w:noProof/>
      </w:rPr>
      <w:drawing>
        <wp:anchor distT="0" distB="0" distL="114300" distR="114300" simplePos="0" relativeHeight="251659264" behindDoc="0" locked="0" layoutInCell="1" hidden="0" allowOverlap="1" wp14:anchorId="017FFCC7" wp14:editId="26112122">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5"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p>
  <w:p w14:paraId="1EA43E55" w14:textId="77777777" w:rsidR="00A260D6"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Pr>
        <w:rFonts w:ascii="Garamond" w:eastAsia="Garamond" w:hAnsi="Garamond" w:cs="Garamond"/>
        <w:sz w:val="15"/>
        <w:szCs w:val="15"/>
      </w:rPr>
      <w:t xml:space="preserve">110 </w:t>
    </w:r>
    <w:r>
      <w:rPr>
        <w:rFonts w:ascii="Garamond" w:eastAsia="Garamond" w:hAnsi="Garamond" w:cs="Garamond"/>
        <w:color w:val="000000"/>
        <w:sz w:val="15"/>
        <w:szCs w:val="15"/>
      </w:rPr>
      <w:t xml:space="preserve">– </w:t>
    </w:r>
    <w:r>
      <w:rPr>
        <w:rFonts w:ascii="Garamond" w:eastAsia="Garamond" w:hAnsi="Garamond" w:cs="Garamond"/>
        <w:sz w:val="15"/>
        <w:szCs w:val="15"/>
      </w:rPr>
      <w:t>p</w:t>
    </w:r>
    <w:r>
      <w:rPr>
        <w:rFonts w:ascii="Garamond" w:eastAsia="Garamond" w:hAnsi="Garamond" w:cs="Garamond"/>
        <w:color w:val="000000"/>
        <w:sz w:val="15"/>
        <w:szCs w:val="15"/>
      </w:rPr>
      <w:t xml:space="preserve">p. </w:t>
    </w:r>
    <w:r>
      <w:rPr>
        <w:rFonts w:ascii="Garamond" w:eastAsia="Garamond" w:hAnsi="Garamond" w:cs="Garamond"/>
        <w:sz w:val="15"/>
        <w:szCs w:val="15"/>
      </w:rPr>
      <w:t>111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0D6"/>
    <w:rsid w:val="0075098D"/>
    <w:rsid w:val="00861F4F"/>
    <w:rsid w:val="00A260D6"/>
    <w:rsid w:val="00A35E62"/>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A8709"/>
  <w15:docId w15:val="{75E9F15D-DC9C-40A7-BD03-CC4573F9F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semiHidden/>
    <w:unhideWhenUsed/>
    <w:qFormat/>
    <w:pPr>
      <w:keepNext/>
      <w:keepLines/>
      <w:spacing w:before="200"/>
      <w:outlineLvl w:val="1"/>
    </w:pPr>
    <w:rPr>
      <w:b/>
      <w:color w:val="4472C4"/>
      <w:sz w:val="26"/>
      <w:szCs w:val="26"/>
    </w:rPr>
  </w:style>
  <w:style w:type="paragraph" w:styleId="Ttulo3">
    <w:name w:val="heading 3"/>
    <w:basedOn w:val="Normal"/>
    <w:next w:val="Normal"/>
    <w:uiPriority w:val="9"/>
    <w:semiHidden/>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uiPriority w:val="9"/>
    <w:semiHidden/>
    <w:unhideWhenUsed/>
    <w:qFormat/>
    <w:pPr>
      <w:keepNext/>
      <w:keepLines/>
      <w:spacing w:after="120"/>
      <w:ind w:left="709" w:right="709"/>
      <w:jc w:val="both"/>
      <w:outlineLvl w:val="3"/>
    </w:pPr>
    <w:rPr>
      <w:rFonts w:ascii="Garamond" w:eastAsia="Garamond" w:hAnsi="Garamond" w:cs="Garamond"/>
      <w:sz w:val="20"/>
      <w:szCs w:val="20"/>
    </w:rPr>
  </w:style>
  <w:style w:type="paragraph" w:styleId="Ttulo5">
    <w:name w:val="heading 5"/>
    <w:basedOn w:val="Normal"/>
    <w:next w:val="Normal"/>
    <w:uiPriority w:val="9"/>
    <w:semiHidden/>
    <w:unhideWhenUsed/>
    <w:qFormat/>
    <w:pPr>
      <w:keepNext/>
      <w:keepLines/>
      <w:spacing w:after="120"/>
      <w:ind w:left="284"/>
      <w:jc w:val="both"/>
      <w:outlineLvl w:val="4"/>
    </w:pPr>
    <w:rPr>
      <w:rFonts w:ascii="Garamond" w:eastAsia="Garamond" w:hAnsi="Garamond" w:cs="Garamond"/>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pPr>
    <w:rPr>
      <w:rFonts w:ascii="Garamond" w:eastAsia="Garamond" w:hAnsi="Garamond" w:cs="Garamond"/>
      <w:b/>
      <w:sz w:val="32"/>
      <w:szCs w:val="32"/>
    </w:rPr>
  </w:style>
  <w:style w:type="paragraph" w:styleId="Subttulo">
    <w:name w:val="Subtitle"/>
    <w:basedOn w:val="Normal"/>
    <w:next w:val="Normal"/>
    <w:uiPriority w:val="11"/>
    <w:qFormat/>
    <w:pPr>
      <w:keepNext/>
      <w:keepLines/>
      <w:tabs>
        <w:tab w:val="left" w:pos="284"/>
      </w:tabs>
      <w:spacing w:after="120" w:line="360" w:lineRule="auto"/>
      <w:jc w:val="both"/>
    </w:pPr>
    <w:rPr>
      <w:rFonts w:ascii="Garamond" w:eastAsia="Garamond" w:hAnsi="Garamond" w:cs="Garamond"/>
      <w:b/>
    </w:rPr>
  </w:style>
  <w:style w:type="paragraph" w:styleId="Encabezado">
    <w:name w:val="header"/>
    <w:basedOn w:val="Normal"/>
    <w:link w:val="EncabezadoCar"/>
    <w:uiPriority w:val="99"/>
    <w:unhideWhenUsed/>
    <w:rsid w:val="00861F4F"/>
    <w:pPr>
      <w:tabs>
        <w:tab w:val="center" w:pos="4419"/>
        <w:tab w:val="right" w:pos="8838"/>
      </w:tabs>
    </w:pPr>
  </w:style>
  <w:style w:type="character" w:customStyle="1" w:styleId="EncabezadoCar">
    <w:name w:val="Encabezado Car"/>
    <w:basedOn w:val="Fuentedeprrafopredeter"/>
    <w:link w:val="Encabezado"/>
    <w:uiPriority w:val="99"/>
    <w:rsid w:val="00861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3139</Characters>
  <Application>Microsoft Office Word</Application>
  <DocSecurity>0</DocSecurity>
  <Lines>26</Lines>
  <Paragraphs>7</Paragraphs>
  <ScaleCrop>false</ScaleCrop>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Núñez</cp:lastModifiedBy>
  <cp:revision>2</cp:revision>
  <dcterms:created xsi:type="dcterms:W3CDTF">2024-07-25T17:44:00Z</dcterms:created>
  <dcterms:modified xsi:type="dcterms:W3CDTF">2024-07-25T17:44:00Z</dcterms:modified>
</cp:coreProperties>
</file>