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969928" w14:textId="77777777" w:rsidR="00EE22EF" w:rsidRDefault="00EE22E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Garamond" w:eastAsia="Garamond" w:hAnsi="Garamond" w:cs="Garamond"/>
          <w:b/>
          <w:sz w:val="32"/>
          <w:szCs w:val="32"/>
        </w:rPr>
      </w:pPr>
    </w:p>
    <w:p w14:paraId="267E70E5" w14:textId="77777777" w:rsidR="00EE22EF" w:rsidRDefault="00000000">
      <w:pPr>
        <w:pStyle w:val="Ttulo"/>
        <w:keepNext w:val="0"/>
        <w:keepLines w:val="0"/>
        <w:spacing w:line="240" w:lineRule="auto"/>
      </w:pPr>
      <w:r>
        <w:t>¿Para qué te preparas? ¿Para qué tomas decisiones?</w:t>
      </w:r>
    </w:p>
    <w:p w14:paraId="5BBDC11B" w14:textId="77777777" w:rsidR="00EE22EF" w:rsidRDefault="00EE22EF">
      <w:pPr>
        <w:pStyle w:val="Ttulo"/>
        <w:keepNext w:val="0"/>
        <w:keepLines w:val="0"/>
        <w:spacing w:line="240" w:lineRule="auto"/>
        <w:jc w:val="left"/>
      </w:pPr>
    </w:p>
    <w:p w14:paraId="19A60054" w14:textId="77777777" w:rsidR="00EE22EF" w:rsidRDefault="00000000">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right"/>
        <w:rPr>
          <w:rFonts w:ascii="Garamond" w:eastAsia="Garamond" w:hAnsi="Garamond" w:cs="Garamond"/>
          <w:sz w:val="16"/>
          <w:szCs w:val="16"/>
        </w:rPr>
      </w:pPr>
      <w:r>
        <w:rPr>
          <w:rFonts w:ascii="Garamond" w:eastAsia="Garamond" w:hAnsi="Garamond" w:cs="Garamond"/>
          <w:i/>
          <w:sz w:val="28"/>
          <w:szCs w:val="28"/>
        </w:rPr>
        <w:t>Diana Hernández</w:t>
      </w:r>
      <w:r>
        <w:rPr>
          <w:rFonts w:ascii="Garamond" w:eastAsia="Garamond" w:hAnsi="Garamond" w:cs="Garamond"/>
          <w:sz w:val="28"/>
          <w:szCs w:val="28"/>
          <w:vertAlign w:val="superscript"/>
        </w:rPr>
        <w:footnoteReference w:id="1"/>
      </w:r>
    </w:p>
    <w:p w14:paraId="10674FFD" w14:textId="77777777" w:rsidR="00EE22EF" w:rsidRDefault="00EE22EF">
      <w:pPr>
        <w:ind w:left="2127"/>
        <w:jc w:val="right"/>
        <w:rPr>
          <w:rFonts w:ascii="Garamond" w:eastAsia="Garamond" w:hAnsi="Garamond" w:cs="Garamond"/>
          <w:b/>
          <w:i/>
          <w:sz w:val="18"/>
          <w:szCs w:val="18"/>
        </w:rPr>
      </w:pPr>
    </w:p>
    <w:p w14:paraId="66745C99" w14:textId="77777777" w:rsidR="00EE22EF" w:rsidRDefault="00000000">
      <w:pPr>
        <w:shd w:val="clear" w:color="auto" w:fill="FFFFFF"/>
        <w:ind w:left="4248" w:firstLine="2129"/>
        <w:jc w:val="center"/>
        <w:rPr>
          <w:rFonts w:ascii="Garamond" w:eastAsia="Garamond" w:hAnsi="Garamond" w:cs="Garamond"/>
          <w:b/>
          <w:color w:val="324B7F"/>
          <w:sz w:val="22"/>
          <w:szCs w:val="22"/>
        </w:rPr>
      </w:pPr>
      <w:r>
        <w:rPr>
          <w:rFonts w:ascii="Garamond" w:eastAsia="Garamond" w:hAnsi="Garamond" w:cs="Garamond"/>
          <w:b/>
          <w:color w:val="324B7F"/>
          <w:sz w:val="22"/>
          <w:szCs w:val="22"/>
        </w:rPr>
        <w:t xml:space="preserve">“Porque el mundo está en mal estado, </w:t>
      </w:r>
    </w:p>
    <w:p w14:paraId="1911428F" w14:textId="77777777" w:rsidR="00EE22EF" w:rsidRDefault="00000000">
      <w:pPr>
        <w:shd w:val="clear" w:color="auto" w:fill="FFFFFF"/>
        <w:jc w:val="right"/>
        <w:rPr>
          <w:rFonts w:ascii="Garamond" w:eastAsia="Garamond" w:hAnsi="Garamond" w:cs="Garamond"/>
          <w:b/>
          <w:color w:val="324B7F"/>
          <w:sz w:val="22"/>
          <w:szCs w:val="22"/>
        </w:rPr>
      </w:pPr>
      <w:r>
        <w:rPr>
          <w:rFonts w:ascii="Garamond" w:eastAsia="Garamond" w:hAnsi="Garamond" w:cs="Garamond"/>
          <w:b/>
          <w:color w:val="324B7F"/>
          <w:sz w:val="22"/>
          <w:szCs w:val="22"/>
        </w:rPr>
        <w:t xml:space="preserve">pero todo empeorará aún más, </w:t>
      </w:r>
    </w:p>
    <w:p w14:paraId="46332DC8" w14:textId="77777777" w:rsidR="00EE22EF" w:rsidRDefault="00000000">
      <w:pPr>
        <w:shd w:val="clear" w:color="auto" w:fill="FFFFFF"/>
        <w:jc w:val="right"/>
        <w:rPr>
          <w:rFonts w:ascii="Garamond" w:eastAsia="Garamond" w:hAnsi="Garamond" w:cs="Garamond"/>
          <w:b/>
          <w:color w:val="00B0F0"/>
          <w:sz w:val="22"/>
          <w:szCs w:val="22"/>
        </w:rPr>
      </w:pPr>
      <w:r>
        <w:rPr>
          <w:rFonts w:ascii="Garamond" w:eastAsia="Garamond" w:hAnsi="Garamond" w:cs="Garamond"/>
          <w:b/>
          <w:color w:val="324B7F"/>
          <w:sz w:val="22"/>
          <w:szCs w:val="22"/>
        </w:rPr>
        <w:t xml:space="preserve">a menos que </w:t>
      </w:r>
      <w:r>
        <w:rPr>
          <w:rFonts w:ascii="Garamond" w:eastAsia="Garamond" w:hAnsi="Garamond" w:cs="Garamond"/>
          <w:b/>
          <w:color w:val="00B0F0"/>
          <w:sz w:val="22"/>
          <w:szCs w:val="22"/>
        </w:rPr>
        <w:t xml:space="preserve">cada uno de nosotros </w:t>
      </w:r>
    </w:p>
    <w:p w14:paraId="34703696" w14:textId="77777777" w:rsidR="00EE22EF" w:rsidRDefault="00000000">
      <w:pPr>
        <w:shd w:val="clear" w:color="auto" w:fill="FFFFFF"/>
        <w:jc w:val="right"/>
        <w:rPr>
          <w:rFonts w:ascii="Garamond" w:eastAsia="Garamond" w:hAnsi="Garamond" w:cs="Garamond"/>
          <w:b/>
          <w:color w:val="324B7F"/>
          <w:sz w:val="22"/>
          <w:szCs w:val="22"/>
        </w:rPr>
      </w:pPr>
      <w:r>
        <w:rPr>
          <w:rFonts w:ascii="Garamond" w:eastAsia="Garamond" w:hAnsi="Garamond" w:cs="Garamond"/>
          <w:b/>
          <w:color w:val="00B0F0"/>
          <w:sz w:val="22"/>
          <w:szCs w:val="22"/>
        </w:rPr>
        <w:t>haga lo mejor que pueda</w:t>
      </w:r>
      <w:r>
        <w:rPr>
          <w:rFonts w:ascii="Garamond" w:eastAsia="Garamond" w:hAnsi="Garamond" w:cs="Garamond"/>
          <w:b/>
          <w:color w:val="324B7F"/>
          <w:sz w:val="22"/>
          <w:szCs w:val="22"/>
        </w:rPr>
        <w:t>”,</w:t>
      </w:r>
    </w:p>
    <w:p w14:paraId="4FEAE5AB" w14:textId="77777777" w:rsidR="00EE22EF" w:rsidRDefault="00000000">
      <w:pPr>
        <w:pStyle w:val="Ttulo1"/>
        <w:shd w:val="clear" w:color="auto" w:fill="FFFFFF"/>
        <w:spacing w:after="0"/>
        <w:jc w:val="right"/>
        <w:rPr>
          <w:color w:val="324B7F"/>
        </w:rPr>
      </w:pPr>
      <w:bookmarkStart w:id="0" w:name="_5y0gazuuvjxb" w:colFirst="0" w:colLast="0"/>
      <w:bookmarkEnd w:id="0"/>
      <w:proofErr w:type="spellStart"/>
      <w:r>
        <w:rPr>
          <w:color w:val="324B7F"/>
        </w:rPr>
        <w:t>Viktor</w:t>
      </w:r>
      <w:proofErr w:type="spellEnd"/>
      <w:r>
        <w:rPr>
          <w:color w:val="324B7F"/>
        </w:rPr>
        <w:t xml:space="preserve"> Frankl</w:t>
      </w:r>
    </w:p>
    <w:p w14:paraId="0179AE69" w14:textId="77777777" w:rsidR="00EE22EF" w:rsidRDefault="00000000">
      <w:pPr>
        <w:jc w:val="center"/>
        <w:rPr>
          <w:rFonts w:ascii="Garamond" w:eastAsia="Garamond" w:hAnsi="Garamond" w:cs="Garamond"/>
          <w:sz w:val="22"/>
          <w:szCs w:val="22"/>
        </w:rPr>
      </w:pPr>
      <w:r>
        <w:rPr>
          <w:rFonts w:ascii="Garamond" w:eastAsia="Garamond" w:hAnsi="Garamond" w:cs="Garamond"/>
          <w:noProof/>
          <w:sz w:val="22"/>
          <w:szCs w:val="22"/>
        </w:rPr>
        <w:drawing>
          <wp:inline distT="0" distB="0" distL="0" distR="0" wp14:anchorId="13328AFC" wp14:editId="150AA3AA">
            <wp:extent cx="3479369" cy="1968021"/>
            <wp:effectExtent l="0" t="0" r="0" b="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3479369" cy="1968021"/>
                    </a:xfrm>
                    <a:prstGeom prst="rect">
                      <a:avLst/>
                    </a:prstGeom>
                    <a:ln/>
                  </pic:spPr>
                </pic:pic>
              </a:graphicData>
            </a:graphic>
          </wp:inline>
        </w:drawing>
      </w:r>
    </w:p>
    <w:p w14:paraId="3424AB17" w14:textId="77777777" w:rsidR="00EE22EF" w:rsidRDefault="00000000">
      <w:pPr>
        <w:spacing w:after="160" w:line="360" w:lineRule="auto"/>
        <w:jc w:val="center"/>
        <w:rPr>
          <w:rFonts w:ascii="Garamond" w:eastAsia="Garamond" w:hAnsi="Garamond" w:cs="Garamond"/>
          <w:b/>
          <w:sz w:val="14"/>
          <w:szCs w:val="14"/>
        </w:rPr>
      </w:pPr>
      <w:r>
        <w:rPr>
          <w:rFonts w:ascii="Garamond" w:eastAsia="Garamond" w:hAnsi="Garamond" w:cs="Garamond"/>
          <w:b/>
          <w:sz w:val="14"/>
          <w:szCs w:val="14"/>
        </w:rPr>
        <w:t xml:space="preserve">Imagen tomada de: </w:t>
      </w:r>
      <w:hyperlink r:id="rId7">
        <w:r>
          <w:rPr>
            <w:rFonts w:ascii="Garamond" w:eastAsia="Garamond" w:hAnsi="Garamond" w:cs="Garamond"/>
            <w:b/>
            <w:color w:val="1155CC"/>
            <w:sz w:val="14"/>
            <w:szCs w:val="14"/>
            <w:u w:val="single"/>
          </w:rPr>
          <w:t>https://tinyurl.com/bded5e8c</w:t>
        </w:r>
      </w:hyperlink>
      <w:r>
        <w:rPr>
          <w:rFonts w:ascii="Garamond" w:eastAsia="Garamond" w:hAnsi="Garamond" w:cs="Garamond"/>
          <w:b/>
          <w:sz w:val="14"/>
          <w:szCs w:val="14"/>
        </w:rPr>
        <w:t>.</w:t>
      </w:r>
    </w:p>
    <w:p w14:paraId="7DC46CFE" w14:textId="77777777" w:rsidR="00EE22EF" w:rsidRDefault="00000000">
      <w:pPr>
        <w:shd w:val="clear" w:color="auto" w:fill="FFFFFF"/>
        <w:spacing w:after="120" w:line="360" w:lineRule="auto"/>
        <w:ind w:firstLine="284"/>
        <w:jc w:val="both"/>
        <w:rPr>
          <w:rFonts w:ascii="Garamond" w:eastAsia="Garamond" w:hAnsi="Garamond" w:cs="Garamond"/>
          <w:sz w:val="22"/>
          <w:szCs w:val="22"/>
        </w:rPr>
      </w:pPr>
      <w:r>
        <w:rPr>
          <w:rFonts w:ascii="Garamond" w:eastAsia="Garamond" w:hAnsi="Garamond" w:cs="Garamond"/>
          <w:sz w:val="22"/>
          <w:szCs w:val="22"/>
        </w:rPr>
        <w:t xml:space="preserve">Al leer que “el mundo está en mal estado, pero todo empeorará aún más”, como lo indica </w:t>
      </w:r>
      <w:proofErr w:type="spellStart"/>
      <w:r>
        <w:rPr>
          <w:rFonts w:ascii="Garamond" w:eastAsia="Garamond" w:hAnsi="Garamond" w:cs="Garamond"/>
          <w:sz w:val="22"/>
          <w:szCs w:val="22"/>
        </w:rPr>
        <w:t>Victor</w:t>
      </w:r>
      <w:proofErr w:type="spellEnd"/>
      <w:r>
        <w:rPr>
          <w:rFonts w:ascii="Garamond" w:eastAsia="Garamond" w:hAnsi="Garamond" w:cs="Garamond"/>
          <w:sz w:val="22"/>
          <w:szCs w:val="22"/>
        </w:rPr>
        <w:t xml:space="preserve"> Frankl, llega una avalancha de datos que lo confirman: </w:t>
      </w:r>
    </w:p>
    <w:p w14:paraId="7396373B" w14:textId="77777777" w:rsidR="00EE22EF" w:rsidRDefault="00000000">
      <w:pPr>
        <w:spacing w:after="120" w:line="360" w:lineRule="auto"/>
        <w:ind w:firstLine="284"/>
        <w:jc w:val="both"/>
        <w:rPr>
          <w:rFonts w:ascii="Garamond" w:eastAsia="Garamond" w:hAnsi="Garamond" w:cs="Garamond"/>
          <w:sz w:val="22"/>
          <w:szCs w:val="22"/>
        </w:rPr>
      </w:pPr>
      <w:r>
        <w:rPr>
          <w:rFonts w:ascii="Garamond" w:eastAsia="Garamond" w:hAnsi="Garamond" w:cs="Garamond"/>
          <w:sz w:val="22"/>
          <w:szCs w:val="22"/>
        </w:rPr>
        <w:t xml:space="preserve">Por ejemplo, según la encuesta </w:t>
      </w:r>
      <w:proofErr w:type="spellStart"/>
      <w:r>
        <w:rPr>
          <w:rFonts w:ascii="Garamond" w:eastAsia="Garamond" w:hAnsi="Garamond" w:cs="Garamond"/>
          <w:sz w:val="22"/>
          <w:szCs w:val="22"/>
        </w:rPr>
        <w:t>PsicoData</w:t>
      </w:r>
      <w:proofErr w:type="spellEnd"/>
      <w:r>
        <w:rPr>
          <w:rFonts w:ascii="Garamond" w:eastAsia="Garamond" w:hAnsi="Garamond" w:cs="Garamond"/>
          <w:sz w:val="22"/>
          <w:szCs w:val="22"/>
        </w:rPr>
        <w:t xml:space="preserve"> Venezuela, presentada por la Universidad Católica Andrés Bello (UCAB), una de las secuelas más alarmantes es que para 81 % de la población (8 de cada 10 habitantes del país) no se puede confiar en la mayoría de las personas, lo cual se asocia con una baja calidad de capital social (Castillo, E. y </w:t>
      </w:r>
      <w:proofErr w:type="spellStart"/>
      <w:r>
        <w:rPr>
          <w:rFonts w:ascii="Garamond" w:eastAsia="Garamond" w:hAnsi="Garamond" w:cs="Garamond"/>
          <w:sz w:val="22"/>
          <w:szCs w:val="22"/>
        </w:rPr>
        <w:t>Lafontant</w:t>
      </w:r>
      <w:proofErr w:type="spellEnd"/>
      <w:r>
        <w:rPr>
          <w:rFonts w:ascii="Garamond" w:eastAsia="Garamond" w:hAnsi="Garamond" w:cs="Garamond"/>
          <w:sz w:val="22"/>
          <w:szCs w:val="22"/>
        </w:rPr>
        <w:t>, G., 2023).</w:t>
      </w:r>
    </w:p>
    <w:p w14:paraId="64D1CAB1" w14:textId="77777777" w:rsidR="00EE22EF" w:rsidRDefault="00000000">
      <w:pPr>
        <w:spacing w:after="120" w:line="360" w:lineRule="auto"/>
        <w:ind w:firstLine="284"/>
        <w:jc w:val="both"/>
        <w:rPr>
          <w:rFonts w:ascii="Garamond" w:eastAsia="Garamond" w:hAnsi="Garamond" w:cs="Garamond"/>
          <w:sz w:val="22"/>
          <w:szCs w:val="22"/>
        </w:rPr>
      </w:pPr>
      <w:r>
        <w:rPr>
          <w:rFonts w:ascii="Garamond" w:eastAsia="Garamond" w:hAnsi="Garamond" w:cs="Garamond"/>
          <w:sz w:val="22"/>
          <w:szCs w:val="22"/>
        </w:rPr>
        <w:t>Además, se </w:t>
      </w:r>
      <w:hyperlink r:id="rId8">
        <w:r>
          <w:rPr>
            <w:rFonts w:ascii="Garamond" w:eastAsia="Garamond" w:hAnsi="Garamond" w:cs="Garamond"/>
            <w:sz w:val="22"/>
            <w:szCs w:val="22"/>
          </w:rPr>
          <w:t>calcula</w:t>
        </w:r>
      </w:hyperlink>
      <w:r>
        <w:rPr>
          <w:rFonts w:ascii="Garamond" w:eastAsia="Garamond" w:hAnsi="Garamond" w:cs="Garamond"/>
          <w:sz w:val="22"/>
          <w:szCs w:val="22"/>
        </w:rPr>
        <w:t> que el 25 % de las personas en el mundo (1 de cada 4 personas) padece algún trastorno psicológico, con un déficit de tratamiento que llega al 90 % en algunos países; por su parte, la estigmatización y la incomprensión impiden a los propios afectados identificar las dolencias psicológicas propias y ajenas, así como pedir ayuda (ONU Crónica Uno, 2022).</w:t>
      </w:r>
    </w:p>
    <w:p w14:paraId="5F59D6AB" w14:textId="77777777" w:rsidR="00EE22EF" w:rsidRDefault="00000000">
      <w:pPr>
        <w:spacing w:after="120" w:line="360" w:lineRule="auto"/>
        <w:ind w:firstLine="284"/>
        <w:jc w:val="both"/>
        <w:rPr>
          <w:rFonts w:ascii="Garamond" w:eastAsia="Garamond" w:hAnsi="Garamond" w:cs="Garamond"/>
          <w:sz w:val="22"/>
          <w:szCs w:val="22"/>
        </w:rPr>
      </w:pPr>
      <w:r>
        <w:rPr>
          <w:rFonts w:ascii="Garamond" w:eastAsia="Garamond" w:hAnsi="Garamond" w:cs="Garamond"/>
          <w:sz w:val="22"/>
          <w:szCs w:val="22"/>
        </w:rPr>
        <w:t>En cuanto al suicidio, a pesar de que la tasa mundial de mortalidad por este motivo ha disminuido, en el continente americano ha aumentado a partir del año 2000, según datos de la </w:t>
      </w:r>
      <w:hyperlink r:id="rId9">
        <w:r>
          <w:rPr>
            <w:rFonts w:ascii="Garamond" w:eastAsia="Garamond" w:hAnsi="Garamond" w:cs="Garamond"/>
            <w:sz w:val="22"/>
            <w:szCs w:val="22"/>
          </w:rPr>
          <w:t>Organización Mundial de la Salud</w:t>
        </w:r>
      </w:hyperlink>
      <w:r>
        <w:rPr>
          <w:rFonts w:ascii="Garamond" w:eastAsia="Garamond" w:hAnsi="Garamond" w:cs="Garamond"/>
          <w:sz w:val="22"/>
          <w:szCs w:val="22"/>
        </w:rPr>
        <w:t xml:space="preserve"> (OMS), ente que </w:t>
      </w:r>
      <w:r>
        <w:rPr>
          <w:rFonts w:ascii="Garamond" w:eastAsia="Garamond" w:hAnsi="Garamond" w:cs="Garamond"/>
          <w:sz w:val="22"/>
          <w:szCs w:val="22"/>
        </w:rPr>
        <w:lastRenderedPageBreak/>
        <w:t>solicitó mejorar la prevención a través de una mejor comprensión de los factores alrededor de la población que recurre a quitarse la vida (ONU, 2023).</w:t>
      </w:r>
    </w:p>
    <w:p w14:paraId="148D4D51" w14:textId="77777777" w:rsidR="00EE22EF" w:rsidRDefault="00000000">
      <w:pPr>
        <w:spacing w:after="120" w:line="360" w:lineRule="auto"/>
        <w:ind w:firstLine="284"/>
        <w:jc w:val="both"/>
        <w:rPr>
          <w:rFonts w:ascii="Garamond" w:eastAsia="Garamond" w:hAnsi="Garamond" w:cs="Garamond"/>
          <w:sz w:val="22"/>
          <w:szCs w:val="22"/>
        </w:rPr>
      </w:pPr>
      <w:r>
        <w:rPr>
          <w:rFonts w:ascii="Garamond" w:eastAsia="Garamond" w:hAnsi="Garamond" w:cs="Garamond"/>
          <w:sz w:val="22"/>
          <w:szCs w:val="22"/>
        </w:rPr>
        <w:t>El análisis apunta que entre 2000-2019 el homicidio y el consumo de alcohol y otras sustancias fueron elementos asociados con el suicido entre los hombres, mientras que, en el caso de las mujeres, el principal factor que destacó fue la desigualdad educativa. “El desempleo fue otra variable asociada con el aumento de suicidios en ambos sexos” (ONU, 2023).</w:t>
      </w:r>
    </w:p>
    <w:p w14:paraId="0BDBE52F" w14:textId="77777777" w:rsidR="00EE22EF" w:rsidRDefault="00000000">
      <w:pPr>
        <w:spacing w:after="120" w:line="360" w:lineRule="auto"/>
        <w:ind w:firstLine="284"/>
        <w:jc w:val="both"/>
        <w:rPr>
          <w:rFonts w:ascii="Garamond" w:eastAsia="Garamond" w:hAnsi="Garamond" w:cs="Garamond"/>
          <w:sz w:val="22"/>
          <w:szCs w:val="22"/>
        </w:rPr>
      </w:pPr>
      <w:r>
        <w:rPr>
          <w:rFonts w:ascii="Garamond" w:eastAsia="Garamond" w:hAnsi="Garamond" w:cs="Garamond"/>
          <w:sz w:val="22"/>
          <w:szCs w:val="22"/>
        </w:rPr>
        <w:t>Se prevé también que el desempleo a nivel mundial aumente levemente en 2023, en unos 3 millones, para alcanzar 208 millones de desempleados (valor equiparable a una tasa de desempleo global del 5.8 por ciento) (OIT, 2023).</w:t>
      </w:r>
    </w:p>
    <w:p w14:paraId="0DF3FDDD" w14:textId="77777777" w:rsidR="00EE22EF" w:rsidRDefault="00000000">
      <w:pPr>
        <w:spacing w:after="120" w:line="360" w:lineRule="auto"/>
        <w:ind w:firstLine="284"/>
        <w:jc w:val="both"/>
        <w:rPr>
          <w:rFonts w:ascii="Garamond" w:eastAsia="Garamond" w:hAnsi="Garamond" w:cs="Garamond"/>
          <w:sz w:val="22"/>
          <w:szCs w:val="22"/>
        </w:rPr>
      </w:pPr>
      <w:r>
        <w:rPr>
          <w:rFonts w:ascii="Garamond" w:eastAsia="Garamond" w:hAnsi="Garamond" w:cs="Garamond"/>
          <w:sz w:val="22"/>
          <w:szCs w:val="22"/>
        </w:rPr>
        <w:t xml:space="preserve">Según </w:t>
      </w:r>
      <w:r>
        <w:rPr>
          <w:rFonts w:ascii="Garamond" w:eastAsia="Garamond" w:hAnsi="Garamond" w:cs="Garamond"/>
          <w:i/>
          <w:sz w:val="22"/>
          <w:szCs w:val="22"/>
        </w:rPr>
        <w:t>Panorama social 2022</w:t>
      </w:r>
      <w:r>
        <w:rPr>
          <w:rFonts w:ascii="Garamond" w:eastAsia="Garamond" w:hAnsi="Garamond" w:cs="Garamond"/>
          <w:sz w:val="22"/>
          <w:szCs w:val="22"/>
        </w:rPr>
        <w:t>, informe de la CEPAL, se proyecta que 201 millones de personas (32.1 % de la población total de América Latina y el Caribe) viven en situación de pobreza, de los cuales 82 millones (13.1 %) se hallan en pobreza extrema (CEPAL, 2022).</w:t>
      </w:r>
    </w:p>
    <w:p w14:paraId="645ECD31" w14:textId="77777777" w:rsidR="00EE22EF" w:rsidRDefault="00000000">
      <w:pPr>
        <w:spacing w:after="120"/>
        <w:ind w:left="567" w:right="567"/>
        <w:jc w:val="both"/>
        <w:rPr>
          <w:rFonts w:ascii="Garamond" w:eastAsia="Garamond" w:hAnsi="Garamond" w:cs="Garamond"/>
          <w:sz w:val="20"/>
          <w:szCs w:val="20"/>
        </w:rPr>
      </w:pPr>
      <w:r>
        <w:rPr>
          <w:rFonts w:ascii="Garamond" w:eastAsia="Garamond" w:hAnsi="Garamond" w:cs="Garamond"/>
          <w:sz w:val="20"/>
          <w:szCs w:val="20"/>
        </w:rPr>
        <w:t>América Latina y el Caribe sufrió el apagón educativo más prolongado a nivel internacional (en promedio 70 semanas de cierre de establecimientos frente a 41 semanas en el resto del mundo), lo que exacerbó las desigualdades preexistentes en materia de acceso, inclusión y calidad. En este período, una de las principales limitaciones para la continuidad educativa fueron las desigualdades en el acceso a conectividad, equipamiento y habilidades digitales. En 2021, en 8 de 12 países de la región más del 60% de la población pobre menor de 18 años no tenía conectividad en el hogar. (CEPAL, 2022).</w:t>
      </w:r>
    </w:p>
    <w:p w14:paraId="23F2BCB3" w14:textId="77777777" w:rsidR="00EE22EF" w:rsidRDefault="00000000">
      <w:pPr>
        <w:spacing w:before="240" w:after="120" w:line="360" w:lineRule="auto"/>
        <w:ind w:firstLine="284"/>
        <w:jc w:val="both"/>
        <w:rPr>
          <w:rFonts w:ascii="Garamond" w:eastAsia="Garamond" w:hAnsi="Garamond" w:cs="Garamond"/>
          <w:sz w:val="22"/>
          <w:szCs w:val="22"/>
        </w:rPr>
      </w:pPr>
      <w:r>
        <w:rPr>
          <w:rFonts w:ascii="Garamond" w:eastAsia="Garamond" w:hAnsi="Garamond" w:cs="Garamond"/>
          <w:sz w:val="22"/>
          <w:szCs w:val="22"/>
        </w:rPr>
        <w:t xml:space="preserve">En los países de </w:t>
      </w:r>
      <w:proofErr w:type="spellStart"/>
      <w:r>
        <w:rPr>
          <w:rFonts w:ascii="Garamond" w:eastAsia="Garamond" w:hAnsi="Garamond" w:cs="Garamond"/>
          <w:sz w:val="22"/>
          <w:szCs w:val="22"/>
        </w:rPr>
        <w:t>ALC</w:t>
      </w:r>
      <w:proofErr w:type="spellEnd"/>
      <w:r>
        <w:rPr>
          <w:rFonts w:ascii="Garamond" w:eastAsia="Garamond" w:hAnsi="Garamond" w:cs="Garamond"/>
          <w:sz w:val="22"/>
          <w:szCs w:val="22"/>
        </w:rPr>
        <w:t xml:space="preserve">, uno (1) de cada seis (6) jóvenes ni estudia, ni trabaja, ni recibe formación [los llamados </w:t>
      </w:r>
      <w:proofErr w:type="spellStart"/>
      <w:r>
        <w:rPr>
          <w:rFonts w:ascii="Garamond" w:eastAsia="Garamond" w:hAnsi="Garamond" w:cs="Garamond"/>
          <w:sz w:val="22"/>
          <w:szCs w:val="22"/>
        </w:rPr>
        <w:t>NINIs</w:t>
      </w:r>
      <w:proofErr w:type="spellEnd"/>
      <w:r>
        <w:rPr>
          <w:rFonts w:ascii="Garamond" w:eastAsia="Garamond" w:hAnsi="Garamond" w:cs="Garamond"/>
          <w:sz w:val="22"/>
          <w:szCs w:val="22"/>
        </w:rPr>
        <w:t xml:space="preserve">] (OCDE, 2022); punto para reflexionar y tomar acción sobre la educación que queremos, la que se necesita, así como el mercado de trabajo actual y las competencias que se requieren hoy y en un futuro casi inmediato. </w:t>
      </w:r>
    </w:p>
    <w:p w14:paraId="323DE815" w14:textId="77777777" w:rsidR="00EE22EF" w:rsidRDefault="00000000">
      <w:pPr>
        <w:spacing w:after="120" w:line="360" w:lineRule="auto"/>
        <w:ind w:firstLine="284"/>
        <w:jc w:val="both"/>
        <w:rPr>
          <w:rFonts w:ascii="Garamond" w:eastAsia="Garamond" w:hAnsi="Garamond" w:cs="Garamond"/>
          <w:sz w:val="22"/>
          <w:szCs w:val="22"/>
        </w:rPr>
      </w:pPr>
      <w:r>
        <w:rPr>
          <w:rFonts w:ascii="Garamond" w:eastAsia="Garamond" w:hAnsi="Garamond" w:cs="Garamond"/>
          <w:sz w:val="22"/>
          <w:szCs w:val="22"/>
        </w:rPr>
        <w:t xml:space="preserve">Noticias de impacto que nos podrían paralizar, pero también podrían ser una provocación para profundizar, investigar, reflexionar y tomar acción; noticias que podemos abordar en una gran conversación en diferentes niveles, aunque se trate de aspectos tan duros, siempre con una mirada esperanzadora, con la convicción de que </w:t>
      </w:r>
      <w:r>
        <w:rPr>
          <w:rFonts w:ascii="Garamond" w:eastAsia="Garamond" w:hAnsi="Garamond" w:cs="Garamond"/>
          <w:b/>
          <w:i/>
          <w:sz w:val="22"/>
          <w:szCs w:val="22"/>
        </w:rPr>
        <w:t>nosotros podemos contribuir a que algo bueno pase para cambiar</w:t>
      </w:r>
      <w:r>
        <w:rPr>
          <w:rFonts w:ascii="Garamond" w:eastAsia="Garamond" w:hAnsi="Garamond" w:cs="Garamond"/>
          <w:sz w:val="22"/>
          <w:szCs w:val="22"/>
        </w:rPr>
        <w:t xml:space="preserve">; y ¡qué gran regalo el que tenemos los seres humanos de poder conversar y asumir cada conversación con detenimiento para identificar y saborear el regalo que siempre nos dan! </w:t>
      </w:r>
    </w:p>
    <w:p w14:paraId="0BFD4B4B" w14:textId="77777777" w:rsidR="00EE22EF" w:rsidRDefault="00000000">
      <w:pPr>
        <w:spacing w:after="120" w:line="360" w:lineRule="auto"/>
        <w:ind w:firstLine="284"/>
        <w:jc w:val="both"/>
        <w:rPr>
          <w:rFonts w:ascii="Garamond" w:eastAsia="Garamond" w:hAnsi="Garamond" w:cs="Garamond"/>
          <w:sz w:val="22"/>
          <w:szCs w:val="22"/>
        </w:rPr>
      </w:pPr>
      <w:r>
        <w:rPr>
          <w:rFonts w:ascii="Garamond" w:eastAsia="Garamond" w:hAnsi="Garamond" w:cs="Garamond"/>
          <w:sz w:val="22"/>
          <w:szCs w:val="22"/>
        </w:rPr>
        <w:t>Yo siempre celebro que es común para mí estar inmersa en conversaciones que inician de formas maravillosas e inesperadas. Hace un tiempo estaba conversando con quien es el secretario de la Dirección de Escuela de Administración y Contaduría (</w:t>
      </w:r>
      <w:proofErr w:type="spellStart"/>
      <w:r>
        <w:rPr>
          <w:rFonts w:ascii="Garamond" w:eastAsia="Garamond" w:hAnsi="Garamond" w:cs="Garamond"/>
          <w:sz w:val="22"/>
          <w:szCs w:val="22"/>
        </w:rPr>
        <w:t>EAC</w:t>
      </w:r>
      <w:proofErr w:type="spellEnd"/>
      <w:r>
        <w:rPr>
          <w:rFonts w:ascii="Garamond" w:eastAsia="Garamond" w:hAnsi="Garamond" w:cs="Garamond"/>
          <w:sz w:val="22"/>
          <w:szCs w:val="22"/>
        </w:rPr>
        <w:t>) en la Facultad de Ciencias Económicas y Sociales (</w:t>
      </w:r>
      <w:proofErr w:type="spellStart"/>
      <w:r>
        <w:rPr>
          <w:rFonts w:ascii="Garamond" w:eastAsia="Garamond" w:hAnsi="Garamond" w:cs="Garamond"/>
          <w:sz w:val="22"/>
          <w:szCs w:val="22"/>
        </w:rPr>
        <w:t>FaCES</w:t>
      </w:r>
      <w:proofErr w:type="spellEnd"/>
      <w:r>
        <w:rPr>
          <w:rFonts w:ascii="Garamond" w:eastAsia="Garamond" w:hAnsi="Garamond" w:cs="Garamond"/>
          <w:sz w:val="22"/>
          <w:szCs w:val="22"/>
        </w:rPr>
        <w:t>) de la Universidad Central de Venezuela (</w:t>
      </w:r>
      <w:proofErr w:type="spellStart"/>
      <w:r>
        <w:rPr>
          <w:rFonts w:ascii="Garamond" w:eastAsia="Garamond" w:hAnsi="Garamond" w:cs="Garamond"/>
          <w:sz w:val="22"/>
          <w:szCs w:val="22"/>
        </w:rPr>
        <w:t>UCV</w:t>
      </w:r>
      <w:proofErr w:type="spellEnd"/>
      <w:r>
        <w:rPr>
          <w:rFonts w:ascii="Garamond" w:eastAsia="Garamond" w:hAnsi="Garamond" w:cs="Garamond"/>
          <w:sz w:val="22"/>
          <w:szCs w:val="22"/>
        </w:rPr>
        <w:t>), el Sr. Alejandro Arias, abordando diferentes aspectos que nos preocupan de la universidad, del país, del mundo; en medio de la conversación le pregunté por su hija Valeria, quien por cierto es muy inteligente y muy aplicada en sus estudios, y me comentó que en un camino a casa él le preguntó “</w:t>
      </w:r>
      <w:r>
        <w:rPr>
          <w:rFonts w:ascii="Garamond" w:eastAsia="Garamond" w:hAnsi="Garamond" w:cs="Garamond"/>
          <w:i/>
          <w:sz w:val="22"/>
          <w:szCs w:val="22"/>
        </w:rPr>
        <w:t>¿para qué te preparas?</w:t>
      </w:r>
      <w:r>
        <w:rPr>
          <w:rFonts w:ascii="Garamond" w:eastAsia="Garamond" w:hAnsi="Garamond" w:cs="Garamond"/>
          <w:sz w:val="22"/>
          <w:szCs w:val="22"/>
        </w:rPr>
        <w:t>”, a lo que ella le respondió: “</w:t>
      </w:r>
      <w:r>
        <w:rPr>
          <w:rFonts w:ascii="Garamond" w:eastAsia="Garamond" w:hAnsi="Garamond" w:cs="Garamond"/>
          <w:i/>
          <w:sz w:val="22"/>
          <w:szCs w:val="22"/>
        </w:rPr>
        <w:t xml:space="preserve">es que </w:t>
      </w:r>
      <w:r>
        <w:rPr>
          <w:rFonts w:ascii="Garamond" w:eastAsia="Garamond" w:hAnsi="Garamond" w:cs="Garamond"/>
          <w:b/>
          <w:i/>
          <w:sz w:val="22"/>
          <w:szCs w:val="22"/>
        </w:rPr>
        <w:t>quiero saber por qué la gente actúa como actúa, por qué la gente hace lo que hace</w:t>
      </w:r>
      <w:r>
        <w:rPr>
          <w:rFonts w:ascii="Garamond" w:eastAsia="Garamond" w:hAnsi="Garamond" w:cs="Garamond"/>
          <w:sz w:val="22"/>
          <w:szCs w:val="22"/>
        </w:rPr>
        <w:t>”</w:t>
      </w:r>
      <w:r>
        <w:rPr>
          <w:rFonts w:ascii="Garamond" w:eastAsia="Garamond" w:hAnsi="Garamond" w:cs="Garamond"/>
          <w:i/>
          <w:sz w:val="22"/>
          <w:szCs w:val="22"/>
        </w:rPr>
        <w:t xml:space="preserve">. </w:t>
      </w:r>
      <w:r>
        <w:rPr>
          <w:rFonts w:ascii="Garamond" w:eastAsia="Garamond" w:hAnsi="Garamond" w:cs="Garamond"/>
          <w:sz w:val="22"/>
          <w:szCs w:val="22"/>
        </w:rPr>
        <w:t xml:space="preserve">¡Guau! Vaya respuesta de una joven que apenas está iniciando estudios de Psicología en la </w:t>
      </w:r>
      <w:proofErr w:type="spellStart"/>
      <w:r>
        <w:rPr>
          <w:rFonts w:ascii="Garamond" w:eastAsia="Garamond" w:hAnsi="Garamond" w:cs="Garamond"/>
          <w:sz w:val="22"/>
          <w:szCs w:val="22"/>
        </w:rPr>
        <w:t>UCV</w:t>
      </w:r>
      <w:proofErr w:type="spellEnd"/>
      <w:r>
        <w:rPr>
          <w:rFonts w:ascii="Garamond" w:eastAsia="Garamond" w:hAnsi="Garamond" w:cs="Garamond"/>
          <w:sz w:val="22"/>
          <w:szCs w:val="22"/>
        </w:rPr>
        <w:t xml:space="preserve">. </w:t>
      </w:r>
    </w:p>
    <w:p w14:paraId="0F3E31AC" w14:textId="77777777" w:rsidR="00EE22EF" w:rsidRDefault="00000000">
      <w:pPr>
        <w:spacing w:after="120" w:line="360" w:lineRule="auto"/>
        <w:ind w:firstLine="284"/>
        <w:jc w:val="both"/>
        <w:rPr>
          <w:rFonts w:ascii="Garamond" w:eastAsia="Garamond" w:hAnsi="Garamond" w:cs="Garamond"/>
          <w:sz w:val="22"/>
          <w:szCs w:val="22"/>
        </w:rPr>
      </w:pPr>
      <w:r>
        <w:rPr>
          <w:rFonts w:ascii="Garamond" w:eastAsia="Garamond" w:hAnsi="Garamond" w:cs="Garamond"/>
          <w:sz w:val="22"/>
          <w:szCs w:val="22"/>
        </w:rPr>
        <w:lastRenderedPageBreak/>
        <w:t>De inmediato, le dije a Alejandro: “</w:t>
      </w:r>
      <w:r>
        <w:rPr>
          <w:rFonts w:ascii="Garamond" w:eastAsia="Garamond" w:hAnsi="Garamond" w:cs="Garamond"/>
          <w:i/>
          <w:sz w:val="22"/>
          <w:szCs w:val="22"/>
        </w:rPr>
        <w:t xml:space="preserve">gracias por este gran regalo que me has dado hoy, pues será una de las preguntas base para desarrollar mi próxima sesión de la asignatura Responsabilidad Social, </w:t>
      </w:r>
      <w:r>
        <w:rPr>
          <w:rFonts w:ascii="Garamond" w:eastAsia="Garamond" w:hAnsi="Garamond" w:cs="Garamond"/>
          <w:sz w:val="22"/>
          <w:szCs w:val="22"/>
        </w:rPr>
        <w:t xml:space="preserve">porque estamos conversando sobre ello en el contexto universitario y sería muy importante reflexionar ¡para qué nos preparamos!”. Y así lo hice; recientemente dedicamos una sesión al tema y las respuestas fueron variadas, interesantes, diferentes, como nosotros los seres humanos; como siempre les digo a los compañeros estudiantes: en cuanto a las respuestas, lo importante es que sientan la libertad y la seguridad de poder plantear en este grupo su visión con la seguridad de que contarán con el </w:t>
      </w:r>
      <w:r>
        <w:rPr>
          <w:rFonts w:ascii="Garamond" w:eastAsia="Garamond" w:hAnsi="Garamond" w:cs="Garamond"/>
          <w:i/>
          <w:sz w:val="22"/>
          <w:szCs w:val="22"/>
        </w:rPr>
        <w:t>respeto</w:t>
      </w:r>
      <w:r>
        <w:rPr>
          <w:rFonts w:ascii="Garamond" w:eastAsia="Garamond" w:hAnsi="Garamond" w:cs="Garamond"/>
          <w:sz w:val="22"/>
          <w:szCs w:val="22"/>
        </w:rPr>
        <w:t xml:space="preserve"> de cada uno de quienes estamos aquí. </w:t>
      </w:r>
    </w:p>
    <w:p w14:paraId="60045A84" w14:textId="77777777" w:rsidR="00EE22EF" w:rsidRDefault="00000000">
      <w:pPr>
        <w:spacing w:after="120" w:line="360" w:lineRule="auto"/>
        <w:jc w:val="both"/>
        <w:rPr>
          <w:rFonts w:ascii="Garamond" w:eastAsia="Garamond" w:hAnsi="Garamond" w:cs="Garamond"/>
          <w:b/>
        </w:rPr>
      </w:pPr>
      <w:r>
        <w:rPr>
          <w:rFonts w:ascii="Garamond" w:eastAsia="Garamond" w:hAnsi="Garamond" w:cs="Garamond"/>
          <w:b/>
        </w:rPr>
        <w:t>VISIÓN VARIADA QUE COINCIDE EN EL APORTE AL DESARROLLO</w:t>
      </w:r>
    </w:p>
    <w:p w14:paraId="22115B4A" w14:textId="77777777" w:rsidR="00EE22EF" w:rsidRDefault="00000000">
      <w:pPr>
        <w:spacing w:after="120" w:line="360" w:lineRule="auto"/>
        <w:ind w:firstLine="284"/>
        <w:jc w:val="both"/>
        <w:rPr>
          <w:rFonts w:ascii="Garamond" w:eastAsia="Garamond" w:hAnsi="Garamond" w:cs="Garamond"/>
          <w:sz w:val="22"/>
          <w:szCs w:val="22"/>
        </w:rPr>
      </w:pPr>
      <w:r>
        <w:rPr>
          <w:rFonts w:ascii="Garamond" w:eastAsia="Garamond" w:hAnsi="Garamond" w:cs="Garamond"/>
          <w:sz w:val="22"/>
          <w:szCs w:val="22"/>
        </w:rPr>
        <w:t xml:space="preserve">En la sesión se dio un tiempo para pensar sobre esta pregunta provocadora </w:t>
      </w:r>
      <w:r>
        <w:rPr>
          <w:rFonts w:ascii="Garamond" w:eastAsia="Garamond" w:hAnsi="Garamond" w:cs="Garamond"/>
          <w:i/>
          <w:sz w:val="22"/>
          <w:szCs w:val="22"/>
        </w:rPr>
        <w:t>¿para qué nos preparamos?</w:t>
      </w:r>
      <w:r>
        <w:rPr>
          <w:rFonts w:ascii="Garamond" w:eastAsia="Garamond" w:hAnsi="Garamond" w:cs="Garamond"/>
          <w:sz w:val="22"/>
          <w:szCs w:val="22"/>
        </w:rPr>
        <w:t xml:space="preserve"> Y de manera libre los interesados fueron manifestando su deseo de compartir sus visiones del asunto.</w:t>
      </w:r>
    </w:p>
    <w:p w14:paraId="0EE7D77D" w14:textId="77777777" w:rsidR="00EE22EF" w:rsidRDefault="00000000">
      <w:pPr>
        <w:spacing w:after="120" w:line="360" w:lineRule="auto"/>
        <w:ind w:firstLine="284"/>
        <w:jc w:val="both"/>
        <w:rPr>
          <w:rFonts w:ascii="Garamond" w:eastAsia="Garamond" w:hAnsi="Garamond" w:cs="Garamond"/>
          <w:sz w:val="22"/>
          <w:szCs w:val="22"/>
        </w:rPr>
      </w:pPr>
      <w:r>
        <w:rPr>
          <w:rFonts w:ascii="Garamond" w:eastAsia="Garamond" w:hAnsi="Garamond" w:cs="Garamond"/>
          <w:sz w:val="22"/>
          <w:szCs w:val="22"/>
        </w:rPr>
        <w:t>Para algunos, se preparan para “formarme como el profesional con valores personales, para aportar al país y a nosotros mismos”; otra participante indicó que “vengo de una familia muy humilde y vimos como necesario desarrollarnos personal y profesionalmente para salir adelante, y veíamos en la universidad una vía para ello (…) lo que he aprendido me permite mejorar profesionalmente en diferentes empresas”, señaló. Otro integrante expresó que “me preparo para ser un profesional y poder ayudar a la sociedad, pienso que una meta es trascender de manera que pasen muchos años más y yo pueda ver que he aportado de diversas formas al país o al entorno donde me encuentro, es para trascender en mi vida profesional”. Incluso una joven enfatizó que se prepara “para convertirme en una persona más sabia y poder tomar mejores decisiones y poder gerenciar mi propia empresa, construir un mejor futuro, y mejorar el estilo de vida”.</w:t>
      </w:r>
    </w:p>
    <w:p w14:paraId="6F429353" w14:textId="77777777" w:rsidR="00EE22EF" w:rsidRDefault="00000000">
      <w:pPr>
        <w:spacing w:after="120" w:line="360" w:lineRule="auto"/>
        <w:ind w:firstLine="284"/>
        <w:jc w:val="both"/>
        <w:rPr>
          <w:rFonts w:ascii="Garamond" w:eastAsia="Garamond" w:hAnsi="Garamond" w:cs="Garamond"/>
          <w:sz w:val="22"/>
          <w:szCs w:val="22"/>
        </w:rPr>
      </w:pPr>
      <w:r>
        <w:rPr>
          <w:rFonts w:ascii="Garamond" w:eastAsia="Garamond" w:hAnsi="Garamond" w:cs="Garamond"/>
          <w:sz w:val="22"/>
          <w:szCs w:val="22"/>
        </w:rPr>
        <w:t>Cerramos esta parte de la sesión haciendo énfasis en que es necesario hacernos esta pregunta frecuentemente, porque no solo se trata de para qué me preparo en la universidad, sino para la vida; como seres en constante evolución también estas respuestas pueden estar en una dinámica constante de cambio.</w:t>
      </w:r>
    </w:p>
    <w:p w14:paraId="681ACAD7" w14:textId="77777777" w:rsidR="00EE22EF" w:rsidRDefault="00000000">
      <w:pPr>
        <w:spacing w:after="120" w:line="360" w:lineRule="auto"/>
        <w:ind w:firstLine="284"/>
        <w:jc w:val="both"/>
        <w:rPr>
          <w:rFonts w:ascii="Garamond" w:eastAsia="Garamond" w:hAnsi="Garamond" w:cs="Garamond"/>
          <w:sz w:val="22"/>
          <w:szCs w:val="22"/>
        </w:rPr>
      </w:pPr>
      <w:r>
        <w:rPr>
          <w:rFonts w:ascii="Garamond" w:eastAsia="Garamond" w:hAnsi="Garamond" w:cs="Garamond"/>
          <w:sz w:val="22"/>
          <w:szCs w:val="22"/>
        </w:rPr>
        <w:t>Me quedo con la pregunta de Valeria “¿</w:t>
      </w:r>
      <w:r>
        <w:rPr>
          <w:rFonts w:ascii="Garamond" w:eastAsia="Garamond" w:hAnsi="Garamond" w:cs="Garamond"/>
          <w:i/>
          <w:sz w:val="22"/>
          <w:szCs w:val="22"/>
        </w:rPr>
        <w:t>por qué la gente actúa como actúa, por qué la gente hace lo que hace?</w:t>
      </w:r>
      <w:r>
        <w:rPr>
          <w:rFonts w:ascii="Garamond" w:eastAsia="Garamond" w:hAnsi="Garamond" w:cs="Garamond"/>
          <w:sz w:val="22"/>
          <w:szCs w:val="22"/>
        </w:rPr>
        <w:t>”</w:t>
      </w:r>
      <w:r>
        <w:rPr>
          <w:rFonts w:ascii="Garamond" w:eastAsia="Garamond" w:hAnsi="Garamond" w:cs="Garamond"/>
          <w:i/>
          <w:sz w:val="22"/>
          <w:szCs w:val="22"/>
        </w:rPr>
        <w:t xml:space="preserve">. </w:t>
      </w:r>
      <w:r>
        <w:rPr>
          <w:rFonts w:ascii="Garamond" w:eastAsia="Garamond" w:hAnsi="Garamond" w:cs="Garamond"/>
          <w:sz w:val="22"/>
          <w:szCs w:val="22"/>
        </w:rPr>
        <w:t>Sobre todo, por una pretensión muy arrogante de mi parte: ¿cómo podemos incidir para que actuemos cada vez más con base en la verdad y el bien, para el bien común?</w:t>
      </w:r>
    </w:p>
    <w:p w14:paraId="66E48553" w14:textId="77777777" w:rsidR="00EE22EF" w:rsidRDefault="00000000">
      <w:pPr>
        <w:spacing w:after="120" w:line="360" w:lineRule="auto"/>
        <w:jc w:val="both"/>
        <w:rPr>
          <w:rFonts w:ascii="Garamond" w:eastAsia="Garamond" w:hAnsi="Garamond" w:cs="Garamond"/>
          <w:b/>
          <w:sz w:val="14"/>
          <w:szCs w:val="14"/>
        </w:rPr>
      </w:pPr>
      <w:r>
        <w:rPr>
          <w:rFonts w:ascii="Garamond" w:eastAsia="Garamond" w:hAnsi="Garamond" w:cs="Garamond"/>
          <w:b/>
          <w:sz w:val="14"/>
          <w:szCs w:val="14"/>
        </w:rPr>
        <w:lastRenderedPageBreak/>
        <w:t xml:space="preserve">Imagen de </w:t>
      </w:r>
      <w:proofErr w:type="spellStart"/>
      <w:r>
        <w:rPr>
          <w:rFonts w:ascii="Garamond" w:eastAsia="Garamond" w:hAnsi="Garamond" w:cs="Garamond"/>
          <w:b/>
          <w:sz w:val="14"/>
          <w:szCs w:val="14"/>
        </w:rPr>
        <w:t>Rakicevic</w:t>
      </w:r>
      <w:proofErr w:type="spellEnd"/>
      <w:r>
        <w:rPr>
          <w:rFonts w:ascii="Garamond" w:eastAsia="Garamond" w:hAnsi="Garamond" w:cs="Garamond"/>
          <w:b/>
          <w:sz w:val="14"/>
          <w:szCs w:val="14"/>
        </w:rPr>
        <w:t xml:space="preserve"> </w:t>
      </w:r>
      <w:proofErr w:type="spellStart"/>
      <w:r>
        <w:rPr>
          <w:rFonts w:ascii="Garamond" w:eastAsia="Garamond" w:hAnsi="Garamond" w:cs="Garamond"/>
          <w:b/>
          <w:sz w:val="14"/>
          <w:szCs w:val="14"/>
        </w:rPr>
        <w:t>Nenad</w:t>
      </w:r>
      <w:proofErr w:type="spellEnd"/>
      <w:r>
        <w:rPr>
          <w:rFonts w:ascii="Garamond" w:eastAsia="Garamond" w:hAnsi="Garamond" w:cs="Garamond"/>
          <w:b/>
          <w:sz w:val="14"/>
          <w:szCs w:val="14"/>
        </w:rPr>
        <w:t xml:space="preserve"> </w:t>
      </w:r>
      <w:r>
        <w:rPr>
          <w:noProof/>
        </w:rPr>
        <w:drawing>
          <wp:anchor distT="0" distB="0" distL="114300" distR="114300" simplePos="0" relativeHeight="251658240" behindDoc="0" locked="0" layoutInCell="1" hidden="0" allowOverlap="1" wp14:anchorId="54357A7D" wp14:editId="22A8DD10">
            <wp:simplePos x="0" y="0"/>
            <wp:positionH relativeFrom="column">
              <wp:posOffset>1</wp:posOffset>
            </wp:positionH>
            <wp:positionV relativeFrom="paragraph">
              <wp:posOffset>6350</wp:posOffset>
            </wp:positionV>
            <wp:extent cx="2381250" cy="2976880"/>
            <wp:effectExtent l="0" t="0" r="0" b="0"/>
            <wp:wrapSquare wrapText="bothSides" distT="0" distB="0" distL="114300" distR="114300"/>
            <wp:docPr id="6" name="image2.jpg" descr="Gratis Foto De Silueta De Hombre Apoyado En El árbol En Forma De Hoja De Corazón Durante El Amanecer Foto de stock"/>
            <wp:cNvGraphicFramePr/>
            <a:graphic xmlns:a="http://schemas.openxmlformats.org/drawingml/2006/main">
              <a:graphicData uri="http://schemas.openxmlformats.org/drawingml/2006/picture">
                <pic:pic xmlns:pic="http://schemas.openxmlformats.org/drawingml/2006/picture">
                  <pic:nvPicPr>
                    <pic:cNvPr id="0" name="image2.jpg" descr="Gratis Foto De Silueta De Hombre Apoyado En El árbol En Forma De Hoja De Corazón Durante El Amanecer Foto de stock"/>
                    <pic:cNvPicPr preferRelativeResize="0"/>
                  </pic:nvPicPr>
                  <pic:blipFill>
                    <a:blip r:embed="rId10"/>
                    <a:srcRect/>
                    <a:stretch>
                      <a:fillRect/>
                    </a:stretch>
                  </pic:blipFill>
                  <pic:spPr>
                    <a:xfrm>
                      <a:off x="0" y="0"/>
                      <a:ext cx="2381250" cy="2976880"/>
                    </a:xfrm>
                    <a:prstGeom prst="rect">
                      <a:avLst/>
                    </a:prstGeom>
                    <a:ln/>
                  </pic:spPr>
                </pic:pic>
              </a:graphicData>
            </a:graphic>
          </wp:anchor>
        </w:drawing>
      </w:r>
    </w:p>
    <w:p w14:paraId="67DBBE95" w14:textId="77777777" w:rsidR="00EE22EF" w:rsidRDefault="00000000">
      <w:pPr>
        <w:spacing w:after="120" w:line="360" w:lineRule="auto"/>
        <w:jc w:val="both"/>
        <w:rPr>
          <w:rFonts w:ascii="Garamond" w:eastAsia="Garamond" w:hAnsi="Garamond" w:cs="Garamond"/>
          <w:b/>
        </w:rPr>
      </w:pPr>
      <w:r>
        <w:rPr>
          <w:rFonts w:ascii="Garamond" w:eastAsia="Garamond" w:hAnsi="Garamond" w:cs="Garamond"/>
          <w:b/>
        </w:rPr>
        <w:t xml:space="preserve">GERENCIA: PREPARACIÓN Y DECISIÓN </w:t>
      </w:r>
    </w:p>
    <w:p w14:paraId="742B3683" w14:textId="77777777" w:rsidR="00EE22EF" w:rsidRDefault="00000000">
      <w:pPr>
        <w:pBdr>
          <w:top w:val="nil"/>
          <w:left w:val="nil"/>
          <w:bottom w:val="nil"/>
          <w:right w:val="nil"/>
          <w:between w:val="nil"/>
        </w:pBdr>
        <w:spacing w:after="120" w:line="360" w:lineRule="auto"/>
        <w:ind w:firstLine="284"/>
        <w:jc w:val="both"/>
        <w:rPr>
          <w:rFonts w:ascii="Garamond" w:eastAsia="Garamond" w:hAnsi="Garamond" w:cs="Garamond"/>
          <w:sz w:val="22"/>
          <w:szCs w:val="22"/>
        </w:rPr>
      </w:pPr>
      <w:r>
        <w:rPr>
          <w:rFonts w:ascii="Garamond" w:eastAsia="Garamond" w:hAnsi="Garamond" w:cs="Garamond"/>
          <w:sz w:val="22"/>
          <w:szCs w:val="22"/>
        </w:rPr>
        <w:t xml:space="preserve">   Como gerentes, qué poderoso sería preguntarnos ¿para qué quiero aprender esto? ¿Para qué me prepararé en esto? ¿Para qué voy a decir aquello? Y repetirnos esas preguntas una y otra vez hasta llegar a la raíz, que generalmente no está presente en la primera respuesta; ya la pregunta va no solo en ¿para qué me preparo? Sino ¿para qué realmente tomo esta decisión?</w:t>
      </w:r>
    </w:p>
    <w:p w14:paraId="38D73E5F" w14:textId="77777777" w:rsidR="00EE22EF" w:rsidRDefault="00000000">
      <w:pPr>
        <w:spacing w:after="120" w:line="360" w:lineRule="auto"/>
        <w:ind w:firstLine="284"/>
        <w:jc w:val="both"/>
        <w:rPr>
          <w:rFonts w:ascii="Garamond" w:eastAsia="Garamond" w:hAnsi="Garamond" w:cs="Garamond"/>
          <w:sz w:val="22"/>
          <w:szCs w:val="22"/>
        </w:rPr>
      </w:pPr>
      <w:r>
        <w:rPr>
          <w:rFonts w:ascii="Garamond" w:eastAsia="Garamond" w:hAnsi="Garamond" w:cs="Garamond"/>
          <w:sz w:val="22"/>
          <w:szCs w:val="22"/>
        </w:rPr>
        <w:t xml:space="preserve">Considero que cuando respondemos esta potente pregunta no solo tenemos un farol que alumbra más el camino para tomar decisiones, sino que nos ayuda a hacerlo con más serenidad, no porque vaya a ser más fácil decidir, sino porque considero que me acerca más a hacerlo con mayor proximidad al bien y a la verdad y eso a mí me trae paz aún en medio de un entorno de alta complejidad, pensando en el eterno presente y el bienestar intergeneracional también, porque confío en que la situación va a mejorar cuando “cada uno de nosotros haga lo mejor que pueda” como nos dice </w:t>
      </w:r>
      <w:proofErr w:type="spellStart"/>
      <w:r>
        <w:rPr>
          <w:rFonts w:ascii="Garamond" w:eastAsia="Garamond" w:hAnsi="Garamond" w:cs="Garamond"/>
          <w:sz w:val="22"/>
          <w:szCs w:val="22"/>
        </w:rPr>
        <w:t>Viktor</w:t>
      </w:r>
      <w:proofErr w:type="spellEnd"/>
      <w:r>
        <w:rPr>
          <w:rFonts w:ascii="Garamond" w:eastAsia="Garamond" w:hAnsi="Garamond" w:cs="Garamond"/>
          <w:sz w:val="22"/>
          <w:szCs w:val="22"/>
        </w:rPr>
        <w:t xml:space="preserve"> Frankl.</w:t>
      </w:r>
    </w:p>
    <w:p w14:paraId="348082E0" w14:textId="77777777" w:rsidR="00EE22EF" w:rsidRDefault="00000000">
      <w:pPr>
        <w:spacing w:after="120" w:line="360" w:lineRule="auto"/>
        <w:ind w:firstLine="284"/>
        <w:jc w:val="both"/>
        <w:rPr>
          <w:rFonts w:ascii="Garamond" w:eastAsia="Garamond" w:hAnsi="Garamond" w:cs="Garamond"/>
          <w:b/>
        </w:rPr>
      </w:pPr>
      <w:r>
        <w:rPr>
          <w:rFonts w:ascii="Garamond" w:eastAsia="Garamond" w:hAnsi="Garamond" w:cs="Garamond"/>
          <w:sz w:val="22"/>
          <w:szCs w:val="22"/>
        </w:rPr>
        <w:t>Y tú ¿para qué te preparas? ¿para qué tomas decisiones?</w:t>
      </w:r>
    </w:p>
    <w:p w14:paraId="4129A657" w14:textId="77777777" w:rsidR="00EE22EF" w:rsidRDefault="00000000">
      <w:pPr>
        <w:spacing w:after="115" w:line="259" w:lineRule="auto"/>
        <w:ind w:left="341"/>
        <w:rPr>
          <w:rFonts w:ascii="Garamond" w:eastAsia="Garamond" w:hAnsi="Garamond" w:cs="Garamond"/>
        </w:rPr>
      </w:pPr>
      <w:r>
        <w:br w:type="page"/>
      </w:r>
    </w:p>
    <w:p w14:paraId="75DF1EB6" w14:textId="77777777" w:rsidR="00EE22EF" w:rsidRDefault="00000000">
      <w:pPr>
        <w:spacing w:after="200" w:line="360" w:lineRule="auto"/>
        <w:jc w:val="both"/>
        <w:rPr>
          <w:rFonts w:ascii="Garamond" w:eastAsia="Garamond" w:hAnsi="Garamond" w:cs="Garamond"/>
          <w:b/>
        </w:rPr>
      </w:pPr>
      <w:r>
        <w:rPr>
          <w:rFonts w:ascii="Garamond" w:eastAsia="Garamond" w:hAnsi="Garamond" w:cs="Garamond"/>
          <w:b/>
        </w:rPr>
        <w:lastRenderedPageBreak/>
        <w:t>REFERENCIAS BIBLIOGRÁFICAS</w:t>
      </w:r>
    </w:p>
    <w:p w14:paraId="0BAA146C" w14:textId="77777777" w:rsidR="00EE22EF" w:rsidRDefault="00000000">
      <w:pPr>
        <w:pStyle w:val="Ttulo1"/>
        <w:shd w:val="clear" w:color="auto" w:fill="FFFFFF"/>
        <w:spacing w:after="288" w:line="240" w:lineRule="auto"/>
        <w:ind w:left="284"/>
        <w:jc w:val="left"/>
        <w:rPr>
          <w:b w:val="0"/>
        </w:rPr>
      </w:pPr>
      <w:r>
        <w:rPr>
          <w:b w:val="0"/>
        </w:rPr>
        <w:t xml:space="preserve">CEPAL (2022). “Las tasas de pobreza en América Latina se mantienen en 2022 por encima de los niveles prepandemia, alerta la CEPAL”. Disponible en línea en CEPAL: </w:t>
      </w:r>
      <w:hyperlink r:id="rId11">
        <w:r>
          <w:rPr>
            <w:b w:val="0"/>
            <w:color w:val="1155CC"/>
            <w:highlight w:val="white"/>
            <w:u w:val="single"/>
          </w:rPr>
          <w:t>https://www.cepal.org/es/comunicados/tasas-pobreza-america-latina-se-mantienen-2022-encima-niveles-prepandemia-alerta-la</w:t>
        </w:r>
      </w:hyperlink>
      <w:r>
        <w:rPr>
          <w:b w:val="0"/>
        </w:rPr>
        <w:t>.</w:t>
      </w:r>
    </w:p>
    <w:p w14:paraId="16DE20B8" w14:textId="77777777" w:rsidR="00EE22EF" w:rsidRDefault="00000000">
      <w:pPr>
        <w:pStyle w:val="Ttulo1"/>
        <w:shd w:val="clear" w:color="auto" w:fill="FFFFFF"/>
        <w:spacing w:after="288" w:line="240" w:lineRule="auto"/>
        <w:ind w:left="284"/>
        <w:jc w:val="left"/>
        <w:rPr>
          <w:b w:val="0"/>
          <w:u w:val="single"/>
        </w:rPr>
      </w:pPr>
      <w:r>
        <w:rPr>
          <w:b w:val="0"/>
        </w:rPr>
        <w:t xml:space="preserve">Castillo, E.  y </w:t>
      </w:r>
      <w:proofErr w:type="spellStart"/>
      <w:r>
        <w:rPr>
          <w:b w:val="0"/>
        </w:rPr>
        <w:t>Lafontant</w:t>
      </w:r>
      <w:proofErr w:type="spellEnd"/>
      <w:r>
        <w:rPr>
          <w:b w:val="0"/>
        </w:rPr>
        <w:t>, G. (2023).</w:t>
      </w:r>
      <w:r>
        <w:t xml:space="preserve"> </w:t>
      </w:r>
      <w:r>
        <w:rPr>
          <w:b w:val="0"/>
        </w:rPr>
        <w:t>“</w:t>
      </w:r>
      <w:proofErr w:type="spellStart"/>
      <w:r>
        <w:rPr>
          <w:b w:val="0"/>
        </w:rPr>
        <w:t>PsicoData</w:t>
      </w:r>
      <w:proofErr w:type="spellEnd"/>
      <w:r>
        <w:rPr>
          <w:b w:val="0"/>
        </w:rPr>
        <w:t xml:space="preserve"> Venezuela: 81% de la población siente desconfianza del otro”. Disponible en línea en </w:t>
      </w:r>
      <w:r>
        <w:rPr>
          <w:b w:val="0"/>
          <w:i/>
        </w:rPr>
        <w:t xml:space="preserve">El </w:t>
      </w:r>
      <w:proofErr w:type="spellStart"/>
      <w:r>
        <w:rPr>
          <w:b w:val="0"/>
          <w:i/>
        </w:rPr>
        <w:t>Ucabista</w:t>
      </w:r>
      <w:proofErr w:type="spellEnd"/>
      <w:r>
        <w:rPr>
          <w:b w:val="0"/>
        </w:rPr>
        <w:t xml:space="preserve">: </w:t>
      </w:r>
      <w:hyperlink r:id="rId12">
        <w:r>
          <w:rPr>
            <w:b w:val="0"/>
            <w:color w:val="1155CC"/>
            <w:highlight w:val="white"/>
            <w:u w:val="single"/>
          </w:rPr>
          <w:t>https://elucabista.com/2023/03/01/psicodata-venezuela-81-de-la-poblacion-siente-desconfianza-del-otro/</w:t>
        </w:r>
      </w:hyperlink>
      <w:r>
        <w:rPr>
          <w:b w:val="0"/>
        </w:rPr>
        <w:t>.</w:t>
      </w:r>
    </w:p>
    <w:p w14:paraId="6299F022" w14:textId="77777777" w:rsidR="00EE22EF" w:rsidRDefault="00000000">
      <w:pPr>
        <w:spacing w:after="288"/>
        <w:ind w:left="284"/>
        <w:rPr>
          <w:rFonts w:ascii="Garamond" w:eastAsia="Garamond" w:hAnsi="Garamond" w:cs="Garamond"/>
          <w:sz w:val="22"/>
          <w:szCs w:val="22"/>
        </w:rPr>
      </w:pPr>
      <w:r>
        <w:rPr>
          <w:rFonts w:ascii="Garamond" w:eastAsia="Garamond" w:hAnsi="Garamond" w:cs="Garamond"/>
          <w:sz w:val="22"/>
          <w:szCs w:val="22"/>
        </w:rPr>
        <w:t xml:space="preserve">OCDE (2022). “¿Cómo va la vida en América Latina? Medición del bienestar para la formulación de políticas públicas”. Disponible en línea en </w:t>
      </w:r>
      <w:r>
        <w:rPr>
          <w:rFonts w:ascii="Garamond" w:eastAsia="Garamond" w:hAnsi="Garamond" w:cs="Garamond"/>
          <w:i/>
          <w:sz w:val="22"/>
          <w:szCs w:val="22"/>
        </w:rPr>
        <w:t>CNN</w:t>
      </w:r>
      <w:r>
        <w:rPr>
          <w:rFonts w:ascii="Garamond" w:eastAsia="Garamond" w:hAnsi="Garamond" w:cs="Garamond"/>
          <w:sz w:val="22"/>
          <w:szCs w:val="22"/>
        </w:rPr>
        <w:t xml:space="preserve">: </w:t>
      </w:r>
      <w:r>
        <w:rPr>
          <w:rFonts w:ascii="Garamond" w:eastAsia="Garamond" w:hAnsi="Garamond" w:cs="Garamond"/>
          <w:color w:val="1155CC"/>
          <w:sz w:val="22"/>
          <w:szCs w:val="22"/>
          <w:highlight w:val="white"/>
          <w:u w:val="single"/>
        </w:rPr>
        <w:t>https://cnnespanol.cnn.com/video/jovenes-estudiar-trabajar-perspectivas-buenos-aires/</w:t>
      </w:r>
      <w:r>
        <w:rPr>
          <w:rFonts w:ascii="Garamond" w:eastAsia="Garamond" w:hAnsi="Garamond" w:cs="Garamond"/>
          <w:sz w:val="22"/>
          <w:szCs w:val="22"/>
        </w:rPr>
        <w:t>.</w:t>
      </w:r>
    </w:p>
    <w:p w14:paraId="469E3885" w14:textId="77777777" w:rsidR="00EE22EF" w:rsidRDefault="00000000">
      <w:pPr>
        <w:pStyle w:val="Ttulo1"/>
        <w:shd w:val="clear" w:color="auto" w:fill="FFFFFF"/>
        <w:spacing w:after="288" w:line="240" w:lineRule="auto"/>
        <w:ind w:left="284"/>
        <w:jc w:val="left"/>
      </w:pPr>
      <w:proofErr w:type="spellStart"/>
      <w:r>
        <w:rPr>
          <w:b w:val="0"/>
          <w:highlight w:val="white"/>
        </w:rPr>
        <w:t>OITM</w:t>
      </w:r>
      <w:proofErr w:type="spellEnd"/>
      <w:r>
        <w:rPr>
          <w:b w:val="0"/>
          <w:highlight w:val="white"/>
        </w:rPr>
        <w:t>. (2023). “</w:t>
      </w:r>
      <w:r>
        <w:rPr>
          <w:b w:val="0"/>
        </w:rPr>
        <w:t xml:space="preserve">Los trabajadores podrían verse obligados a aceptar empleos de menor calidad como consecuencia de la desaceleración económica”. Disponible en línea en OIT: </w:t>
      </w:r>
      <w:r>
        <w:rPr>
          <w:b w:val="0"/>
          <w:color w:val="1155CC"/>
          <w:highlight w:val="white"/>
          <w:u w:val="single"/>
        </w:rPr>
        <w:t>https://www.ilo.org/global/about-the-ilo/newsroom/news/WCMS_865260/lang--es/index.htm</w:t>
      </w:r>
      <w:r>
        <w:rPr>
          <w:b w:val="0"/>
        </w:rPr>
        <w:t>.</w:t>
      </w:r>
    </w:p>
    <w:p w14:paraId="3EEB1CEF" w14:textId="77777777" w:rsidR="00EE22EF" w:rsidRDefault="00000000">
      <w:pPr>
        <w:pStyle w:val="Ttulo1"/>
        <w:shd w:val="clear" w:color="auto" w:fill="FFFFFF"/>
        <w:spacing w:after="288" w:line="240" w:lineRule="auto"/>
        <w:ind w:left="284"/>
        <w:jc w:val="left"/>
        <w:rPr>
          <w:b w:val="0"/>
        </w:rPr>
      </w:pPr>
      <w:r>
        <w:rPr>
          <w:b w:val="0"/>
          <w:highlight w:val="white"/>
        </w:rPr>
        <w:t>ONU Crónica Uno. (2022). “</w:t>
      </w:r>
      <w:r>
        <w:rPr>
          <w:b w:val="0"/>
        </w:rPr>
        <w:t xml:space="preserve">Estado de la salud mental tras la pandemia del COVID-19 y progreso de la Iniciativa Especial para la Salud Mental (2019-2023) de la OMS”. Disponible en línea en ONU: </w:t>
      </w:r>
      <w:hyperlink r:id="rId13">
        <w:r>
          <w:rPr>
            <w:b w:val="0"/>
            <w:color w:val="1155CC"/>
            <w:highlight w:val="white"/>
            <w:u w:val="single"/>
          </w:rPr>
          <w:t>https://www.un.org/es/cr%C3%B3nica-onu/estado-de-la-salud-mental-tras-la-pandemia-del-covid-19-y-progreso-de-la-iniciativa</w:t>
        </w:r>
      </w:hyperlink>
      <w:r>
        <w:rPr>
          <w:b w:val="0"/>
        </w:rPr>
        <w:t>.</w:t>
      </w:r>
    </w:p>
    <w:p w14:paraId="5CC1D5C3" w14:textId="77777777" w:rsidR="00EE22EF" w:rsidRDefault="00000000">
      <w:pPr>
        <w:pStyle w:val="Ttulo1"/>
        <w:shd w:val="clear" w:color="auto" w:fill="FFFFFF"/>
        <w:spacing w:after="288" w:line="240" w:lineRule="auto"/>
        <w:ind w:left="284"/>
        <w:jc w:val="left"/>
      </w:pPr>
      <w:bookmarkStart w:id="1" w:name="_qbqudvxwiwk5" w:colFirst="0" w:colLast="0"/>
      <w:bookmarkEnd w:id="1"/>
      <w:r>
        <w:rPr>
          <w:b w:val="0"/>
          <w:highlight w:val="white"/>
        </w:rPr>
        <w:t>ONU (2023). “</w:t>
      </w:r>
      <w:r>
        <w:rPr>
          <w:b w:val="0"/>
        </w:rPr>
        <w:t xml:space="preserve">El suicidio aumenta en América mientras disminuye en el resto del mundo”. Disponible en línea en ONU: </w:t>
      </w:r>
      <w:hyperlink r:id="rId14">
        <w:r>
          <w:rPr>
            <w:b w:val="0"/>
            <w:color w:val="1155CC"/>
            <w:highlight w:val="white"/>
            <w:u w:val="single"/>
          </w:rPr>
          <w:t>https://news.un.org/es/story/2023/02/151885</w:t>
        </w:r>
      </w:hyperlink>
      <w:r>
        <w:rPr>
          <w:b w:val="0"/>
          <w:color w:val="1155CC"/>
          <w:highlight w:val="white"/>
          <w:u w:val="single"/>
        </w:rPr>
        <w:t>2</w:t>
      </w:r>
      <w:r>
        <w:rPr>
          <w:b w:val="0"/>
        </w:rPr>
        <w:t>.</w:t>
      </w:r>
    </w:p>
    <w:sectPr w:rsidR="00EE22EF">
      <w:headerReference w:type="even" r:id="rId15"/>
      <w:headerReference w:type="default" r:id="rId16"/>
      <w:footerReference w:type="even" r:id="rId17"/>
      <w:footerReference w:type="default" r:id="rId18"/>
      <w:headerReference w:type="first" r:id="rId19"/>
      <w:footerReference w:type="first" r:id="rId20"/>
      <w:pgSz w:w="12240" w:h="15840"/>
      <w:pgMar w:top="713" w:right="1041" w:bottom="1417" w:left="1275" w:header="714" w:footer="566" w:gutter="0"/>
      <w:pgNumType w:start="10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A45167" w14:textId="77777777" w:rsidR="00905BF8" w:rsidRDefault="00905BF8">
      <w:r>
        <w:separator/>
      </w:r>
    </w:p>
  </w:endnote>
  <w:endnote w:type="continuationSeparator" w:id="0">
    <w:p w14:paraId="388CC875" w14:textId="77777777" w:rsidR="00905BF8" w:rsidRDefault="00905B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embedRegular r:id="rId1" w:fontKey="{371872D8-A448-43DA-8396-A049E075BC78}"/>
    <w:embedBold r:id="rId2" w:fontKey="{542D84C2-03F7-4D89-8C66-EFF135718133}"/>
    <w:embedItalic r:id="rId3" w:fontKey="{B1ED57E3-8E65-4D96-BC7E-D26C2D2E1CEF}"/>
    <w:embedBoldItalic r:id="rId4" w:fontKey="{3C3E41A6-2CD0-4095-AB72-C0EADE28C199}"/>
  </w:font>
  <w:font w:name="Times New Roman">
    <w:panose1 w:val="02020603050405020304"/>
    <w:charset w:val="00"/>
    <w:family w:val="roman"/>
    <w:pitch w:val="variable"/>
    <w:sig w:usb0="E0002EFF" w:usb1="C000785B" w:usb2="00000009" w:usb3="00000000" w:csb0="000001FF" w:csb1="00000000"/>
  </w:font>
  <w:font w:name="EB Garamond">
    <w:charset w:val="00"/>
    <w:family w:val="auto"/>
    <w:pitch w:val="variable"/>
    <w:sig w:usb0="E00002FF" w:usb1="02000413" w:usb2="00000000" w:usb3="00000000" w:csb0="0000019F" w:csb1="00000000"/>
    <w:embedRegular r:id="rId5" w:fontKey="{8308DE9C-2CE6-448F-A41C-EEEB474AF23A}"/>
    <w:embedBold r:id="rId6" w:fontKey="{A96B64BA-9496-45A8-9B7C-E318B9126A0B}"/>
  </w:font>
  <w:font w:name="Calibri">
    <w:panose1 w:val="020F0502020204030204"/>
    <w:charset w:val="00"/>
    <w:family w:val="swiss"/>
    <w:pitch w:val="variable"/>
    <w:sig w:usb0="E4002EFF" w:usb1="C200247B" w:usb2="00000009" w:usb3="00000000" w:csb0="000001FF" w:csb1="00000000"/>
    <w:embedRegular r:id="rId7" w:fontKey="{3FE8BD90-5267-4E8D-AEDE-D5EA1A781A21}"/>
  </w:font>
  <w:font w:name="Cambria">
    <w:panose1 w:val="02040503050406030204"/>
    <w:charset w:val="00"/>
    <w:family w:val="roman"/>
    <w:pitch w:val="variable"/>
    <w:sig w:usb0="E00006FF" w:usb1="420024FF" w:usb2="02000000" w:usb3="00000000" w:csb0="0000019F" w:csb1="00000000"/>
    <w:embedRegular r:id="rId8" w:fontKey="{B67A308A-13D4-445D-A2E4-C214FCF8EF8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0F09BF" w14:textId="77777777" w:rsidR="00EE22EF" w:rsidRDefault="00000000">
    <w:pPr>
      <w:pBdr>
        <w:top w:val="nil"/>
        <w:left w:val="nil"/>
        <w:bottom w:val="nil"/>
        <w:right w:val="nil"/>
        <w:between w:val="nil"/>
      </w:pBdr>
      <w:tabs>
        <w:tab w:val="center" w:pos="4419"/>
        <w:tab w:val="right" w:pos="8838"/>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7F5A4D4" w14:textId="77777777" w:rsidR="00EE22EF" w:rsidRDefault="00EE22EF">
    <w:pPr>
      <w:pBdr>
        <w:top w:val="nil"/>
        <w:left w:val="nil"/>
        <w:bottom w:val="nil"/>
        <w:right w:val="nil"/>
        <w:between w:val="nil"/>
      </w:pBdr>
      <w:tabs>
        <w:tab w:val="center" w:pos="4419"/>
        <w:tab w:val="right" w:pos="8838"/>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3F817B" w14:textId="77777777" w:rsidR="00EE22EF" w:rsidRDefault="00000000">
    <w:pPr>
      <w:pBdr>
        <w:top w:val="nil"/>
        <w:left w:val="nil"/>
        <w:bottom w:val="nil"/>
        <w:right w:val="nil"/>
        <w:between w:val="nil"/>
      </w:pBdr>
      <w:tabs>
        <w:tab w:val="center" w:pos="4419"/>
        <w:tab w:val="right" w:pos="8838"/>
      </w:tabs>
      <w:jc w:val="right"/>
      <w:rPr>
        <w:rFonts w:ascii="Garamond" w:eastAsia="Garamond" w:hAnsi="Garamond" w:cs="Garamond"/>
        <w:color w:val="000000"/>
        <w:sz w:val="16"/>
        <w:szCs w:val="16"/>
      </w:rPr>
    </w:pPr>
    <w:r>
      <w:rPr>
        <w:rFonts w:ascii="Garamond" w:eastAsia="Garamond" w:hAnsi="Garamond" w:cs="Garamond"/>
        <w:sz w:val="16"/>
        <w:szCs w:val="16"/>
      </w:rPr>
      <w:t xml:space="preserve">Temas de Coyuntura n.º 89      </w:t>
    </w:r>
    <w:r>
      <w:rPr>
        <w:rFonts w:ascii="Garamond" w:eastAsia="Garamond" w:hAnsi="Garamond" w:cs="Garamond"/>
        <w:color w:val="000000"/>
        <w:sz w:val="22"/>
        <w:szCs w:val="22"/>
      </w:rPr>
      <w:fldChar w:fldCharType="begin"/>
    </w:r>
    <w:r>
      <w:rPr>
        <w:rFonts w:ascii="Garamond" w:eastAsia="Garamond" w:hAnsi="Garamond" w:cs="Garamond"/>
        <w:color w:val="000000"/>
        <w:sz w:val="22"/>
        <w:szCs w:val="22"/>
      </w:rPr>
      <w:instrText>PAGE</w:instrText>
    </w:r>
    <w:r>
      <w:rPr>
        <w:rFonts w:ascii="Garamond" w:eastAsia="Garamond" w:hAnsi="Garamond" w:cs="Garamond"/>
        <w:color w:val="000000"/>
        <w:sz w:val="22"/>
        <w:szCs w:val="22"/>
      </w:rPr>
      <w:fldChar w:fldCharType="separate"/>
    </w:r>
    <w:r w:rsidR="009B579A">
      <w:rPr>
        <w:rFonts w:ascii="Garamond" w:eastAsia="Garamond" w:hAnsi="Garamond" w:cs="Garamond"/>
        <w:noProof/>
        <w:color w:val="000000"/>
        <w:sz w:val="22"/>
        <w:szCs w:val="22"/>
      </w:rPr>
      <w:t>106</w:t>
    </w:r>
    <w:r>
      <w:rPr>
        <w:rFonts w:ascii="Garamond" w:eastAsia="Garamond" w:hAnsi="Garamond" w:cs="Garamond"/>
        <w:color w:val="000000"/>
        <w:sz w:val="22"/>
        <w:szCs w:val="22"/>
      </w:rPr>
      <w:fldChar w:fldCharType="end"/>
    </w:r>
    <w:r>
      <w:rPr>
        <w:rFonts w:ascii="EB Garamond" w:eastAsia="EB Garamond" w:hAnsi="EB Garamond" w:cs="EB Garamond"/>
        <w:color w:val="000000"/>
        <w:sz w:val="16"/>
        <w:szCs w:val="16"/>
      </w:rPr>
      <w:t xml:space="preserve"> </w:t>
    </w:r>
    <w:r>
      <w:rPr>
        <w:noProof/>
      </w:rPr>
      <mc:AlternateContent>
        <mc:Choice Requires="wpg">
          <w:drawing>
            <wp:anchor distT="0" distB="0" distL="114300" distR="114300" simplePos="0" relativeHeight="251661312" behindDoc="0" locked="0" layoutInCell="1" hidden="0" allowOverlap="1" wp14:anchorId="44990B21" wp14:editId="3E4CB792">
              <wp:simplePos x="0" y="0"/>
              <wp:positionH relativeFrom="column">
                <wp:posOffset>6019800</wp:posOffset>
              </wp:positionH>
              <wp:positionV relativeFrom="paragraph">
                <wp:posOffset>38100</wp:posOffset>
              </wp:positionV>
              <wp:extent cx="12700" cy="812800"/>
              <wp:effectExtent l="0" t="0" r="0" b="0"/>
              <wp:wrapNone/>
              <wp:docPr id="1" name="Conector recto de flecha 1"/>
              <wp:cNvGraphicFramePr/>
              <a:graphic xmlns:a="http://schemas.openxmlformats.org/drawingml/2006/main">
                <a:graphicData uri="http://schemas.microsoft.com/office/word/2010/wordprocessingShape">
                  <wps:wsp>
                    <wps:cNvCnPr/>
                    <wps:spPr>
                      <a:xfrm>
                        <a:off x="5346000" y="3381855"/>
                        <a:ext cx="2700" cy="1203300"/>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anchor>
          </w:drawing>
        </mc:Choice>
        <mc:Fallback xmlns:cr="http://schemas.microsoft.com/office/comments/2020/reaction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6019800</wp:posOffset>
              </wp:positionH>
              <wp:positionV relativeFrom="paragraph">
                <wp:posOffset>38100</wp:posOffset>
              </wp:positionV>
              <wp:extent cx="12700" cy="812800"/>
              <wp:effectExtent b="0" l="0" r="0" t="0"/>
              <wp:wrapNone/>
              <wp:docPr id="1"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12700" cy="812800"/>
                      </a:xfrm>
                      <a:prstGeom prst="rect"/>
                      <a:ln/>
                    </pic:spPr>
                  </pic:pic>
                </a:graphicData>
              </a:graphic>
            </wp:anchor>
          </w:drawing>
        </mc:Fallback>
      </mc:AlternateContent>
    </w:r>
  </w:p>
  <w:p w14:paraId="1E570E26" w14:textId="77777777" w:rsidR="00EE22EF" w:rsidRDefault="00000000">
    <w:pPr>
      <w:pBdr>
        <w:top w:val="nil"/>
        <w:left w:val="nil"/>
        <w:bottom w:val="nil"/>
        <w:right w:val="nil"/>
        <w:between w:val="nil"/>
      </w:pBdr>
      <w:ind w:right="568"/>
      <w:jc w:val="right"/>
      <w:rPr>
        <w:rFonts w:ascii="Garamond" w:eastAsia="Garamond" w:hAnsi="Garamond" w:cs="Garamond"/>
        <w:color w:val="000000"/>
        <w:sz w:val="16"/>
        <w:szCs w:val="16"/>
      </w:rPr>
    </w:pPr>
    <w:r>
      <w:rPr>
        <w:rFonts w:ascii="Garamond" w:eastAsia="Garamond" w:hAnsi="Garamond" w:cs="Garamond"/>
        <w:color w:val="000000"/>
        <w:sz w:val="16"/>
        <w:szCs w:val="16"/>
      </w:rPr>
      <w:t xml:space="preserve">Semestre </w:t>
    </w:r>
    <w:r>
      <w:rPr>
        <w:rFonts w:ascii="Garamond" w:eastAsia="Garamond" w:hAnsi="Garamond" w:cs="Garamond"/>
        <w:sz w:val="16"/>
        <w:szCs w:val="16"/>
      </w:rPr>
      <w:t>Ene</w:t>
    </w:r>
    <w:r>
      <w:rPr>
        <w:rFonts w:ascii="Garamond" w:eastAsia="Garamond" w:hAnsi="Garamond" w:cs="Garamond"/>
        <w:color w:val="000000"/>
        <w:sz w:val="16"/>
        <w:szCs w:val="16"/>
      </w:rPr>
      <w:t>.-</w:t>
    </w:r>
    <w:r>
      <w:rPr>
        <w:rFonts w:ascii="Garamond" w:eastAsia="Garamond" w:hAnsi="Garamond" w:cs="Garamond"/>
        <w:sz w:val="16"/>
        <w:szCs w:val="16"/>
      </w:rPr>
      <w:t>Jun.</w:t>
    </w:r>
    <w:r>
      <w:rPr>
        <w:rFonts w:ascii="Garamond" w:eastAsia="Garamond" w:hAnsi="Garamond" w:cs="Garamond"/>
        <w:color w:val="000000"/>
        <w:sz w:val="16"/>
        <w:szCs w:val="16"/>
      </w:rPr>
      <w:t xml:space="preserve"> </w:t>
    </w:r>
    <w:r>
      <w:rPr>
        <w:rFonts w:ascii="Garamond" w:eastAsia="Garamond" w:hAnsi="Garamond" w:cs="Garamond"/>
        <w:sz w:val="16"/>
        <w:szCs w:val="16"/>
      </w:rPr>
      <w:t>2024</w:t>
    </w:r>
  </w:p>
  <w:p w14:paraId="0CC67FB4" w14:textId="77777777" w:rsidR="00EE22EF" w:rsidRDefault="00000000">
    <w:pPr>
      <w:pBdr>
        <w:top w:val="nil"/>
        <w:left w:val="nil"/>
        <w:bottom w:val="nil"/>
        <w:right w:val="nil"/>
        <w:between w:val="nil"/>
      </w:pBdr>
      <w:spacing w:line="288" w:lineRule="auto"/>
      <w:ind w:right="568"/>
      <w:jc w:val="right"/>
      <w:rPr>
        <w:rFonts w:ascii="Garamond" w:eastAsia="Garamond" w:hAnsi="Garamond" w:cs="Garamond"/>
        <w:color w:val="000000"/>
        <w:sz w:val="16"/>
        <w:szCs w:val="16"/>
      </w:rPr>
    </w:pPr>
    <w:r>
      <w:rPr>
        <w:rFonts w:ascii="Garamond" w:eastAsia="Garamond" w:hAnsi="Garamond" w:cs="Garamond"/>
        <w:color w:val="000000"/>
        <w:sz w:val="16"/>
        <w:szCs w:val="16"/>
      </w:rPr>
      <w:t>ISSN: 2244-8632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266224" w14:textId="77777777" w:rsidR="00EE22EF" w:rsidRDefault="00EE22EF">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color w:val="000000"/>
        <w:sz w:val="28"/>
        <w:szCs w:val="28"/>
      </w:rPr>
    </w:pPr>
  </w:p>
  <w:p w14:paraId="798FDB63" w14:textId="77777777" w:rsidR="00EE22EF" w:rsidRDefault="00000000">
    <w:pPr>
      <w:pBdr>
        <w:top w:val="nil"/>
        <w:left w:val="nil"/>
        <w:bottom w:val="nil"/>
        <w:right w:val="nil"/>
        <w:between w:val="nil"/>
      </w:pBdr>
      <w:ind w:right="575"/>
      <w:jc w:val="right"/>
      <w:rPr>
        <w:rFonts w:ascii="Garamond" w:eastAsia="Garamond" w:hAnsi="Garamond" w:cs="Garamond"/>
        <w:color w:val="000000"/>
        <w:sz w:val="16"/>
        <w:szCs w:val="16"/>
      </w:rPr>
    </w:pPr>
    <w:r>
      <w:rPr>
        <w:rFonts w:ascii="EB Garamond" w:eastAsia="EB Garamond" w:hAnsi="EB Garamond" w:cs="EB Garamond"/>
        <w:color w:val="000000"/>
        <w:sz w:val="16"/>
        <w:szCs w:val="16"/>
      </w:rPr>
      <w:t xml:space="preserve"> </w:t>
    </w:r>
    <w:r>
      <w:rPr>
        <w:rFonts w:ascii="Garamond" w:eastAsia="Garamond" w:hAnsi="Garamond" w:cs="Garamond"/>
        <w:color w:val="000000"/>
        <w:sz w:val="16"/>
        <w:szCs w:val="16"/>
      </w:rPr>
      <w:t xml:space="preserve">Temas de Coyuntura </w:t>
    </w:r>
    <w:r>
      <w:rPr>
        <w:rFonts w:ascii="Garamond" w:eastAsia="Garamond" w:hAnsi="Garamond" w:cs="Garamond"/>
        <w:sz w:val="16"/>
        <w:szCs w:val="16"/>
      </w:rPr>
      <w:t>n</w:t>
    </w:r>
    <w:r>
      <w:rPr>
        <w:rFonts w:ascii="Garamond" w:eastAsia="Garamond" w:hAnsi="Garamond" w:cs="Garamond"/>
        <w:color w:val="000000"/>
        <w:sz w:val="16"/>
        <w:szCs w:val="16"/>
      </w:rPr>
      <w:t xml:space="preserve">.º </w:t>
    </w:r>
    <w:r>
      <w:rPr>
        <w:rFonts w:ascii="Garamond" w:eastAsia="Garamond" w:hAnsi="Garamond" w:cs="Garamond"/>
        <w:sz w:val="16"/>
        <w:szCs w:val="16"/>
      </w:rPr>
      <w:t>89</w:t>
    </w:r>
    <w:r>
      <w:rPr>
        <w:noProof/>
      </w:rPr>
      <mc:AlternateContent>
        <mc:Choice Requires="wpg">
          <w:drawing>
            <wp:anchor distT="0" distB="0" distL="114300" distR="114300" simplePos="0" relativeHeight="251662336" behindDoc="0" locked="0" layoutInCell="1" hidden="0" allowOverlap="1" wp14:anchorId="70D64050" wp14:editId="666E2F40">
              <wp:simplePos x="0" y="0"/>
              <wp:positionH relativeFrom="column">
                <wp:posOffset>6019800</wp:posOffset>
              </wp:positionH>
              <wp:positionV relativeFrom="paragraph">
                <wp:posOffset>28575</wp:posOffset>
              </wp:positionV>
              <wp:extent cx="12700" cy="730250"/>
              <wp:effectExtent l="0" t="0" r="0" b="0"/>
              <wp:wrapNone/>
              <wp:docPr id="2" name="Conector recto de flecha 2"/>
              <wp:cNvGraphicFramePr/>
              <a:graphic xmlns:a="http://schemas.openxmlformats.org/drawingml/2006/main">
                <a:graphicData uri="http://schemas.microsoft.com/office/word/2010/wordprocessingShape">
                  <wps:wsp>
                    <wps:cNvCnPr/>
                    <wps:spPr>
                      <a:xfrm>
                        <a:off x="5346000" y="3382173"/>
                        <a:ext cx="2700" cy="1080000"/>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anchor>
          </w:drawing>
        </mc:Choice>
        <mc:Fallback xmlns:cr="http://schemas.microsoft.com/office/comments/2020/reaction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6019800</wp:posOffset>
              </wp:positionH>
              <wp:positionV relativeFrom="paragraph">
                <wp:posOffset>28575</wp:posOffset>
              </wp:positionV>
              <wp:extent cx="12700" cy="730250"/>
              <wp:effectExtent b="0" l="0" r="0" t="0"/>
              <wp:wrapNone/>
              <wp:docPr id="2"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12700" cy="730250"/>
                      </a:xfrm>
                      <a:prstGeom prst="rect"/>
                      <a:ln/>
                    </pic:spPr>
                  </pic:pic>
                </a:graphicData>
              </a:graphic>
            </wp:anchor>
          </w:drawing>
        </mc:Fallback>
      </mc:AlternateContent>
    </w:r>
  </w:p>
  <w:p w14:paraId="1EE05CC7" w14:textId="77777777" w:rsidR="00EE22EF" w:rsidRDefault="00000000">
    <w:pPr>
      <w:pBdr>
        <w:top w:val="nil"/>
        <w:left w:val="nil"/>
        <w:bottom w:val="nil"/>
        <w:right w:val="nil"/>
        <w:between w:val="nil"/>
      </w:pBdr>
      <w:ind w:right="575"/>
      <w:jc w:val="right"/>
      <w:rPr>
        <w:rFonts w:ascii="Garamond" w:eastAsia="Garamond" w:hAnsi="Garamond" w:cs="Garamond"/>
        <w:color w:val="000000"/>
        <w:sz w:val="16"/>
        <w:szCs w:val="16"/>
      </w:rPr>
    </w:pPr>
    <w:r>
      <w:rPr>
        <w:rFonts w:ascii="Garamond" w:eastAsia="Garamond" w:hAnsi="Garamond" w:cs="Garamond"/>
        <w:color w:val="000000"/>
        <w:sz w:val="16"/>
        <w:szCs w:val="16"/>
      </w:rPr>
      <w:t xml:space="preserve">Semestre </w:t>
    </w:r>
    <w:r>
      <w:rPr>
        <w:rFonts w:ascii="Garamond" w:eastAsia="Garamond" w:hAnsi="Garamond" w:cs="Garamond"/>
        <w:sz w:val="16"/>
        <w:szCs w:val="16"/>
      </w:rPr>
      <w:t>Ene.</w:t>
    </w:r>
    <w:r>
      <w:rPr>
        <w:rFonts w:ascii="Garamond" w:eastAsia="Garamond" w:hAnsi="Garamond" w:cs="Garamond"/>
        <w:color w:val="000000"/>
        <w:sz w:val="16"/>
        <w:szCs w:val="16"/>
      </w:rPr>
      <w:t>-</w:t>
    </w:r>
    <w:r>
      <w:rPr>
        <w:rFonts w:ascii="Garamond" w:eastAsia="Garamond" w:hAnsi="Garamond" w:cs="Garamond"/>
        <w:sz w:val="16"/>
        <w:szCs w:val="16"/>
      </w:rPr>
      <w:t>Jun</w:t>
    </w:r>
    <w:r>
      <w:rPr>
        <w:rFonts w:ascii="Garamond" w:eastAsia="Garamond" w:hAnsi="Garamond" w:cs="Garamond"/>
        <w:color w:val="000000"/>
        <w:sz w:val="16"/>
        <w:szCs w:val="16"/>
      </w:rPr>
      <w:t xml:space="preserve">. </w:t>
    </w:r>
    <w:r>
      <w:rPr>
        <w:rFonts w:ascii="Garamond" w:eastAsia="Garamond" w:hAnsi="Garamond" w:cs="Garamond"/>
        <w:sz w:val="16"/>
        <w:szCs w:val="16"/>
      </w:rPr>
      <w:t>2024</w:t>
    </w:r>
  </w:p>
  <w:p w14:paraId="205402DB" w14:textId="77777777" w:rsidR="00EE22EF" w:rsidRDefault="00000000">
    <w:pPr>
      <w:pBdr>
        <w:top w:val="nil"/>
        <w:left w:val="nil"/>
        <w:bottom w:val="nil"/>
        <w:right w:val="nil"/>
        <w:between w:val="nil"/>
      </w:pBdr>
      <w:spacing w:line="288" w:lineRule="auto"/>
      <w:ind w:right="575"/>
      <w:jc w:val="right"/>
      <w:rPr>
        <w:rFonts w:ascii="Garamond" w:eastAsia="Garamond" w:hAnsi="Garamond" w:cs="Garamond"/>
        <w:sz w:val="16"/>
        <w:szCs w:val="16"/>
      </w:rPr>
    </w:pPr>
    <w:r>
      <w:rPr>
        <w:rFonts w:ascii="Garamond" w:eastAsia="Garamond" w:hAnsi="Garamond" w:cs="Garamond"/>
        <w:color w:val="000000"/>
        <w:sz w:val="16"/>
        <w:szCs w:val="16"/>
      </w:rPr>
      <w:t xml:space="preserve"> ISSN: 2244-8632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4BF095" w14:textId="77777777" w:rsidR="00905BF8" w:rsidRDefault="00905BF8">
      <w:r>
        <w:separator/>
      </w:r>
    </w:p>
  </w:footnote>
  <w:footnote w:type="continuationSeparator" w:id="0">
    <w:p w14:paraId="3DB09933" w14:textId="77777777" w:rsidR="00905BF8" w:rsidRDefault="00905BF8">
      <w:r>
        <w:continuationSeparator/>
      </w:r>
    </w:p>
  </w:footnote>
  <w:footnote w:id="1">
    <w:p w14:paraId="2C17A38F" w14:textId="77777777" w:rsidR="00EE22EF" w:rsidRDefault="00000000">
      <w:pPr>
        <w:jc w:val="both"/>
        <w:rPr>
          <w:rFonts w:ascii="Garamond" w:eastAsia="Garamond" w:hAnsi="Garamond" w:cs="Garamond"/>
          <w:sz w:val="20"/>
          <w:szCs w:val="20"/>
        </w:rPr>
      </w:pPr>
      <w:r>
        <w:rPr>
          <w:vertAlign w:val="superscript"/>
        </w:rPr>
        <w:footnoteRef/>
      </w:r>
      <w:r>
        <w:rPr>
          <w:rFonts w:ascii="Garamond" w:eastAsia="Garamond" w:hAnsi="Garamond" w:cs="Garamond"/>
          <w:sz w:val="20"/>
          <w:szCs w:val="20"/>
        </w:rPr>
        <w:t xml:space="preserve"> Doctora en Gerencia. Profesora titular de la Universidad Central de Venezuela. Promotora de programas y proyectos de desarrollo con impacto y bienestar social. Asesora y líder en instituciones educativas y ONG, sostenibilidad organizacional, formulación, gestión y evaluación de proyectos multisectoriales. </w:t>
      </w:r>
      <w:proofErr w:type="spellStart"/>
      <w:r>
        <w:rPr>
          <w:rFonts w:ascii="Garamond" w:eastAsia="Garamond" w:hAnsi="Garamond" w:cs="Garamond"/>
          <w:sz w:val="20"/>
          <w:szCs w:val="20"/>
        </w:rPr>
        <w:t>ORCID</w:t>
      </w:r>
      <w:proofErr w:type="spellEnd"/>
      <w:r>
        <w:rPr>
          <w:rFonts w:ascii="Garamond" w:eastAsia="Garamond" w:hAnsi="Garamond" w:cs="Garamond"/>
          <w:sz w:val="20"/>
          <w:szCs w:val="20"/>
        </w:rPr>
        <w:t xml:space="preserve">: </w:t>
      </w:r>
      <w:hyperlink r:id="rId1">
        <w:r>
          <w:rPr>
            <w:rFonts w:ascii="Garamond" w:eastAsia="Garamond" w:hAnsi="Garamond" w:cs="Garamond"/>
            <w:color w:val="1155CC"/>
            <w:sz w:val="20"/>
            <w:szCs w:val="20"/>
            <w:u w:val="single"/>
          </w:rPr>
          <w:t>0009-0005-5350-5998</w:t>
        </w:r>
      </w:hyperlink>
      <w:r>
        <w:rPr>
          <w:rFonts w:ascii="Garamond" w:eastAsia="Garamond" w:hAnsi="Garamond" w:cs="Garamond"/>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9E714" w14:textId="77777777" w:rsidR="009B579A" w:rsidRDefault="009B579A">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70EB88" w14:textId="77777777" w:rsidR="00EE22EF" w:rsidRDefault="00000000">
    <w:pPr>
      <w:rPr>
        <w:rFonts w:ascii="Garamond" w:eastAsia="Garamond" w:hAnsi="Garamond" w:cs="Garamond"/>
        <w:i/>
        <w:color w:val="000000"/>
        <w:sz w:val="22"/>
        <w:szCs w:val="22"/>
      </w:rPr>
    </w:pPr>
    <w:r>
      <w:rPr>
        <w:rFonts w:ascii="Garamond" w:eastAsia="Garamond" w:hAnsi="Garamond" w:cs="Garamond"/>
        <w:i/>
        <w:sz w:val="22"/>
        <w:szCs w:val="22"/>
      </w:rPr>
      <w:t>Ensayos y comunicaciones</w:t>
    </w:r>
  </w:p>
  <w:p w14:paraId="780883B0" w14:textId="77777777" w:rsidR="00EE22EF" w:rsidRDefault="00000000">
    <w:pPr>
      <w:pBdr>
        <w:top w:val="nil"/>
        <w:left w:val="nil"/>
        <w:bottom w:val="nil"/>
        <w:right w:val="nil"/>
        <w:between w:val="nil"/>
      </w:pBdr>
      <w:jc w:val="center"/>
      <w:rPr>
        <w:rFonts w:ascii="Garamond" w:eastAsia="Garamond" w:hAnsi="Garamond" w:cs="Garamond"/>
        <w:i/>
        <w:color w:val="000000"/>
        <w:sz w:val="22"/>
        <w:szCs w:val="22"/>
      </w:rPr>
    </w:pPr>
    <w:r>
      <w:rPr>
        <w:noProof/>
      </w:rPr>
      <mc:AlternateContent>
        <mc:Choice Requires="wpg">
          <w:drawing>
            <wp:anchor distT="0" distB="0" distL="114300" distR="114300" simplePos="0" relativeHeight="251658240" behindDoc="0" locked="0" layoutInCell="1" hidden="0" allowOverlap="1" wp14:anchorId="7E094AAD" wp14:editId="4582C3A9">
              <wp:simplePos x="0" y="0"/>
              <wp:positionH relativeFrom="column">
                <wp:posOffset>38101</wp:posOffset>
              </wp:positionH>
              <wp:positionV relativeFrom="paragraph">
                <wp:posOffset>50800</wp:posOffset>
              </wp:positionV>
              <wp:extent cx="6219825" cy="12700"/>
              <wp:effectExtent l="0" t="0" r="0" b="0"/>
              <wp:wrapNone/>
              <wp:docPr id="4" name="Conector recto de flecha 4"/>
              <wp:cNvGraphicFramePr/>
              <a:graphic xmlns:a="http://schemas.openxmlformats.org/drawingml/2006/main">
                <a:graphicData uri="http://schemas.microsoft.com/office/word/2010/wordprocessingShape">
                  <wps:wsp>
                    <wps:cNvCnPr/>
                    <wps:spPr>
                      <a:xfrm rot="10800000">
                        <a:off x="2236088" y="3780000"/>
                        <a:ext cx="6219825" cy="0"/>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anchor>
          </w:drawing>
        </mc:Choice>
        <mc:Fallback xmlns:cr="http://schemas.microsoft.com/office/comments/2020/reaction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38101</wp:posOffset>
              </wp:positionH>
              <wp:positionV relativeFrom="paragraph">
                <wp:posOffset>50800</wp:posOffset>
              </wp:positionV>
              <wp:extent cx="6219825" cy="12700"/>
              <wp:effectExtent b="0" l="0" r="0" t="0"/>
              <wp:wrapNone/>
              <wp:docPr id="4" name="image7.png"/>
              <a:graphic>
                <a:graphicData uri="http://schemas.openxmlformats.org/drawingml/2006/picture">
                  <pic:pic>
                    <pic:nvPicPr>
                      <pic:cNvPr id="0" name="image7.png"/>
                      <pic:cNvPicPr preferRelativeResize="0"/>
                    </pic:nvPicPr>
                    <pic:blipFill>
                      <a:blip r:embed="rId1"/>
                      <a:srcRect/>
                      <a:stretch>
                        <a:fillRect/>
                      </a:stretch>
                    </pic:blipFill>
                    <pic:spPr>
                      <a:xfrm>
                        <a:off x="0" y="0"/>
                        <a:ext cx="6219825" cy="12700"/>
                      </a:xfrm>
                      <a:prstGeom prst="rect"/>
                      <a:ln/>
                    </pic:spPr>
                  </pic:pic>
                </a:graphicData>
              </a:graphic>
            </wp:anchor>
          </w:drawing>
        </mc:Fallback>
      </mc:AlternateContent>
    </w:r>
  </w:p>
  <w:p w14:paraId="79B0FB7C" w14:textId="77777777" w:rsidR="00EE22EF" w:rsidRDefault="00000000">
    <w:pPr>
      <w:pBdr>
        <w:top w:val="nil"/>
        <w:left w:val="nil"/>
        <w:bottom w:val="nil"/>
        <w:right w:val="nil"/>
        <w:between w:val="nil"/>
      </w:pBdr>
      <w:ind w:right="143"/>
      <w:jc w:val="right"/>
      <w:rPr>
        <w:rFonts w:ascii="Garamond" w:eastAsia="Garamond" w:hAnsi="Garamond" w:cs="Garamond"/>
        <w:smallCaps/>
        <w:color w:val="000000"/>
        <w:sz w:val="22"/>
        <w:szCs w:val="22"/>
      </w:rPr>
    </w:pPr>
    <w:r>
      <w:rPr>
        <w:rFonts w:ascii="Garamond" w:eastAsia="Garamond" w:hAnsi="Garamond" w:cs="Garamond"/>
        <w:smallCaps/>
        <w:sz w:val="22"/>
        <w:szCs w:val="22"/>
      </w:rPr>
      <w:t>Diana Hernández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A1E7F5" w14:textId="6483AAD1" w:rsidR="00EE22EF" w:rsidRDefault="00000000">
    <w:pPr>
      <w:ind w:left="142"/>
      <w:rPr>
        <w:rFonts w:ascii="Garamond" w:eastAsia="Garamond" w:hAnsi="Garamond" w:cs="Garamond"/>
        <w:color w:val="000000"/>
        <w:sz w:val="15"/>
        <w:szCs w:val="15"/>
      </w:rPr>
    </w:pPr>
    <w:r>
      <w:rPr>
        <w:noProof/>
      </w:rPr>
      <w:drawing>
        <wp:anchor distT="0" distB="0" distL="114300" distR="114300" simplePos="0" relativeHeight="251659264" behindDoc="0" locked="0" layoutInCell="1" hidden="0" allowOverlap="1" wp14:anchorId="202B39ED" wp14:editId="355A036D">
          <wp:simplePos x="0" y="0"/>
          <wp:positionH relativeFrom="column">
            <wp:posOffset>5463540</wp:posOffset>
          </wp:positionH>
          <wp:positionV relativeFrom="paragraph">
            <wp:posOffset>0</wp:posOffset>
          </wp:positionV>
          <wp:extent cx="838200" cy="298450"/>
          <wp:effectExtent l="0" t="0" r="0" b="0"/>
          <wp:wrapSquare wrapText="bothSides" distT="0" distB="0" distL="114300" distR="114300"/>
          <wp:docPr id="7" name="image1.png" descr="Creative Commons License"/>
          <wp:cNvGraphicFramePr/>
          <a:graphic xmlns:a="http://schemas.openxmlformats.org/drawingml/2006/main">
            <a:graphicData uri="http://schemas.openxmlformats.org/drawingml/2006/picture">
              <pic:pic xmlns:pic="http://schemas.openxmlformats.org/drawingml/2006/picture">
                <pic:nvPicPr>
                  <pic:cNvPr id="0" name="image1.png" descr="Creative Commons License"/>
                  <pic:cNvPicPr preferRelativeResize="0"/>
                </pic:nvPicPr>
                <pic:blipFill>
                  <a:blip r:embed="rId1"/>
                  <a:srcRect/>
                  <a:stretch>
                    <a:fillRect/>
                  </a:stretch>
                </pic:blipFill>
                <pic:spPr>
                  <a:xfrm>
                    <a:off x="0" y="0"/>
                    <a:ext cx="838200" cy="298450"/>
                  </a:xfrm>
                  <a:prstGeom prst="rect">
                    <a:avLst/>
                  </a:prstGeom>
                  <a:ln/>
                </pic:spPr>
              </pic:pic>
            </a:graphicData>
          </a:graphic>
        </wp:anchor>
      </w:drawing>
    </w:r>
  </w:p>
  <w:p w14:paraId="654C5FF8" w14:textId="77777777" w:rsidR="00EE22EF" w:rsidRDefault="00000000">
    <w:pPr>
      <w:ind w:left="142"/>
      <w:rPr>
        <w:rFonts w:ascii="Garamond" w:eastAsia="Garamond" w:hAnsi="Garamond" w:cs="Garamond"/>
        <w:color w:val="000000"/>
        <w:sz w:val="15"/>
        <w:szCs w:val="15"/>
      </w:rPr>
    </w:pPr>
    <w:r>
      <w:rPr>
        <w:rFonts w:ascii="Garamond" w:eastAsia="Garamond" w:hAnsi="Garamond" w:cs="Garamond"/>
        <w:color w:val="000000"/>
        <w:sz w:val="15"/>
        <w:szCs w:val="15"/>
      </w:rPr>
      <w:t xml:space="preserve">Pp. </w:t>
    </w:r>
    <w:r>
      <w:rPr>
        <w:rFonts w:ascii="Garamond" w:eastAsia="Garamond" w:hAnsi="Garamond" w:cs="Garamond"/>
        <w:sz w:val="15"/>
        <w:szCs w:val="15"/>
      </w:rPr>
      <w:t xml:space="preserve">105 </w:t>
    </w:r>
    <w:r>
      <w:rPr>
        <w:rFonts w:ascii="Garamond" w:eastAsia="Garamond" w:hAnsi="Garamond" w:cs="Garamond"/>
        <w:color w:val="000000"/>
        <w:sz w:val="15"/>
        <w:szCs w:val="15"/>
      </w:rPr>
      <w:t xml:space="preserve">– </w:t>
    </w:r>
    <w:r>
      <w:rPr>
        <w:rFonts w:ascii="Garamond" w:eastAsia="Garamond" w:hAnsi="Garamond" w:cs="Garamond"/>
        <w:sz w:val="15"/>
        <w:szCs w:val="15"/>
      </w:rPr>
      <w:t>p</w:t>
    </w:r>
    <w:r>
      <w:rPr>
        <w:rFonts w:ascii="Garamond" w:eastAsia="Garamond" w:hAnsi="Garamond" w:cs="Garamond"/>
        <w:color w:val="000000"/>
        <w:sz w:val="15"/>
        <w:szCs w:val="15"/>
      </w:rPr>
      <w:t xml:space="preserve">p. </w:t>
    </w:r>
    <w:r>
      <w:rPr>
        <w:rFonts w:ascii="Garamond" w:eastAsia="Garamond" w:hAnsi="Garamond" w:cs="Garamond"/>
        <w:sz w:val="15"/>
        <w:szCs w:val="15"/>
      </w:rPr>
      <w:t>109</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22EF"/>
    <w:rsid w:val="00905BF8"/>
    <w:rsid w:val="009B579A"/>
    <w:rsid w:val="00E62AB9"/>
    <w:rsid w:val="00EE22EF"/>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decimalSymbol w:val=","/>
  <w:listSeparator w:val=";"/>
  <w14:docId w14:val="6DFD5D35"/>
  <w15:docId w15:val="{FD4A488A-93A4-46D9-B5F0-BF96F3B64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4"/>
        <w:szCs w:val="24"/>
        <w:lang w:val="es-419" w:eastAsia="es-V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tabs>
        <w:tab w:val="left" w:pos="284"/>
      </w:tabs>
      <w:spacing w:after="120" w:line="360" w:lineRule="auto"/>
      <w:jc w:val="both"/>
      <w:outlineLvl w:val="0"/>
    </w:pPr>
    <w:rPr>
      <w:rFonts w:ascii="Garamond" w:eastAsia="Garamond" w:hAnsi="Garamond" w:cs="Garamond"/>
      <w:b/>
      <w:sz w:val="22"/>
      <w:szCs w:val="22"/>
    </w:rPr>
  </w:style>
  <w:style w:type="paragraph" w:styleId="Ttulo2">
    <w:name w:val="heading 2"/>
    <w:basedOn w:val="Normal"/>
    <w:next w:val="Normal"/>
    <w:uiPriority w:val="9"/>
    <w:semiHidden/>
    <w:unhideWhenUsed/>
    <w:qFormat/>
    <w:pPr>
      <w:keepNext/>
      <w:keepLines/>
      <w:spacing w:before="200"/>
      <w:outlineLvl w:val="1"/>
    </w:pPr>
    <w:rPr>
      <w:b/>
      <w:color w:val="4472C4"/>
      <w:sz w:val="26"/>
      <w:szCs w:val="26"/>
    </w:rPr>
  </w:style>
  <w:style w:type="paragraph" w:styleId="Ttulo3">
    <w:name w:val="heading 3"/>
    <w:basedOn w:val="Normal"/>
    <w:next w:val="Normal"/>
    <w:uiPriority w:val="9"/>
    <w:semiHidden/>
    <w:unhideWhenUsed/>
    <w:qFormat/>
    <w:pPr>
      <w:keepNext/>
      <w:keepLines/>
      <w:spacing w:after="120" w:line="360" w:lineRule="auto"/>
      <w:ind w:firstLine="284"/>
      <w:jc w:val="both"/>
      <w:outlineLvl w:val="2"/>
    </w:pPr>
    <w:rPr>
      <w:rFonts w:ascii="Garamond" w:eastAsia="Garamond" w:hAnsi="Garamond" w:cs="Garamond"/>
      <w:sz w:val="22"/>
      <w:szCs w:val="22"/>
    </w:rPr>
  </w:style>
  <w:style w:type="paragraph" w:styleId="Ttulo4">
    <w:name w:val="heading 4"/>
    <w:basedOn w:val="Normal"/>
    <w:next w:val="Normal"/>
    <w:uiPriority w:val="9"/>
    <w:semiHidden/>
    <w:unhideWhenUsed/>
    <w:qFormat/>
    <w:pPr>
      <w:keepNext/>
      <w:keepLines/>
      <w:spacing w:after="120"/>
      <w:ind w:left="709" w:right="709"/>
      <w:jc w:val="both"/>
      <w:outlineLvl w:val="3"/>
    </w:pPr>
    <w:rPr>
      <w:rFonts w:ascii="Garamond" w:eastAsia="Garamond" w:hAnsi="Garamond" w:cs="Garamond"/>
      <w:sz w:val="20"/>
      <w:szCs w:val="20"/>
    </w:rPr>
  </w:style>
  <w:style w:type="paragraph" w:styleId="Ttulo5">
    <w:name w:val="heading 5"/>
    <w:basedOn w:val="Normal"/>
    <w:next w:val="Normal"/>
    <w:uiPriority w:val="9"/>
    <w:semiHidden/>
    <w:unhideWhenUsed/>
    <w:qFormat/>
    <w:pPr>
      <w:keepNext/>
      <w:keepLines/>
      <w:spacing w:after="120"/>
      <w:ind w:left="284"/>
      <w:jc w:val="both"/>
      <w:outlineLvl w:val="4"/>
    </w:pPr>
    <w:rPr>
      <w:rFonts w:ascii="Garamond" w:eastAsia="Garamond" w:hAnsi="Garamond" w:cs="Garamond"/>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pPr>
    <w:rPr>
      <w:rFonts w:ascii="Garamond" w:eastAsia="Garamond" w:hAnsi="Garamond" w:cs="Garamond"/>
      <w:b/>
      <w:sz w:val="32"/>
      <w:szCs w:val="32"/>
    </w:rPr>
  </w:style>
  <w:style w:type="paragraph" w:styleId="Subttulo">
    <w:name w:val="Subtitle"/>
    <w:basedOn w:val="Normal"/>
    <w:next w:val="Normal"/>
    <w:uiPriority w:val="11"/>
    <w:qFormat/>
    <w:pPr>
      <w:keepNext/>
      <w:keepLines/>
      <w:tabs>
        <w:tab w:val="left" w:pos="284"/>
      </w:tabs>
      <w:spacing w:after="120" w:line="360" w:lineRule="auto"/>
      <w:jc w:val="both"/>
    </w:pPr>
    <w:rPr>
      <w:rFonts w:ascii="Garamond" w:eastAsia="Garamond" w:hAnsi="Garamond" w:cs="Garamond"/>
      <w:b/>
    </w:rPr>
  </w:style>
  <w:style w:type="paragraph" w:styleId="Encabezado">
    <w:name w:val="header"/>
    <w:basedOn w:val="Normal"/>
    <w:link w:val="EncabezadoCar"/>
    <w:uiPriority w:val="99"/>
    <w:unhideWhenUsed/>
    <w:rsid w:val="009B579A"/>
    <w:pPr>
      <w:tabs>
        <w:tab w:val="center" w:pos="4419"/>
        <w:tab w:val="right" w:pos="8838"/>
      </w:tabs>
    </w:pPr>
  </w:style>
  <w:style w:type="character" w:customStyle="1" w:styleId="EncabezadoCar">
    <w:name w:val="Encabezado Car"/>
    <w:basedOn w:val="Fuentedeprrafopredeter"/>
    <w:link w:val="Encabezado"/>
    <w:uiPriority w:val="99"/>
    <w:rsid w:val="009B57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www.who.int/publications/i/item/9789240050860" TargetMode="External"/><Relationship Id="rId13" Type="http://schemas.openxmlformats.org/officeDocument/2006/relationships/hyperlink" Target="https://www.un.org/es/cr%C3%B3nica-onu/estado-de-la-salud-mental-tras-la-pandemia-del-covid-19-y-progreso-de-la-iniciativa" TargetMode="External"/><Relationship Id="rId18" Type="http://schemas.openxmlformats.org/officeDocument/2006/relationships/footer" Target="footer2.xm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tinyurl.com/bded5e8c" TargetMode="External"/><Relationship Id="rId12" Type="http://schemas.openxmlformats.org/officeDocument/2006/relationships/hyperlink" Target="https://elucabista.com/2023/03/01/psicodata-venezuela-81-de-la-poblacion-siente-desconfianza-del-otro/" TargetMode="External"/><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www.cepal.org/es/comunicados/tasas-pobreza-america-latina-se-mantienen-2022-encima-niveles-prepandemia-alerta-la"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image" Target="media/image2.jpg"/><Relationship Id="rId19"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hyperlink" Target="http://www.who.int/es/" TargetMode="External"/><Relationship Id="rId14" Type="http://schemas.openxmlformats.org/officeDocument/2006/relationships/hyperlink" Target="https://news.un.org/es/story/2023/02/1518852"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_rels/footnotes.xml.rels><?xml version="1.0" encoding="UTF-8" standalone="yes"?>
<Relationships xmlns="http://schemas.openxmlformats.org/package/2006/relationships"><Relationship Id="rId1" Type="http://schemas.openxmlformats.org/officeDocument/2006/relationships/hyperlink" Target="https://orcid.org/0009-0005-5350-5998"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1611</Words>
  <Characters>8863</Characters>
  <Application>Microsoft Office Word</Application>
  <DocSecurity>0</DocSecurity>
  <Lines>73</Lines>
  <Paragraphs>20</Paragraphs>
  <ScaleCrop>false</ScaleCrop>
  <Company/>
  <LinksUpToDate>false</LinksUpToDate>
  <CharactersWithSpaces>10454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Oscar Núñez</cp:lastModifiedBy>
  <cp:revision>2</cp:revision>
  <dcterms:created xsi:type="dcterms:W3CDTF">2024-07-25T17:47:00Z</dcterms:created>
  <dcterms:modified xsi:type="dcterms:W3CDTF">2024-07-25T17:47:00Z</dcterms:modified>
</cp:coreProperties>
</file>