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4BB37" w14:textId="77777777" w:rsidR="006606E0" w:rsidRDefault="006606E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rPr>
      </w:pPr>
    </w:p>
    <w:p w14:paraId="25AD63D5" w14:textId="3FAF8A65" w:rsidR="004B311C" w:rsidRPr="004B516D" w:rsidRDefault="004B516D">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sz w:val="20"/>
          <w:szCs w:val="20"/>
          <w:lang w:val="en-US"/>
        </w:rPr>
      </w:pPr>
      <w:r>
        <w:rPr>
          <w:rFonts w:ascii="EB Garamond" w:eastAsia="EB Garamond" w:hAnsi="EB Garamond" w:cs="EB Garamond"/>
          <w:lang w:val="en-US"/>
        </w:rPr>
        <w:t>Ark</w:t>
      </w:r>
      <w:r w:rsidR="00FF6F5A" w:rsidRPr="004B516D">
        <w:rPr>
          <w:rFonts w:ascii="EB Garamond" w:eastAsia="EB Garamond" w:hAnsi="EB Garamond" w:cs="EB Garamond"/>
          <w:sz w:val="20"/>
          <w:szCs w:val="20"/>
          <w:lang w:val="en-US"/>
        </w:rPr>
        <w:t>:</w:t>
      </w:r>
      <w:hyperlink r:id="rId9" w:history="1">
        <w:r w:rsidR="006606E0" w:rsidRPr="004B516D">
          <w:rPr>
            <w:rStyle w:val="Hipervnculo"/>
            <w:rFonts w:ascii="EB Garamond" w:eastAsia="EB Garamond" w:hAnsi="EB Garamond" w:cs="EB Garamond"/>
            <w:sz w:val="20"/>
            <w:szCs w:val="20"/>
            <w:lang w:val="en-US"/>
          </w:rPr>
          <w:t xml:space="preserve"> </w:t>
        </w:r>
        <w:r w:rsidRPr="004B516D">
          <w:rPr>
            <w:rStyle w:val="Hipervnculo"/>
            <w:rFonts w:ascii="Cambria Math"/>
            <w:spacing w:val="-2"/>
            <w:lang w:val="en-US"/>
          </w:rPr>
          <w:t>https://n2t.net/ark:/87558/tekhne.2</w:t>
        </w:r>
        <w:r w:rsidRPr="004B516D">
          <w:rPr>
            <w:rStyle w:val="Hipervnculo"/>
            <w:rFonts w:ascii="Cambria Math"/>
            <w:spacing w:val="-2"/>
            <w:lang w:val="en-US"/>
          </w:rPr>
          <w:t>9</w:t>
        </w:r>
        <w:r w:rsidRPr="004B516D">
          <w:rPr>
            <w:rStyle w:val="Hipervnculo"/>
            <w:rFonts w:ascii="Cambria Math"/>
            <w:spacing w:val="-2"/>
            <w:lang w:val="en-US"/>
          </w:rPr>
          <w:t>.</w:t>
        </w:r>
        <w:r w:rsidRPr="004B516D">
          <w:rPr>
            <w:rStyle w:val="Hipervnculo"/>
            <w:rFonts w:ascii="Cambria Math"/>
            <w:spacing w:val="-2"/>
            <w:lang w:val="en-US"/>
          </w:rPr>
          <w:t>1</w:t>
        </w:r>
        <w:r w:rsidRPr="004B516D">
          <w:rPr>
            <w:rStyle w:val="Hipervnculo"/>
            <w:rFonts w:ascii="Cambria Math"/>
            <w:spacing w:val="-2"/>
            <w:lang w:val="en-US"/>
          </w:rPr>
          <w:t>.1</w:t>
        </w:r>
      </w:hyperlink>
    </w:p>
    <w:p w14:paraId="07DBB255" w14:textId="37EA4F9B" w:rsidR="004B311C" w:rsidRPr="00D6514A" w:rsidRDefault="00002F41" w:rsidP="00CD0546">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bookmarkStart w:id="0" w:name="_heading=h.am2p03d3bflo" w:colFirst="0" w:colLast="0"/>
      <w:bookmarkStart w:id="1" w:name="_heading=h.76g0wdudesth" w:colFirst="0" w:colLast="0"/>
      <w:bookmarkEnd w:id="0"/>
      <w:bookmarkEnd w:id="1"/>
      <w:r w:rsidRPr="00D6514A">
        <w:rPr>
          <w:rFonts w:ascii="EB Garamond" w:eastAsia="EB Garamond" w:hAnsi="EB Garamond" w:cs="EB Garamond"/>
          <w:b/>
          <w:sz w:val="32"/>
          <w:szCs w:val="32"/>
        </w:rPr>
        <w:t>A</w:t>
      </w:r>
      <w:r w:rsidR="001729A7">
        <w:rPr>
          <w:rFonts w:ascii="EB Garamond" w:eastAsia="EB Garamond" w:hAnsi="EB Garamond" w:cs="EB Garamond"/>
          <w:b/>
          <w:sz w:val="32"/>
          <w:szCs w:val="32"/>
        </w:rPr>
        <w:t>nálisis Comparativo de Metodologías para la Predicción de Propiedades Mecánicas de Materiales Compuestos</w:t>
      </w:r>
    </w:p>
    <w:p w14:paraId="12551317" w14:textId="77777777" w:rsidR="004B311C" w:rsidRPr="001729A7" w:rsidRDefault="00CD0546">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i/>
          <w:sz w:val="28"/>
          <w:szCs w:val="28"/>
        </w:rPr>
      </w:pPr>
      <w:bookmarkStart w:id="2" w:name="_heading=h.i8oqme96u6rs" w:colFirst="0" w:colLast="0"/>
      <w:bookmarkEnd w:id="2"/>
      <w:r w:rsidRPr="001729A7">
        <w:rPr>
          <w:rFonts w:ascii="EB Garamond" w:eastAsia="EB Garamond" w:hAnsi="EB Garamond" w:cs="EB Garamond"/>
          <w:bCs/>
          <w:i/>
          <w:sz w:val="28"/>
          <w:szCs w:val="28"/>
        </w:rPr>
        <w:t>Sergio Gomez</w:t>
      </w:r>
      <w:r w:rsidR="00FF6F5A" w:rsidRPr="001729A7">
        <w:rPr>
          <w:rFonts w:ascii="EB Garamond" w:eastAsia="EB Garamond" w:hAnsi="EB Garamond" w:cs="EB Garamond"/>
          <w:bCs/>
          <w:i/>
          <w:sz w:val="28"/>
          <w:szCs w:val="28"/>
          <w:vertAlign w:val="superscript"/>
        </w:rPr>
        <w:t>1</w:t>
      </w:r>
    </w:p>
    <w:p w14:paraId="64CA1346" w14:textId="77777777" w:rsidR="004B311C" w:rsidRPr="001729A7" w:rsidRDefault="00CD0546">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sz w:val="26"/>
          <w:szCs w:val="26"/>
        </w:rPr>
      </w:pPr>
      <w:bookmarkStart w:id="3" w:name="_heading=h.kjkmih2k26mo" w:colFirst="0" w:colLast="0"/>
      <w:bookmarkEnd w:id="3"/>
      <w:r w:rsidRPr="001729A7">
        <w:rPr>
          <w:rFonts w:ascii="EB Garamond" w:eastAsia="EB Garamond" w:hAnsi="EB Garamond" w:cs="EB Garamond"/>
          <w:sz w:val="26"/>
          <w:szCs w:val="26"/>
        </w:rPr>
        <w:t>sergio.gomezs@upb.edu.co</w:t>
      </w:r>
      <w:r w:rsidR="00FF6F5A" w:rsidRPr="001729A7">
        <w:rPr>
          <w:rFonts w:ascii="EB Garamond" w:eastAsia="EB Garamond" w:hAnsi="EB Garamond" w:cs="EB Garamond"/>
          <w:sz w:val="26"/>
          <w:szCs w:val="26"/>
          <w:vertAlign w:val="superscript"/>
        </w:rPr>
        <w:t>1</w:t>
      </w:r>
    </w:p>
    <w:p w14:paraId="37524DEE" w14:textId="77777777" w:rsidR="004B311C" w:rsidRPr="001729A7" w:rsidRDefault="006556F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sz w:val="26"/>
          <w:szCs w:val="26"/>
        </w:rPr>
      </w:pPr>
      <w:bookmarkStart w:id="4" w:name="_heading=h.adjw97ow82e8" w:colFirst="0" w:colLast="0"/>
      <w:bookmarkEnd w:id="4"/>
      <w:r w:rsidRPr="001729A7">
        <w:rPr>
          <w:rFonts w:ascii="EB Garamond" w:eastAsia="EB Garamond" w:hAnsi="EB Garamond" w:cs="EB Garamond"/>
          <w:sz w:val="26"/>
          <w:szCs w:val="26"/>
        </w:rPr>
        <w:t>https://orcid.org/0000-0002-6425-7062</w:t>
      </w:r>
      <w:r w:rsidR="00FF6F5A" w:rsidRPr="001729A7">
        <w:rPr>
          <w:rFonts w:ascii="EB Garamond" w:eastAsia="EB Garamond" w:hAnsi="EB Garamond" w:cs="EB Garamond"/>
          <w:sz w:val="26"/>
          <w:szCs w:val="26"/>
          <w:vertAlign w:val="superscript"/>
        </w:rPr>
        <w:t>1</w:t>
      </w:r>
    </w:p>
    <w:p w14:paraId="6B8473B5" w14:textId="41040DC8" w:rsidR="004B311C" w:rsidRPr="001729A7" w:rsidRDefault="006556F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
          <w:sz w:val="26"/>
          <w:szCs w:val="26"/>
          <w:vertAlign w:val="superscript"/>
        </w:rPr>
      </w:pPr>
      <w:bookmarkStart w:id="5" w:name="_heading=h.8genfpvnxq5" w:colFirst="0" w:colLast="0"/>
      <w:bookmarkEnd w:id="5"/>
      <w:r w:rsidRPr="001729A7">
        <w:rPr>
          <w:rFonts w:ascii="EB Garamond" w:eastAsia="EB Garamond" w:hAnsi="EB Garamond" w:cs="EB Garamond"/>
          <w:sz w:val="26"/>
          <w:szCs w:val="26"/>
        </w:rPr>
        <w:t>Universidad Pontificia Bolivariana, Colombi</w:t>
      </w:r>
      <w:r w:rsidR="002D38F6" w:rsidRPr="001729A7">
        <w:rPr>
          <w:rFonts w:ascii="EB Garamond" w:eastAsia="EB Garamond" w:hAnsi="EB Garamond" w:cs="EB Garamond"/>
          <w:sz w:val="26"/>
          <w:szCs w:val="26"/>
        </w:rPr>
        <w:t xml:space="preserve">a; Universidad Católica </w:t>
      </w:r>
      <w:r w:rsidR="004100A1" w:rsidRPr="001729A7">
        <w:rPr>
          <w:rFonts w:ascii="EB Garamond" w:eastAsia="EB Garamond" w:hAnsi="EB Garamond" w:cs="EB Garamond"/>
          <w:sz w:val="26"/>
          <w:szCs w:val="26"/>
        </w:rPr>
        <w:t>Andrés</w:t>
      </w:r>
      <w:r w:rsidR="002D38F6" w:rsidRPr="001729A7">
        <w:rPr>
          <w:rFonts w:ascii="EB Garamond" w:eastAsia="EB Garamond" w:hAnsi="EB Garamond" w:cs="EB Garamond"/>
          <w:sz w:val="26"/>
          <w:szCs w:val="26"/>
        </w:rPr>
        <w:t xml:space="preserve"> B</w:t>
      </w:r>
      <w:r w:rsidRPr="001729A7">
        <w:rPr>
          <w:rFonts w:ascii="EB Garamond" w:eastAsia="EB Garamond" w:hAnsi="EB Garamond" w:cs="EB Garamond"/>
          <w:sz w:val="26"/>
          <w:szCs w:val="26"/>
        </w:rPr>
        <w:t>ello, Venezuela</w:t>
      </w:r>
      <w:r w:rsidR="00FF6F5A" w:rsidRPr="00D156DB">
        <w:rPr>
          <w:rFonts w:ascii="EB Garamond" w:eastAsia="EB Garamond" w:hAnsi="EB Garamond" w:cs="EB Garamond"/>
          <w:bCs/>
          <w:sz w:val="26"/>
          <w:szCs w:val="26"/>
          <w:vertAlign w:val="superscript"/>
        </w:rPr>
        <w:t>1</w:t>
      </w:r>
    </w:p>
    <w:p w14:paraId="5357D533" w14:textId="77777777" w:rsidR="004B311C" w:rsidRPr="00D6514A" w:rsidRDefault="00FF6F5A" w:rsidP="00002F4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
          <w:sz w:val="28"/>
          <w:szCs w:val="28"/>
        </w:rPr>
      </w:pPr>
      <w:r w:rsidRPr="00D6514A">
        <w:rPr>
          <w:noProof/>
          <w:lang w:val="es-CO"/>
        </w:rPr>
        <mc:AlternateContent>
          <mc:Choice Requires="wps">
            <w:drawing>
              <wp:anchor distT="0" distB="0" distL="114300" distR="114300" simplePos="0" relativeHeight="251658240" behindDoc="0" locked="0" layoutInCell="1" hidden="0" allowOverlap="1" wp14:anchorId="625E087F" wp14:editId="18764EE1">
                <wp:simplePos x="0" y="0"/>
                <wp:positionH relativeFrom="column">
                  <wp:posOffset>37042</wp:posOffset>
                </wp:positionH>
                <wp:positionV relativeFrom="paragraph">
                  <wp:posOffset>167218</wp:posOffset>
                </wp:positionV>
                <wp:extent cx="6273165" cy="2675466"/>
                <wp:effectExtent l="0" t="0" r="28575" b="10795"/>
                <wp:wrapNone/>
                <wp:docPr id="13" name="Rectángulo 13"/>
                <wp:cNvGraphicFramePr/>
                <a:graphic xmlns:a="http://schemas.openxmlformats.org/drawingml/2006/main">
                  <a:graphicData uri="http://schemas.microsoft.com/office/word/2010/wordprocessingShape">
                    <wps:wsp>
                      <wps:cNvSpPr/>
                      <wps:spPr>
                        <a:xfrm>
                          <a:off x="0" y="0"/>
                          <a:ext cx="6273165" cy="2675466"/>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3DDB6D6A" w14:textId="77777777" w:rsidR="004B311C" w:rsidRDefault="00FF6F5A">
                            <w:pPr>
                              <w:textDirection w:val="btLr"/>
                            </w:pPr>
                            <w:r>
                              <w:rPr>
                                <w:rFonts w:ascii="EB Garamond" w:eastAsia="EB Garamond" w:hAnsi="EB Garamond" w:cs="EB Garamond"/>
                                <w:b/>
                                <w:color w:val="000000"/>
                              </w:rPr>
                              <w:t>Resumen</w:t>
                            </w:r>
                          </w:p>
                          <w:p w14:paraId="26014384" w14:textId="40A22ECE" w:rsidR="00CD0546" w:rsidRPr="00B173C9" w:rsidRDefault="00CD0546" w:rsidP="00B173C9">
                            <w:pPr>
                              <w:ind w:right="364"/>
                              <w:jc w:val="both"/>
                              <w:textDirection w:val="btLr"/>
                              <w:rPr>
                                <w:rFonts w:ascii="EB Garamond" w:eastAsia="EB Garamond" w:hAnsi="EB Garamond" w:cs="EB Garamond"/>
                                <w:sz w:val="19"/>
                                <w:szCs w:val="19"/>
                              </w:rPr>
                            </w:pPr>
                            <w:r w:rsidRPr="00B173C9">
                              <w:rPr>
                                <w:rFonts w:ascii="EB Garamond" w:eastAsia="EB Garamond" w:hAnsi="EB Garamond" w:cs="EB Garamond"/>
                                <w:sz w:val="19"/>
                                <w:szCs w:val="19"/>
                              </w:rPr>
                              <w:t xml:space="preserve">La predicción precisa de las propiedades mecánicas de los materiales compuestos representa un desafío técnico significativo, debido a su compleja estructura interna y a la amplia variedad de combinaciones posibles entre matrices y refuerzos. Este trabajo tiene como objetivo analizar y comparar las principales metodologías empleadas para este propósito, agrupándolas según su enfoque. </w:t>
                            </w:r>
                            <w:r w:rsidR="000613C1" w:rsidRPr="00B173C9">
                              <w:rPr>
                                <w:rFonts w:ascii="EB Garamond" w:eastAsia="EB Garamond" w:hAnsi="EB Garamond" w:cs="EB Garamond"/>
                                <w:sz w:val="19"/>
                                <w:szCs w:val="19"/>
                              </w:rPr>
                              <w:t>El estudio</w:t>
                            </w:r>
                            <w:r w:rsidRPr="00B173C9">
                              <w:rPr>
                                <w:rFonts w:ascii="EB Garamond" w:eastAsia="EB Garamond" w:hAnsi="EB Garamond" w:cs="EB Garamond"/>
                                <w:sz w:val="19"/>
                                <w:szCs w:val="19"/>
                              </w:rPr>
                              <w:t xml:space="preserve"> se basó en una </w:t>
                            </w:r>
                            <w:r w:rsidR="00D01914" w:rsidRPr="00B173C9">
                              <w:rPr>
                                <w:rFonts w:ascii="EB Garamond" w:eastAsia="EB Garamond" w:hAnsi="EB Garamond" w:cs="EB Garamond"/>
                                <w:sz w:val="19"/>
                                <w:szCs w:val="19"/>
                              </w:rPr>
                              <w:t>revisión bibliográfica estructurada</w:t>
                            </w:r>
                            <w:r w:rsidR="007B6999" w:rsidRPr="00B173C9">
                              <w:rPr>
                                <w:rFonts w:ascii="EB Garamond" w:eastAsia="EB Garamond" w:hAnsi="EB Garamond" w:cs="EB Garamond"/>
                                <w:sz w:val="19"/>
                                <w:szCs w:val="19"/>
                              </w:rPr>
                              <w:t xml:space="preserve"> de la literatura publicada en el periodo</w:t>
                            </w:r>
                            <w:r w:rsidR="000C25F9" w:rsidRPr="00B173C9">
                              <w:rPr>
                                <w:rFonts w:ascii="EB Garamond" w:eastAsia="EB Garamond" w:hAnsi="EB Garamond" w:cs="EB Garamond"/>
                                <w:sz w:val="19"/>
                                <w:szCs w:val="19"/>
                              </w:rPr>
                              <w:t xml:space="preserve"> </w:t>
                            </w:r>
                            <w:r w:rsidR="007B6999" w:rsidRPr="00B173C9">
                              <w:rPr>
                                <w:rFonts w:ascii="EB Garamond" w:eastAsia="EB Garamond" w:hAnsi="EB Garamond" w:cs="EB Garamond"/>
                                <w:sz w:val="19"/>
                                <w:szCs w:val="19"/>
                              </w:rPr>
                              <w:t>2020-2024</w:t>
                            </w:r>
                            <w:r w:rsidRPr="00B173C9">
                              <w:rPr>
                                <w:rFonts w:ascii="EB Garamond" w:eastAsia="EB Garamond" w:hAnsi="EB Garamond" w:cs="EB Garamond"/>
                                <w:sz w:val="19"/>
                                <w:szCs w:val="19"/>
                              </w:rPr>
                              <w:t>, mediante la cual se identificaron y clasificaron las estrategias utilizadas en cuatro categorías: experimentales, analíticas, numéricas (particularmente el método de elementos finitos) y basadas en inteligencia artificial. Posteriormente, se realizó un análisis comparativo de sus beneficios y limitaciones, considerando criterios como precisión, costo, flexibilidad, requerimientos técnicos y capacidad predictiva. Los resultados muestran que, si bien los ensayos experimentales ofrecen alta fidelidad, presentan limitaciones en términos de costos y replicabilidad. Los modelos analíticos se destacan por su simplicidad y rapidez, aunque tienden a perder exactitud en sistemas más complejos. Las simulaciones numéricas permiten representar estructuras heterogéneas con gran detalle, pero demandan recursos computacionales significativos. Finalmente, los enfoques basados en inteligencia artificial demuestran un alto potencial para gestionar grandes volúmenes de datos y reconocer patrones complejos, aunque su eficacia depende en gran medida de la calidad y representatividad de los datos disponibles.</w:t>
                            </w:r>
                          </w:p>
                          <w:p w14:paraId="1987E7C9" w14:textId="77777777" w:rsidR="00CD0546" w:rsidRPr="00B173C9" w:rsidRDefault="00CD0546" w:rsidP="00CD0546">
                            <w:pPr>
                              <w:ind w:left="708" w:right="364" w:firstLine="708"/>
                              <w:jc w:val="both"/>
                              <w:textDirection w:val="btLr"/>
                              <w:rPr>
                                <w:rFonts w:ascii="EB Garamond" w:eastAsia="EB Garamond" w:hAnsi="EB Garamond" w:cs="EB Garamond"/>
                                <w:color w:val="000000"/>
                                <w:sz w:val="19"/>
                                <w:szCs w:val="19"/>
                              </w:rPr>
                            </w:pPr>
                          </w:p>
                          <w:p w14:paraId="0DD3D2C7" w14:textId="24ABE53C" w:rsidR="00CD0546" w:rsidRPr="00B173C9" w:rsidRDefault="00FF6F5A" w:rsidP="00CD0546">
                            <w:pPr>
                              <w:rPr>
                                <w:rFonts w:ascii="EB Garamond" w:eastAsia="EB Garamond" w:hAnsi="EB Garamond" w:cs="EB Garamond"/>
                                <w:color w:val="000000"/>
                                <w:sz w:val="19"/>
                                <w:szCs w:val="19"/>
                              </w:rPr>
                            </w:pPr>
                            <w:r w:rsidRPr="00B173C9">
                              <w:rPr>
                                <w:rFonts w:ascii="EB Garamond" w:eastAsia="EB Garamond" w:hAnsi="EB Garamond" w:cs="EB Garamond"/>
                                <w:color w:val="000000"/>
                                <w:sz w:val="19"/>
                                <w:szCs w:val="19"/>
                              </w:rPr>
                              <w:t>Palabras clave:</w:t>
                            </w:r>
                            <w:r w:rsidR="00CD0546" w:rsidRPr="00B173C9">
                              <w:rPr>
                                <w:rFonts w:ascii="EB Garamond" w:eastAsia="EB Garamond" w:hAnsi="EB Garamond" w:cs="EB Garamond"/>
                                <w:color w:val="000000"/>
                                <w:sz w:val="19"/>
                                <w:szCs w:val="19"/>
                              </w:rPr>
                              <w:t xml:space="preserve"> Elementos finitos, Inteligencia artificial, Materiales compuestos, Predicción, Propiedades mecánicas</w:t>
                            </w:r>
                          </w:p>
                          <w:p w14:paraId="1249DE15" w14:textId="77777777" w:rsidR="004B311C" w:rsidRDefault="004B311C">
                            <w:pPr>
                              <w:ind w:left="708" w:right="364" w:firstLine="708"/>
                              <w:jc w:val="both"/>
                              <w:textDirection w:val="btLr"/>
                            </w:pPr>
                          </w:p>
                          <w:p w14:paraId="36D9918A" w14:textId="77777777" w:rsidR="004B311C" w:rsidRDefault="004B311C">
                            <w:pPr>
                              <w:ind w:left="708" w:right="364" w:firstLine="708"/>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25E087F" id="Rectángulo 13" o:spid="_x0000_s1026" style="position:absolute;left:0;text-align:left;margin-left:2.9pt;margin-top:13.15pt;width:493.95pt;height:21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" fillcolor="white [3201]">
                <v:stroke startarrowwidth="narrow" startarrowlength="short" endarrowwidth="narrow" endarrowlength="short"/>
                <v:textbox inset="2.53958mm,1.2694mm,2.53958mm,1.2694mm">
                  <w:txbxContent>
                    <w:p w14:paraId="3DDB6D6A" w14:textId="77777777" w:rsidR="004B311C" w:rsidRDefault="00FF6F5A">
                      <w:pPr>
                        <w:textDirection w:val="btLr"/>
                      </w:pPr>
                      <w:r>
                        <w:rPr>
                          <w:rFonts w:ascii="EB Garamond" w:eastAsia="EB Garamond" w:hAnsi="EB Garamond" w:cs="EB Garamond"/>
                          <w:b/>
                          <w:color w:val="000000"/>
                        </w:rPr>
                        <w:t>Resumen</w:t>
                      </w:r>
                    </w:p>
                    <w:p w14:paraId="26014384" w14:textId="40A22ECE" w:rsidR="00CD0546" w:rsidRPr="00B173C9" w:rsidRDefault="00CD0546" w:rsidP="00B173C9">
                      <w:pPr>
                        <w:ind w:right="364"/>
                        <w:jc w:val="both"/>
                        <w:textDirection w:val="btLr"/>
                        <w:rPr>
                          <w:rFonts w:ascii="EB Garamond" w:eastAsia="EB Garamond" w:hAnsi="EB Garamond" w:cs="EB Garamond"/>
                          <w:sz w:val="19"/>
                          <w:szCs w:val="19"/>
                        </w:rPr>
                      </w:pPr>
                      <w:r w:rsidRPr="00B173C9">
                        <w:rPr>
                          <w:rFonts w:ascii="EB Garamond" w:eastAsia="EB Garamond" w:hAnsi="EB Garamond" w:cs="EB Garamond"/>
                          <w:sz w:val="19"/>
                          <w:szCs w:val="19"/>
                        </w:rPr>
                        <w:t xml:space="preserve">La predicción precisa de las propiedades mecánicas de los materiales compuestos representa un desafío técnico significativo, debido a su compleja estructura interna y a la amplia variedad de combinaciones posibles entre matrices y refuerzos. Este trabajo tiene como objetivo analizar y comparar las principales metodologías empleadas para este propósito, agrupándolas según su enfoque. </w:t>
                      </w:r>
                      <w:r w:rsidR="000613C1" w:rsidRPr="00B173C9">
                        <w:rPr>
                          <w:rFonts w:ascii="EB Garamond" w:eastAsia="EB Garamond" w:hAnsi="EB Garamond" w:cs="EB Garamond"/>
                          <w:sz w:val="19"/>
                          <w:szCs w:val="19"/>
                        </w:rPr>
                        <w:t>El estudio</w:t>
                      </w:r>
                      <w:r w:rsidRPr="00B173C9">
                        <w:rPr>
                          <w:rFonts w:ascii="EB Garamond" w:eastAsia="EB Garamond" w:hAnsi="EB Garamond" w:cs="EB Garamond"/>
                          <w:sz w:val="19"/>
                          <w:szCs w:val="19"/>
                        </w:rPr>
                        <w:t xml:space="preserve"> se basó en una </w:t>
                      </w:r>
                      <w:r w:rsidR="00D01914" w:rsidRPr="00B173C9">
                        <w:rPr>
                          <w:rFonts w:ascii="EB Garamond" w:eastAsia="EB Garamond" w:hAnsi="EB Garamond" w:cs="EB Garamond"/>
                          <w:sz w:val="19"/>
                          <w:szCs w:val="19"/>
                        </w:rPr>
                        <w:t>revisión bibliográfica estructurada</w:t>
                      </w:r>
                      <w:r w:rsidR="007B6999" w:rsidRPr="00B173C9">
                        <w:rPr>
                          <w:rFonts w:ascii="EB Garamond" w:eastAsia="EB Garamond" w:hAnsi="EB Garamond" w:cs="EB Garamond"/>
                          <w:sz w:val="19"/>
                          <w:szCs w:val="19"/>
                        </w:rPr>
                        <w:t xml:space="preserve"> de la literatura publicada en el periodo</w:t>
                      </w:r>
                      <w:r w:rsidR="000C25F9" w:rsidRPr="00B173C9">
                        <w:rPr>
                          <w:rFonts w:ascii="EB Garamond" w:eastAsia="EB Garamond" w:hAnsi="EB Garamond" w:cs="EB Garamond"/>
                          <w:sz w:val="19"/>
                          <w:szCs w:val="19"/>
                        </w:rPr>
                        <w:t xml:space="preserve"> </w:t>
                      </w:r>
                      <w:r w:rsidR="007B6999" w:rsidRPr="00B173C9">
                        <w:rPr>
                          <w:rFonts w:ascii="EB Garamond" w:eastAsia="EB Garamond" w:hAnsi="EB Garamond" w:cs="EB Garamond"/>
                          <w:sz w:val="19"/>
                          <w:szCs w:val="19"/>
                        </w:rPr>
                        <w:t>2020-2024</w:t>
                      </w:r>
                      <w:r w:rsidRPr="00B173C9">
                        <w:rPr>
                          <w:rFonts w:ascii="EB Garamond" w:eastAsia="EB Garamond" w:hAnsi="EB Garamond" w:cs="EB Garamond"/>
                          <w:sz w:val="19"/>
                          <w:szCs w:val="19"/>
                        </w:rPr>
                        <w:t>, mediante la cual se identificaron y clasificaron las estrategias utilizadas en cuatro categorías: experimentales, analíticas, numéricas (particularmente el método de elementos finitos) y basadas en inteligencia artificial. Posteriormente, se realizó un análisis comparativo de sus beneficios y limitaciones, considerando criterios como precisión, costo, flexibilidad, requerimientos técnicos y capacidad predictiva. Los resultados muestran que, si bien los ensayos experimentales ofrecen alta fidelidad, presentan limitaciones en términos de costos y replicabilidad. Los modelos analíticos se destacan por su simplicidad y rapidez, aunque tienden a perder exactitud en sistemas más complejos. Las simulaciones numéricas permiten representar estructuras heterogéneas con gran detalle, pero demandan recursos computacionales significativos. Finalmente, los enfoques basados en inteligencia artificial demuestran un alto potencial para gestionar grandes volúmenes de datos y reconocer patrones complejos, aunque su eficacia depende en gran medida de la calidad y representatividad de los datos disponibles.</w:t>
                      </w:r>
                    </w:p>
                    <w:p w14:paraId="1987E7C9" w14:textId="77777777" w:rsidR="00CD0546" w:rsidRPr="00B173C9" w:rsidRDefault="00CD0546" w:rsidP="00CD0546">
                      <w:pPr>
                        <w:ind w:left="708" w:right="364" w:firstLine="708"/>
                        <w:jc w:val="both"/>
                        <w:textDirection w:val="btLr"/>
                        <w:rPr>
                          <w:rFonts w:ascii="EB Garamond" w:eastAsia="EB Garamond" w:hAnsi="EB Garamond" w:cs="EB Garamond"/>
                          <w:color w:val="000000"/>
                          <w:sz w:val="19"/>
                          <w:szCs w:val="19"/>
                        </w:rPr>
                      </w:pPr>
                    </w:p>
                    <w:p w14:paraId="0DD3D2C7" w14:textId="24ABE53C" w:rsidR="00CD0546" w:rsidRPr="00B173C9" w:rsidRDefault="00FF6F5A" w:rsidP="00CD0546">
                      <w:pPr>
                        <w:rPr>
                          <w:rFonts w:ascii="EB Garamond" w:eastAsia="EB Garamond" w:hAnsi="EB Garamond" w:cs="EB Garamond"/>
                          <w:color w:val="000000"/>
                          <w:sz w:val="19"/>
                          <w:szCs w:val="19"/>
                        </w:rPr>
                      </w:pPr>
                      <w:r w:rsidRPr="00B173C9">
                        <w:rPr>
                          <w:rFonts w:ascii="EB Garamond" w:eastAsia="EB Garamond" w:hAnsi="EB Garamond" w:cs="EB Garamond"/>
                          <w:color w:val="000000"/>
                          <w:sz w:val="19"/>
                          <w:szCs w:val="19"/>
                        </w:rPr>
                        <w:t>Palabras clave:</w:t>
                      </w:r>
                      <w:r w:rsidR="00CD0546" w:rsidRPr="00B173C9">
                        <w:rPr>
                          <w:rFonts w:ascii="EB Garamond" w:eastAsia="EB Garamond" w:hAnsi="EB Garamond" w:cs="EB Garamond"/>
                          <w:color w:val="000000"/>
                          <w:sz w:val="19"/>
                          <w:szCs w:val="19"/>
                        </w:rPr>
                        <w:t xml:space="preserve"> Elementos finitos, Inteligencia artificial, Materiales compuestos, Predicción, Propiedades mecánicas</w:t>
                      </w:r>
                    </w:p>
                    <w:p w14:paraId="1249DE15" w14:textId="77777777" w:rsidR="004B311C" w:rsidRDefault="004B311C">
                      <w:pPr>
                        <w:ind w:left="708" w:right="364" w:firstLine="708"/>
                        <w:jc w:val="both"/>
                        <w:textDirection w:val="btLr"/>
                      </w:pPr>
                    </w:p>
                    <w:p w14:paraId="36D9918A" w14:textId="77777777" w:rsidR="004B311C" w:rsidRDefault="004B311C">
                      <w:pPr>
                        <w:ind w:left="708" w:right="364" w:firstLine="708"/>
                        <w:jc w:val="both"/>
                        <w:textDirection w:val="btLr"/>
                      </w:pPr>
                    </w:p>
                  </w:txbxContent>
                </v:textbox>
              </v:rect>
            </w:pict>
          </mc:Fallback>
        </mc:AlternateContent>
      </w:r>
    </w:p>
    <w:p w14:paraId="53B120AA"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4D3F092D"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064FE103"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4177E584"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2FACBFFD"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114E07E2"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79911AB3"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4EBA4EAC"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C68E9E2" w14:textId="77777777" w:rsidR="004B311C" w:rsidRPr="00D6514A" w:rsidRDefault="004B311C"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28"/>
          <w:szCs w:val="28"/>
        </w:rPr>
      </w:pPr>
    </w:p>
    <w:p w14:paraId="3FE1754B" w14:textId="77777777" w:rsidR="006556F0" w:rsidRPr="00D6514A" w:rsidRDefault="006556F0"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CO"/>
        </w:rPr>
      </w:pPr>
    </w:p>
    <w:p w14:paraId="475D9131" w14:textId="77777777" w:rsidR="006556F0" w:rsidRPr="00D6514A" w:rsidRDefault="006556F0"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CO"/>
        </w:rPr>
      </w:pPr>
    </w:p>
    <w:p w14:paraId="6B97E18F" w14:textId="77777777" w:rsidR="006556F0" w:rsidRPr="00D6514A" w:rsidRDefault="006556F0"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CO"/>
        </w:rPr>
      </w:pPr>
    </w:p>
    <w:p w14:paraId="3CB52635" w14:textId="77777777" w:rsidR="000007B3" w:rsidRDefault="000007B3"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CO"/>
        </w:rPr>
      </w:pPr>
    </w:p>
    <w:p w14:paraId="00B57B29" w14:textId="77777777" w:rsidR="00B173C9" w:rsidRPr="00D6514A" w:rsidRDefault="00B173C9"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CO"/>
        </w:rPr>
      </w:pPr>
    </w:p>
    <w:p w14:paraId="0C879174" w14:textId="77777777" w:rsidR="000007B3" w:rsidRPr="00D6514A" w:rsidRDefault="000007B3"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CO"/>
        </w:rPr>
      </w:pPr>
    </w:p>
    <w:p w14:paraId="47E3CC95" w14:textId="77777777" w:rsidR="000007B3" w:rsidRPr="00D6514A" w:rsidRDefault="000007B3"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CO"/>
        </w:rPr>
      </w:pPr>
    </w:p>
    <w:p w14:paraId="092C47E0" w14:textId="77777777" w:rsidR="000007B3" w:rsidRDefault="000007B3"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CO"/>
        </w:rPr>
      </w:pPr>
    </w:p>
    <w:p w14:paraId="69E3C70F" w14:textId="77777777" w:rsidR="00B173C9" w:rsidRPr="00D6514A" w:rsidRDefault="00B173C9"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CO"/>
        </w:rPr>
      </w:pPr>
    </w:p>
    <w:p w14:paraId="7A29F1D9" w14:textId="77777777" w:rsidR="00D156DB" w:rsidRPr="00B97747" w:rsidRDefault="00D156DB"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VE"/>
        </w:rPr>
      </w:pPr>
    </w:p>
    <w:p w14:paraId="6CE5F860" w14:textId="77777777" w:rsidR="00D156DB" w:rsidRPr="00B97747" w:rsidRDefault="00D156DB"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VE"/>
        </w:rPr>
      </w:pPr>
    </w:p>
    <w:p w14:paraId="30A802D7" w14:textId="36301016" w:rsidR="00CD0546" w:rsidRPr="00D6514A" w:rsidRDefault="00002F41" w:rsidP="00CD054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n-US"/>
        </w:rPr>
      </w:pPr>
      <w:r w:rsidRPr="00D6514A">
        <w:rPr>
          <w:rFonts w:ascii="EB Garamond" w:eastAsia="EB Garamond" w:hAnsi="EB Garamond" w:cs="EB Garamond"/>
          <w:b/>
          <w:sz w:val="32"/>
          <w:szCs w:val="32"/>
          <w:lang w:val="en-US"/>
        </w:rPr>
        <w:t>A C</w:t>
      </w:r>
      <w:r w:rsidR="00B173C9">
        <w:rPr>
          <w:rFonts w:ascii="EB Garamond" w:eastAsia="EB Garamond" w:hAnsi="EB Garamond" w:cs="EB Garamond"/>
          <w:b/>
          <w:sz w:val="32"/>
          <w:szCs w:val="32"/>
          <w:lang w:val="en-US"/>
        </w:rPr>
        <w:t>omparative Analysis of Methodologies for Predicting the Mechanical Properties of Composite Materials</w:t>
      </w:r>
    </w:p>
    <w:p w14:paraId="3881B684" w14:textId="77777777" w:rsidR="004B311C" w:rsidRPr="00D6514A" w:rsidRDefault="00FF6F5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r w:rsidRPr="00D6514A">
        <w:rPr>
          <w:noProof/>
          <w:lang w:val="es-CO"/>
        </w:rPr>
        <mc:AlternateContent>
          <mc:Choice Requires="wps">
            <w:drawing>
              <wp:anchor distT="0" distB="0" distL="114300" distR="114300" simplePos="0" relativeHeight="251659264" behindDoc="0" locked="0" layoutInCell="1" hidden="0" allowOverlap="1" wp14:anchorId="540E2948" wp14:editId="4FC1554B">
                <wp:simplePos x="0" y="0"/>
                <wp:positionH relativeFrom="column">
                  <wp:posOffset>37042</wp:posOffset>
                </wp:positionH>
                <wp:positionV relativeFrom="paragraph">
                  <wp:posOffset>100330</wp:posOffset>
                </wp:positionV>
                <wp:extent cx="6205235" cy="2565400"/>
                <wp:effectExtent l="0" t="0" r="24130" b="25400"/>
                <wp:wrapNone/>
                <wp:docPr id="12" name="Rectángulo 12"/>
                <wp:cNvGraphicFramePr/>
                <a:graphic xmlns:a="http://schemas.openxmlformats.org/drawingml/2006/main">
                  <a:graphicData uri="http://schemas.microsoft.com/office/word/2010/wordprocessingShape">
                    <wps:wsp>
                      <wps:cNvSpPr/>
                      <wps:spPr>
                        <a:xfrm>
                          <a:off x="0" y="0"/>
                          <a:ext cx="6205235" cy="25654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193FAD57" w14:textId="77777777" w:rsidR="004B311C" w:rsidRPr="000007B3" w:rsidRDefault="00FF6F5A">
                            <w:pPr>
                              <w:spacing w:line="288" w:lineRule="auto"/>
                              <w:jc w:val="both"/>
                              <w:textDirection w:val="btLr"/>
                              <w:rPr>
                                <w:lang w:val="en-US"/>
                              </w:rPr>
                            </w:pPr>
                            <w:r w:rsidRPr="000007B3">
                              <w:rPr>
                                <w:rFonts w:ascii="EB Garamond" w:eastAsia="EB Garamond" w:hAnsi="EB Garamond" w:cs="EB Garamond"/>
                                <w:b/>
                                <w:color w:val="000000"/>
                                <w:lang w:val="en-US"/>
                              </w:rPr>
                              <w:t>Abstract</w:t>
                            </w:r>
                          </w:p>
                          <w:p w14:paraId="2D88BCCE" w14:textId="4AB522F5" w:rsidR="00CD0546" w:rsidRPr="00B173C9" w:rsidRDefault="000D7B17" w:rsidP="00B173C9">
                            <w:pPr>
                              <w:ind w:right="364"/>
                              <w:jc w:val="both"/>
                              <w:textDirection w:val="btLr"/>
                              <w:rPr>
                                <w:rFonts w:ascii="EB Garamond" w:eastAsia="EB Garamond" w:hAnsi="EB Garamond" w:cs="EB Garamond"/>
                                <w:sz w:val="19"/>
                                <w:szCs w:val="19"/>
                                <w:lang w:val="en-US"/>
                              </w:rPr>
                            </w:pPr>
                            <w:r w:rsidRPr="00B173C9">
                              <w:rPr>
                                <w:rFonts w:ascii="EB Garamond" w:eastAsia="EB Garamond" w:hAnsi="EB Garamond" w:cs="EB Garamond"/>
                                <w:sz w:val="19"/>
                                <w:szCs w:val="19"/>
                                <w:lang w:val="en-US"/>
                              </w:rPr>
                              <w:t>Accurately predicting the mechanical properties of composite materials is a significant technical challenge due to their complex internal structure and the wide variety of possible matrix-reinforcement combinations. This study aims to analyze and compare the primary methodologies employed for this purpose, categorizing them based on their approach. A structured review of literature published between 2020 and 2024 was conducted to identify and classify the strategies used into four categories: experimental, analytical, numerical (particularly the finite element method), and artificial intelligence–based. A comparative analysis of the benefits and limitations of these strategies was then conducted, considering criteria such as accuracy, cost, flexibility, technical requirements, and predictive capacity. The results show that although experimental tests offer high fidelity, they are limited in terms of cost and replicability. Analytical models are notable for their simplicity and speed, though they tend to lose accuracy in complex systems. Numerical simulations allow for the representation of heterogeneous structures in detail but require significant computational resources. Finally, artificial intelligence–based approaches demonstrate great potential for managing large volumes of data and recognizing complex patterns; however, their effectiveness largely depends on the quality and representativeness of the available data.</w:t>
                            </w:r>
                          </w:p>
                          <w:p w14:paraId="5D0EDDC6" w14:textId="77777777" w:rsidR="00B173C9" w:rsidRDefault="00B173C9" w:rsidP="00002F41">
                            <w:pPr>
                              <w:ind w:right="364"/>
                              <w:jc w:val="both"/>
                              <w:textDirection w:val="btLr"/>
                              <w:rPr>
                                <w:sz w:val="19"/>
                                <w:szCs w:val="19"/>
                                <w:lang w:val="en-US"/>
                              </w:rPr>
                            </w:pPr>
                          </w:p>
                          <w:p w14:paraId="71BFE6B3" w14:textId="13847F28" w:rsidR="004B311C" w:rsidRPr="00B173C9" w:rsidRDefault="00FF6F5A" w:rsidP="00002F41">
                            <w:pPr>
                              <w:ind w:right="364"/>
                              <w:jc w:val="both"/>
                              <w:textDirection w:val="btLr"/>
                              <w:rPr>
                                <w:sz w:val="19"/>
                                <w:szCs w:val="19"/>
                                <w:lang w:val="en-US"/>
                              </w:rPr>
                            </w:pPr>
                            <w:r w:rsidRPr="00B173C9">
                              <w:rPr>
                                <w:rFonts w:ascii="EB Garamond" w:eastAsia="EB Garamond" w:hAnsi="EB Garamond" w:cs="EB Garamond"/>
                                <w:color w:val="000000"/>
                                <w:sz w:val="19"/>
                                <w:szCs w:val="19"/>
                                <w:lang w:val="en-US"/>
                              </w:rPr>
                              <w:t>Keywords:</w:t>
                            </w:r>
                            <w:r w:rsidR="00CD0546" w:rsidRPr="00B173C9">
                              <w:rPr>
                                <w:sz w:val="19"/>
                                <w:szCs w:val="19"/>
                                <w:lang w:val="en-US"/>
                              </w:rPr>
                              <w:t xml:space="preserve"> </w:t>
                            </w:r>
                            <w:r w:rsidR="00CD0546" w:rsidRPr="00B173C9">
                              <w:rPr>
                                <w:rFonts w:ascii="EB Garamond" w:eastAsia="EB Garamond" w:hAnsi="EB Garamond" w:cs="EB Garamond"/>
                                <w:color w:val="000000"/>
                                <w:sz w:val="19"/>
                                <w:szCs w:val="19"/>
                                <w:lang w:val="en-US"/>
                              </w:rPr>
                              <w:t>Finite elements, artificial intelligence, composite materials, prediction, mechanical properties.</w:t>
                            </w:r>
                          </w:p>
                          <w:p w14:paraId="6A02663F" w14:textId="77777777" w:rsidR="004B311C" w:rsidRPr="00CD0546" w:rsidRDefault="004B311C">
                            <w:pPr>
                              <w:spacing w:line="288" w:lineRule="auto"/>
                              <w:textDirection w:val="btLr"/>
                              <w:rPr>
                                <w:lang w:val="en-US"/>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40E2948" id="Rectángulo 12" o:spid="_x0000_s1027" style="position:absolute;margin-left:2.9pt;margin-top:7.9pt;width:488.6pt;height:2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" fillcolor="white [3201]">
                <v:stroke startarrowwidth="narrow" startarrowlength="short" endarrowwidth="narrow" endarrowlength="short"/>
                <v:textbox inset="2.53958mm,1.2694mm,2.53958mm,1.2694mm">
                  <w:txbxContent>
                    <w:p w14:paraId="193FAD57" w14:textId="77777777" w:rsidR="004B311C" w:rsidRPr="000007B3" w:rsidRDefault="00FF6F5A">
                      <w:pPr>
                        <w:spacing w:line="288" w:lineRule="auto"/>
                        <w:jc w:val="both"/>
                        <w:textDirection w:val="btLr"/>
                        <w:rPr>
                          <w:lang w:val="en-US"/>
                        </w:rPr>
                      </w:pPr>
                      <w:r w:rsidRPr="000007B3">
                        <w:rPr>
                          <w:rFonts w:ascii="EB Garamond" w:eastAsia="EB Garamond" w:hAnsi="EB Garamond" w:cs="EB Garamond"/>
                          <w:b/>
                          <w:color w:val="000000"/>
                          <w:lang w:val="en-US"/>
                        </w:rPr>
                        <w:t>Abstract</w:t>
                      </w:r>
                    </w:p>
                    <w:p w14:paraId="2D88BCCE" w14:textId="4AB522F5" w:rsidR="00CD0546" w:rsidRPr="00B173C9" w:rsidRDefault="000D7B17" w:rsidP="00B173C9">
                      <w:pPr>
                        <w:ind w:right="364"/>
                        <w:jc w:val="both"/>
                        <w:textDirection w:val="btLr"/>
                        <w:rPr>
                          <w:rFonts w:ascii="EB Garamond" w:eastAsia="EB Garamond" w:hAnsi="EB Garamond" w:cs="EB Garamond"/>
                          <w:sz w:val="19"/>
                          <w:szCs w:val="19"/>
                          <w:lang w:val="en-US"/>
                        </w:rPr>
                      </w:pPr>
                      <w:r w:rsidRPr="00B173C9">
                        <w:rPr>
                          <w:rFonts w:ascii="EB Garamond" w:eastAsia="EB Garamond" w:hAnsi="EB Garamond" w:cs="EB Garamond"/>
                          <w:sz w:val="19"/>
                          <w:szCs w:val="19"/>
                          <w:lang w:val="en-US"/>
                        </w:rPr>
                        <w:t>Accurately predicting the mechanical properties of composite materials is a significant technical challenge due to their complex internal structure and the wide variety of possible matrix-reinforcement combinations. This study aims to analyze and compare the primary methodologies employed for this purpose, categorizing them based on their approach. A structured review of literature published between 2020 and 2024 was conducted to identify and classify the strategies used into four categories: experimental, analytical, numerical (particularly the finite element method), and artificial intelligence–based. A comparative analysis of the benefits and limitations of these strategies was then conducted, considering criteria such as accuracy, cost, flexibility, technical requirements, and predictive capacity. The results show that although experimental tests offer high fidelity, they are limited in terms of cost and replicability. Analytical models are notable for their simplicity and speed, though they tend to lose accuracy in complex systems. Numerical simulations allow for the representation of heterogeneous structures in detail but require significant computational resources. Finally, artificial intelligence–based approaches demonstrate great potential for managing large volumes of data and recognizing complex patterns; however, their effectiveness largely depends on the quality and representativeness of the available data.</w:t>
                      </w:r>
                    </w:p>
                    <w:p w14:paraId="5D0EDDC6" w14:textId="77777777" w:rsidR="00B173C9" w:rsidRDefault="00B173C9" w:rsidP="00002F41">
                      <w:pPr>
                        <w:ind w:right="364"/>
                        <w:jc w:val="both"/>
                        <w:textDirection w:val="btLr"/>
                        <w:rPr>
                          <w:sz w:val="19"/>
                          <w:szCs w:val="19"/>
                          <w:lang w:val="en-US"/>
                        </w:rPr>
                      </w:pPr>
                    </w:p>
                    <w:p w14:paraId="71BFE6B3" w14:textId="13847F28" w:rsidR="004B311C" w:rsidRPr="00B173C9" w:rsidRDefault="00FF6F5A" w:rsidP="00002F41">
                      <w:pPr>
                        <w:ind w:right="364"/>
                        <w:jc w:val="both"/>
                        <w:textDirection w:val="btLr"/>
                        <w:rPr>
                          <w:sz w:val="19"/>
                          <w:szCs w:val="19"/>
                          <w:lang w:val="en-US"/>
                        </w:rPr>
                      </w:pPr>
                      <w:r w:rsidRPr="00B173C9">
                        <w:rPr>
                          <w:rFonts w:ascii="EB Garamond" w:eastAsia="EB Garamond" w:hAnsi="EB Garamond" w:cs="EB Garamond"/>
                          <w:color w:val="000000"/>
                          <w:sz w:val="19"/>
                          <w:szCs w:val="19"/>
                          <w:lang w:val="en-US"/>
                        </w:rPr>
                        <w:t>Keywords:</w:t>
                      </w:r>
                      <w:r w:rsidR="00CD0546" w:rsidRPr="00B173C9">
                        <w:rPr>
                          <w:sz w:val="19"/>
                          <w:szCs w:val="19"/>
                          <w:lang w:val="en-US"/>
                        </w:rPr>
                        <w:t xml:space="preserve"> </w:t>
                      </w:r>
                      <w:r w:rsidR="00CD0546" w:rsidRPr="00B173C9">
                        <w:rPr>
                          <w:rFonts w:ascii="EB Garamond" w:eastAsia="EB Garamond" w:hAnsi="EB Garamond" w:cs="EB Garamond"/>
                          <w:color w:val="000000"/>
                          <w:sz w:val="19"/>
                          <w:szCs w:val="19"/>
                          <w:lang w:val="en-US"/>
                        </w:rPr>
                        <w:t>Finite elements, artificial intelligence, composite materials, prediction, mechanical properties.</w:t>
                      </w:r>
                    </w:p>
                    <w:p w14:paraId="6A02663F" w14:textId="77777777" w:rsidR="004B311C" w:rsidRPr="00CD0546" w:rsidRDefault="004B311C">
                      <w:pPr>
                        <w:spacing w:line="288" w:lineRule="auto"/>
                        <w:textDirection w:val="btLr"/>
                        <w:rPr>
                          <w:lang w:val="en-US"/>
                        </w:rPr>
                      </w:pPr>
                    </w:p>
                  </w:txbxContent>
                </v:textbox>
              </v:rect>
            </w:pict>
          </mc:Fallback>
        </mc:AlternateContent>
      </w:r>
    </w:p>
    <w:p w14:paraId="79197D96"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61F3E99D"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65560B44"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30FB2ABD" w14:textId="77777777" w:rsidR="004B311C" w:rsidRPr="00D6514A" w:rsidRDefault="004B311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2EA351E1" w14:textId="77777777" w:rsidR="006556F0" w:rsidRPr="00D6514A" w:rsidRDefault="006556F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4A88E793" w14:textId="77777777" w:rsidR="006556F0" w:rsidRPr="00D6514A" w:rsidRDefault="006556F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0128CD25" w14:textId="77777777" w:rsidR="006556F0" w:rsidRPr="00D6514A" w:rsidRDefault="006556F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1552B6A5" w14:textId="77777777" w:rsidR="006556F0" w:rsidRPr="00D6514A" w:rsidRDefault="006556F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7F946CFC" w14:textId="77777777" w:rsidR="006556F0" w:rsidRPr="00D6514A" w:rsidRDefault="006556F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7C260C42" w14:textId="0C774F24" w:rsidR="00CD0546" w:rsidRDefault="00990D18" w:rsidP="00990D18">
      <w:pPr>
        <w:spacing w:before="160" w:after="80"/>
        <w:jc w:val="center"/>
        <w:rPr>
          <w:rFonts w:ascii="EB Garamond" w:eastAsia="EB Garamond" w:hAnsi="EB Garamond" w:cs="EB Garamond"/>
          <w:b/>
          <w:sz w:val="32"/>
          <w:szCs w:val="32"/>
          <w:lang w:val="pt-PT"/>
        </w:rPr>
      </w:pPr>
      <w:r w:rsidRPr="00D6514A">
        <w:rPr>
          <w:noProof/>
          <w:lang w:val="es-CO"/>
        </w:rPr>
        <mc:AlternateContent>
          <mc:Choice Requires="wps">
            <w:drawing>
              <wp:anchor distT="0" distB="0" distL="114300" distR="114300" simplePos="0" relativeHeight="251660288" behindDoc="1" locked="0" layoutInCell="1" allowOverlap="1" wp14:anchorId="7EDA3641" wp14:editId="20214793">
                <wp:simplePos x="0" y="0"/>
                <wp:positionH relativeFrom="margin">
                  <wp:align>right</wp:align>
                </wp:positionH>
                <wp:positionV relativeFrom="paragraph">
                  <wp:posOffset>635000</wp:posOffset>
                </wp:positionV>
                <wp:extent cx="6273165" cy="2722245"/>
                <wp:effectExtent l="0" t="0" r="13335" b="20955"/>
                <wp:wrapTopAndBottom/>
                <wp:docPr id="11" name="Rectángulo 11"/>
                <wp:cNvGraphicFramePr/>
                <a:graphic xmlns:a="http://schemas.openxmlformats.org/drawingml/2006/main">
                  <a:graphicData uri="http://schemas.microsoft.com/office/word/2010/wordprocessingShape">
                    <wps:wsp>
                      <wps:cNvSpPr/>
                      <wps:spPr>
                        <a:xfrm>
                          <a:off x="0" y="0"/>
                          <a:ext cx="6273165" cy="2722575"/>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650BE35D" w14:textId="77777777" w:rsidR="004B311C" w:rsidRDefault="00FF6F5A">
                            <w:pPr>
                              <w:spacing w:line="288" w:lineRule="auto"/>
                              <w:jc w:val="both"/>
                              <w:textDirection w:val="btLr"/>
                            </w:pPr>
                            <w:r>
                              <w:rPr>
                                <w:rFonts w:ascii="EB Garamond" w:eastAsia="EB Garamond" w:hAnsi="EB Garamond" w:cs="EB Garamond"/>
                                <w:b/>
                                <w:color w:val="000000"/>
                              </w:rPr>
                              <w:t>Resumo</w:t>
                            </w:r>
                          </w:p>
                          <w:p w14:paraId="141E5E13" w14:textId="50E64EBF" w:rsidR="004B311C" w:rsidRPr="00A23FBE" w:rsidRDefault="000C25F9" w:rsidP="00990D18">
                            <w:pPr>
                              <w:ind w:right="364"/>
                              <w:jc w:val="both"/>
                              <w:textDirection w:val="btLr"/>
                              <w:rPr>
                                <w:rFonts w:ascii="EB Garamond" w:eastAsia="EB Garamond" w:hAnsi="EB Garamond" w:cs="EB Garamond"/>
                                <w:sz w:val="19"/>
                                <w:szCs w:val="19"/>
                              </w:rPr>
                            </w:pPr>
                            <w:r w:rsidRPr="00A23FBE">
                              <w:rPr>
                                <w:rFonts w:ascii="EB Garamond" w:eastAsia="EB Garamond" w:hAnsi="EB Garamond" w:cs="EB Garamond"/>
                                <w:sz w:val="19"/>
                                <w:szCs w:val="19"/>
                              </w:rPr>
                              <w:t xml:space="preserve">A </w:t>
                            </w:r>
                            <w:proofErr w:type="spellStart"/>
                            <w:r w:rsidRPr="00A23FBE">
                              <w:rPr>
                                <w:rFonts w:ascii="EB Garamond" w:eastAsia="EB Garamond" w:hAnsi="EB Garamond" w:cs="EB Garamond"/>
                                <w:sz w:val="19"/>
                                <w:szCs w:val="19"/>
                              </w:rPr>
                              <w:t>previsão</w:t>
                            </w:r>
                            <w:proofErr w:type="spellEnd"/>
                            <w:r w:rsidRPr="00A23FBE">
                              <w:rPr>
                                <w:rFonts w:ascii="EB Garamond" w:eastAsia="EB Garamond" w:hAnsi="EB Garamond" w:cs="EB Garamond"/>
                                <w:sz w:val="19"/>
                                <w:szCs w:val="19"/>
                              </w:rPr>
                              <w:t xml:space="preserve"> precisa das propriedades </w:t>
                            </w:r>
                            <w:proofErr w:type="spellStart"/>
                            <w:r w:rsidRPr="00A23FBE">
                              <w:rPr>
                                <w:rFonts w:ascii="EB Garamond" w:eastAsia="EB Garamond" w:hAnsi="EB Garamond" w:cs="EB Garamond"/>
                                <w:sz w:val="19"/>
                                <w:szCs w:val="19"/>
                              </w:rPr>
                              <w:t>mecânicas</w:t>
                            </w:r>
                            <w:proofErr w:type="spellEnd"/>
                            <w:r w:rsidRPr="00A23FBE">
                              <w:rPr>
                                <w:rFonts w:ascii="EB Garamond" w:eastAsia="EB Garamond" w:hAnsi="EB Garamond" w:cs="EB Garamond"/>
                                <w:sz w:val="19"/>
                                <w:szCs w:val="19"/>
                              </w:rPr>
                              <w:t xml:space="preserve"> dos </w:t>
                            </w:r>
                            <w:proofErr w:type="spellStart"/>
                            <w:r w:rsidRPr="00A23FBE">
                              <w:rPr>
                                <w:rFonts w:ascii="EB Garamond" w:eastAsia="EB Garamond" w:hAnsi="EB Garamond" w:cs="EB Garamond"/>
                                <w:sz w:val="19"/>
                                <w:szCs w:val="19"/>
                              </w:rPr>
                              <w:t>materiais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compósitos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constitui</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um</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desafio</w:t>
                            </w:r>
                            <w:proofErr w:type="spellEnd"/>
                            <w:r w:rsidRPr="00A23FBE">
                              <w:rPr>
                                <w:rFonts w:ascii="EB Garamond" w:eastAsia="EB Garamond" w:hAnsi="EB Garamond" w:cs="EB Garamond"/>
                                <w:sz w:val="19"/>
                                <w:szCs w:val="19"/>
                              </w:rPr>
                              <w:t xml:space="preserve"> técnico significativo, dado que estes </w:t>
                            </w:r>
                            <w:proofErr w:type="spellStart"/>
                            <w:r w:rsidRPr="00A23FBE">
                              <w:rPr>
                                <w:rFonts w:ascii="EB Garamond" w:eastAsia="EB Garamond" w:hAnsi="EB Garamond" w:cs="EB Garamond"/>
                                <w:sz w:val="19"/>
                                <w:szCs w:val="19"/>
                              </w:rPr>
                              <w:t>apresentam</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uma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estrutura</w:t>
                            </w:r>
                            <w:proofErr w:type="spellEnd"/>
                            <w:r w:rsidRPr="00A23FBE">
                              <w:rPr>
                                <w:rFonts w:ascii="EB Garamond" w:eastAsia="EB Garamond" w:hAnsi="EB Garamond" w:cs="EB Garamond"/>
                                <w:sz w:val="19"/>
                                <w:szCs w:val="19"/>
                              </w:rPr>
                              <w:t xml:space="preserve"> interna complexa e </w:t>
                            </w:r>
                            <w:proofErr w:type="spellStart"/>
                            <w:r w:rsidRPr="00A23FBE">
                              <w:rPr>
                                <w:rFonts w:ascii="EB Garamond" w:eastAsia="EB Garamond" w:hAnsi="EB Garamond" w:cs="EB Garamond"/>
                                <w:sz w:val="19"/>
                                <w:szCs w:val="19"/>
                              </w:rPr>
                              <w:t>uma</w:t>
                            </w:r>
                            <w:proofErr w:type="spellEnd"/>
                            <w:r w:rsidRPr="00A23FBE">
                              <w:rPr>
                                <w:rFonts w:ascii="EB Garamond" w:eastAsia="EB Garamond" w:hAnsi="EB Garamond" w:cs="EB Garamond"/>
                                <w:sz w:val="19"/>
                                <w:szCs w:val="19"/>
                              </w:rPr>
                              <w:t xml:space="preserve"> vasta gama de </w:t>
                            </w:r>
                            <w:proofErr w:type="spellStart"/>
                            <w:r w:rsidRPr="00A23FBE">
                              <w:rPr>
                                <w:rFonts w:ascii="EB Garamond" w:eastAsia="EB Garamond" w:hAnsi="EB Garamond" w:cs="EB Garamond"/>
                                <w:sz w:val="19"/>
                                <w:szCs w:val="19"/>
                              </w:rPr>
                              <w:t>combinações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possíveis</w:t>
                            </w:r>
                            <w:proofErr w:type="spellEnd"/>
                            <w:r w:rsidRPr="00A23FBE">
                              <w:rPr>
                                <w:rFonts w:ascii="EB Garamond" w:eastAsia="EB Garamond" w:hAnsi="EB Garamond" w:cs="EB Garamond"/>
                                <w:sz w:val="19"/>
                                <w:szCs w:val="19"/>
                              </w:rPr>
                              <w:t xml:space="preserve"> entre </w:t>
                            </w:r>
                            <w:proofErr w:type="spellStart"/>
                            <w:r w:rsidRPr="00A23FBE">
                              <w:rPr>
                                <w:rFonts w:ascii="EB Garamond" w:eastAsia="EB Garamond" w:hAnsi="EB Garamond" w:cs="EB Garamond"/>
                                <w:sz w:val="19"/>
                                <w:szCs w:val="19"/>
                              </w:rPr>
                              <w:t>matrizes</w:t>
                            </w:r>
                            <w:proofErr w:type="spellEnd"/>
                            <w:r w:rsidRPr="00A23FBE">
                              <w:rPr>
                                <w:rFonts w:ascii="EB Garamond" w:eastAsia="EB Garamond" w:hAnsi="EB Garamond" w:cs="EB Garamond"/>
                                <w:sz w:val="19"/>
                                <w:szCs w:val="19"/>
                              </w:rPr>
                              <w:t xml:space="preserve"> e </w:t>
                            </w:r>
                            <w:proofErr w:type="spellStart"/>
                            <w:r w:rsidRPr="00A23FBE">
                              <w:rPr>
                                <w:rFonts w:ascii="EB Garamond" w:eastAsia="EB Garamond" w:hAnsi="EB Garamond" w:cs="EB Garamond"/>
                                <w:sz w:val="19"/>
                                <w:szCs w:val="19"/>
                              </w:rPr>
                              <w:t>reforços</w:t>
                            </w:r>
                            <w:proofErr w:type="spellEnd"/>
                            <w:r w:rsidRPr="00A23FBE">
                              <w:rPr>
                                <w:rFonts w:ascii="EB Garamond" w:eastAsia="EB Garamond" w:hAnsi="EB Garamond" w:cs="EB Garamond"/>
                                <w:sz w:val="19"/>
                                <w:szCs w:val="19"/>
                              </w:rPr>
                              <w:t xml:space="preserve">. O presente </w:t>
                            </w:r>
                            <w:proofErr w:type="spellStart"/>
                            <w:r w:rsidRPr="00A23FBE">
                              <w:rPr>
                                <w:rFonts w:ascii="EB Garamond" w:eastAsia="EB Garamond" w:hAnsi="EB Garamond" w:cs="EB Garamond"/>
                                <w:sz w:val="19"/>
                                <w:szCs w:val="19"/>
                              </w:rPr>
                              <w:t>trabalho</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tem</w:t>
                            </w:r>
                            <w:proofErr w:type="spellEnd"/>
                            <w:r w:rsidRPr="00A23FBE">
                              <w:rPr>
                                <w:rFonts w:ascii="EB Garamond" w:eastAsia="EB Garamond" w:hAnsi="EB Garamond" w:cs="EB Garamond"/>
                                <w:sz w:val="19"/>
                                <w:szCs w:val="19"/>
                              </w:rPr>
                              <w:t xml:space="preserve"> como objetivo </w:t>
                            </w:r>
                            <w:proofErr w:type="spellStart"/>
                            <w:r w:rsidRPr="00A23FBE">
                              <w:rPr>
                                <w:rFonts w:ascii="EB Garamond" w:eastAsia="EB Garamond" w:hAnsi="EB Garamond" w:cs="EB Garamond"/>
                                <w:sz w:val="19"/>
                                <w:szCs w:val="19"/>
                              </w:rPr>
                              <w:t>analisar</w:t>
                            </w:r>
                            <w:proofErr w:type="spellEnd"/>
                            <w:r w:rsidRPr="00A23FBE">
                              <w:rPr>
                                <w:rFonts w:ascii="EB Garamond" w:eastAsia="EB Garamond" w:hAnsi="EB Garamond" w:cs="EB Garamond"/>
                                <w:sz w:val="19"/>
                                <w:szCs w:val="19"/>
                              </w:rPr>
                              <w:t xml:space="preserve"> e comparar as </w:t>
                            </w:r>
                            <w:proofErr w:type="spellStart"/>
                            <w:r w:rsidRPr="00A23FBE">
                              <w:rPr>
                                <w:rFonts w:ascii="EB Garamond" w:eastAsia="EB Garamond" w:hAnsi="EB Garamond" w:cs="EB Garamond"/>
                                <w:sz w:val="19"/>
                                <w:szCs w:val="19"/>
                              </w:rPr>
                              <w:t>principais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metodologias</w:t>
                            </w:r>
                            <w:proofErr w:type="spellEnd"/>
                            <w:r w:rsidRPr="00A23FBE">
                              <w:rPr>
                                <w:rFonts w:ascii="EB Garamond" w:eastAsia="EB Garamond" w:hAnsi="EB Garamond" w:cs="EB Garamond"/>
                                <w:sz w:val="19"/>
                                <w:szCs w:val="19"/>
                              </w:rPr>
                              <w:t xml:space="preserve"> utilizadas para </w:t>
                            </w:r>
                            <w:proofErr w:type="spellStart"/>
                            <w:r w:rsidRPr="00A23FBE">
                              <w:rPr>
                                <w:rFonts w:ascii="EB Garamond" w:eastAsia="EB Garamond" w:hAnsi="EB Garamond" w:cs="EB Garamond"/>
                                <w:sz w:val="19"/>
                                <w:szCs w:val="19"/>
                              </w:rPr>
                              <w:t>esse</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efeito</w:t>
                            </w:r>
                            <w:proofErr w:type="spellEnd"/>
                            <w:r w:rsidRPr="00A23FBE">
                              <w:rPr>
                                <w:rFonts w:ascii="EB Garamond" w:eastAsia="EB Garamond" w:hAnsi="EB Garamond" w:cs="EB Garamond"/>
                                <w:sz w:val="19"/>
                                <w:szCs w:val="19"/>
                              </w:rPr>
                              <w:t xml:space="preserve">, agrupando-as </w:t>
                            </w:r>
                            <w:proofErr w:type="spellStart"/>
                            <w:r w:rsidRPr="00A23FBE">
                              <w:rPr>
                                <w:rFonts w:ascii="EB Garamond" w:eastAsia="EB Garamond" w:hAnsi="EB Garamond" w:cs="EB Garamond"/>
                                <w:sz w:val="19"/>
                                <w:szCs w:val="19"/>
                              </w:rPr>
                              <w:t>consoante</w:t>
                            </w:r>
                            <w:proofErr w:type="spellEnd"/>
                            <w:r w:rsidRPr="00A23FBE">
                              <w:rPr>
                                <w:rFonts w:ascii="EB Garamond" w:eastAsia="EB Garamond" w:hAnsi="EB Garamond" w:cs="EB Garamond"/>
                                <w:sz w:val="19"/>
                                <w:szCs w:val="19"/>
                              </w:rPr>
                              <w:t xml:space="preserve"> a respetiva </w:t>
                            </w:r>
                            <w:proofErr w:type="spellStart"/>
                            <w:r w:rsidRPr="00A23FBE">
                              <w:rPr>
                                <w:rFonts w:ascii="EB Garamond" w:eastAsia="EB Garamond" w:hAnsi="EB Garamond" w:cs="EB Garamond"/>
                                <w:sz w:val="19"/>
                                <w:szCs w:val="19"/>
                              </w:rPr>
                              <w:t>abordagem</w:t>
                            </w:r>
                            <w:proofErr w:type="spellEnd"/>
                            <w:r w:rsidRPr="00A23FBE">
                              <w:rPr>
                                <w:rFonts w:ascii="EB Garamond" w:eastAsia="EB Garamond" w:hAnsi="EB Garamond" w:cs="EB Garamond"/>
                                <w:sz w:val="19"/>
                                <w:szCs w:val="19"/>
                              </w:rPr>
                              <w:t xml:space="preserve">. Para o </w:t>
                            </w:r>
                            <w:proofErr w:type="spellStart"/>
                            <w:r w:rsidRPr="00A23FBE">
                              <w:rPr>
                                <w:rFonts w:ascii="EB Garamond" w:eastAsia="EB Garamond" w:hAnsi="EB Garamond" w:cs="EB Garamond"/>
                                <w:sz w:val="19"/>
                                <w:szCs w:val="19"/>
                              </w:rPr>
                              <w:t>efeito</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foi</w:t>
                            </w:r>
                            <w:proofErr w:type="spellEnd"/>
                            <w:r w:rsidRPr="00A23FBE">
                              <w:rPr>
                                <w:rFonts w:ascii="EB Garamond" w:eastAsia="EB Garamond" w:hAnsi="EB Garamond" w:cs="EB Garamond"/>
                                <w:sz w:val="19"/>
                                <w:szCs w:val="19"/>
                              </w:rPr>
                              <w:t xml:space="preserve"> realizada </w:t>
                            </w:r>
                            <w:proofErr w:type="spellStart"/>
                            <w:r w:rsidRPr="00A23FBE">
                              <w:rPr>
                                <w:rFonts w:ascii="EB Garamond" w:eastAsia="EB Garamond" w:hAnsi="EB Garamond" w:cs="EB Garamond"/>
                                <w:sz w:val="19"/>
                                <w:szCs w:val="19"/>
                              </w:rPr>
                              <w:t>uma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revisão</w:t>
                            </w:r>
                            <w:proofErr w:type="spellEnd"/>
                            <w:r w:rsidRPr="00A23FBE">
                              <w:rPr>
                                <w:rFonts w:ascii="EB Garamond" w:eastAsia="EB Garamond" w:hAnsi="EB Garamond" w:cs="EB Garamond"/>
                                <w:sz w:val="19"/>
                                <w:szCs w:val="19"/>
                              </w:rPr>
                              <w:t xml:space="preserve"> bibliográfica </w:t>
                            </w:r>
                            <w:proofErr w:type="spellStart"/>
                            <w:r w:rsidRPr="00A23FBE">
                              <w:rPr>
                                <w:rFonts w:ascii="EB Garamond" w:eastAsia="EB Garamond" w:hAnsi="EB Garamond" w:cs="EB Garamond"/>
                                <w:sz w:val="19"/>
                                <w:szCs w:val="19"/>
                              </w:rPr>
                              <w:t>estruturada</w:t>
                            </w:r>
                            <w:proofErr w:type="spellEnd"/>
                            <w:r w:rsidRPr="00A23FBE">
                              <w:rPr>
                                <w:rFonts w:ascii="EB Garamond" w:eastAsia="EB Garamond" w:hAnsi="EB Garamond" w:cs="EB Garamond"/>
                                <w:sz w:val="19"/>
                                <w:szCs w:val="19"/>
                              </w:rPr>
                              <w:t xml:space="preserve"> da literatura publicada entre 2020 e 2024, </w:t>
                            </w:r>
                            <w:proofErr w:type="spellStart"/>
                            <w:r w:rsidRPr="00A23FBE">
                              <w:rPr>
                                <w:rFonts w:ascii="EB Garamond" w:eastAsia="EB Garamond" w:hAnsi="EB Garamond" w:cs="EB Garamond"/>
                                <w:sz w:val="19"/>
                                <w:szCs w:val="19"/>
                              </w:rPr>
                              <w:t>tendo</w:t>
                            </w:r>
                            <w:proofErr w:type="spellEnd"/>
                            <w:r w:rsidRPr="00A23FBE">
                              <w:rPr>
                                <w:rFonts w:ascii="EB Garamond" w:eastAsia="EB Garamond" w:hAnsi="EB Garamond" w:cs="EB Garamond"/>
                                <w:sz w:val="19"/>
                                <w:szCs w:val="19"/>
                              </w:rPr>
                              <w:t xml:space="preserve"> sido identificadas e </w:t>
                            </w:r>
                            <w:proofErr w:type="spellStart"/>
                            <w:r w:rsidRPr="00A23FBE">
                              <w:rPr>
                                <w:rFonts w:ascii="EB Garamond" w:eastAsia="EB Garamond" w:hAnsi="EB Garamond" w:cs="EB Garamond"/>
                                <w:sz w:val="19"/>
                                <w:szCs w:val="19"/>
                              </w:rPr>
                              <w:t>classificadas</w:t>
                            </w:r>
                            <w:proofErr w:type="spellEnd"/>
                            <w:r w:rsidRPr="00A23FBE">
                              <w:rPr>
                                <w:rFonts w:ascii="EB Garamond" w:eastAsia="EB Garamond" w:hAnsi="EB Garamond" w:cs="EB Garamond"/>
                                <w:sz w:val="19"/>
                                <w:szCs w:val="19"/>
                              </w:rPr>
                              <w:t xml:space="preserve"> as </w:t>
                            </w:r>
                            <w:proofErr w:type="spellStart"/>
                            <w:r w:rsidRPr="00A23FBE">
                              <w:rPr>
                                <w:rFonts w:ascii="EB Garamond" w:eastAsia="EB Garamond" w:hAnsi="EB Garamond" w:cs="EB Garamond"/>
                                <w:sz w:val="19"/>
                                <w:szCs w:val="19"/>
                              </w:rPr>
                              <w:t>estratégias</w:t>
                            </w:r>
                            <w:proofErr w:type="spellEnd"/>
                            <w:r w:rsidRPr="00A23FBE">
                              <w:rPr>
                                <w:rFonts w:ascii="EB Garamond" w:eastAsia="EB Garamond" w:hAnsi="EB Garamond" w:cs="EB Garamond"/>
                                <w:sz w:val="19"/>
                                <w:szCs w:val="19"/>
                              </w:rPr>
                              <w:t xml:space="preserve"> utilizadas em </w:t>
                            </w:r>
                            <w:proofErr w:type="spellStart"/>
                            <w:r w:rsidRPr="00A23FBE">
                              <w:rPr>
                                <w:rFonts w:ascii="EB Garamond" w:eastAsia="EB Garamond" w:hAnsi="EB Garamond" w:cs="EB Garamond"/>
                                <w:sz w:val="19"/>
                                <w:szCs w:val="19"/>
                              </w:rPr>
                              <w:t>quatro</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categorias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experimentais</w:t>
                            </w:r>
                            <w:proofErr w:type="spellEnd"/>
                            <w:r w:rsidRPr="00A23FBE">
                              <w:rPr>
                                <w:rFonts w:ascii="EB Garamond" w:eastAsia="EB Garamond" w:hAnsi="EB Garamond" w:cs="EB Garamond"/>
                                <w:sz w:val="19"/>
                                <w:szCs w:val="19"/>
                              </w:rPr>
                              <w:t xml:space="preserve">, analíticas, numéricas (em particular, o método dos elementos finitos) e </w:t>
                            </w:r>
                            <w:proofErr w:type="spellStart"/>
                            <w:r w:rsidRPr="00A23FBE">
                              <w:rPr>
                                <w:rFonts w:ascii="EB Garamond" w:eastAsia="EB Garamond" w:hAnsi="EB Garamond" w:cs="EB Garamond"/>
                                <w:sz w:val="19"/>
                                <w:szCs w:val="19"/>
                              </w:rPr>
                              <w:t>baseadas</w:t>
                            </w:r>
                            <w:proofErr w:type="spellEnd"/>
                            <w:r w:rsidRPr="00A23FBE">
                              <w:rPr>
                                <w:rFonts w:ascii="EB Garamond" w:eastAsia="EB Garamond" w:hAnsi="EB Garamond" w:cs="EB Garamond"/>
                                <w:sz w:val="19"/>
                                <w:szCs w:val="19"/>
                              </w:rPr>
                              <w:t xml:space="preserve"> em </w:t>
                            </w:r>
                            <w:proofErr w:type="spellStart"/>
                            <w:r w:rsidRPr="00A23FBE">
                              <w:rPr>
                                <w:rFonts w:ascii="EB Garamond" w:eastAsia="EB Garamond" w:hAnsi="EB Garamond" w:cs="EB Garamond"/>
                                <w:sz w:val="19"/>
                                <w:szCs w:val="19"/>
                              </w:rPr>
                              <w:t>inteligência</w:t>
                            </w:r>
                            <w:proofErr w:type="spellEnd"/>
                            <w:r w:rsidRPr="00A23FBE">
                              <w:rPr>
                                <w:rFonts w:ascii="EB Garamond" w:eastAsia="EB Garamond" w:hAnsi="EB Garamond" w:cs="EB Garamond"/>
                                <w:sz w:val="19"/>
                                <w:szCs w:val="19"/>
                              </w:rPr>
                              <w:t xml:space="preserve"> artificial. Posteriormente, </w:t>
                            </w:r>
                            <w:proofErr w:type="spellStart"/>
                            <w:r w:rsidRPr="00A23FBE">
                              <w:rPr>
                                <w:rFonts w:ascii="EB Garamond" w:eastAsia="EB Garamond" w:hAnsi="EB Garamond" w:cs="EB Garamond"/>
                                <w:sz w:val="19"/>
                                <w:szCs w:val="19"/>
                              </w:rPr>
                              <w:t>foi</w:t>
                            </w:r>
                            <w:proofErr w:type="spellEnd"/>
                            <w:r w:rsidRPr="00A23FBE">
                              <w:rPr>
                                <w:rFonts w:ascii="EB Garamond" w:eastAsia="EB Garamond" w:hAnsi="EB Garamond" w:cs="EB Garamond"/>
                                <w:sz w:val="19"/>
                                <w:szCs w:val="19"/>
                              </w:rPr>
                              <w:t xml:space="preserve"> realizada </w:t>
                            </w:r>
                            <w:proofErr w:type="spellStart"/>
                            <w:r w:rsidRPr="00A23FBE">
                              <w:rPr>
                                <w:rFonts w:ascii="EB Garamond" w:eastAsia="EB Garamond" w:hAnsi="EB Garamond" w:cs="EB Garamond"/>
                                <w:sz w:val="19"/>
                                <w:szCs w:val="19"/>
                              </w:rPr>
                              <w:t>uma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análise</w:t>
                            </w:r>
                            <w:proofErr w:type="spellEnd"/>
                            <w:r w:rsidRPr="00A23FBE">
                              <w:rPr>
                                <w:rFonts w:ascii="EB Garamond" w:eastAsia="EB Garamond" w:hAnsi="EB Garamond" w:cs="EB Garamond"/>
                                <w:sz w:val="19"/>
                                <w:szCs w:val="19"/>
                              </w:rPr>
                              <w:t xml:space="preserve"> comparativa dos respetivos </w:t>
                            </w:r>
                            <w:proofErr w:type="spellStart"/>
                            <w:r w:rsidRPr="00A23FBE">
                              <w:rPr>
                                <w:rFonts w:ascii="EB Garamond" w:eastAsia="EB Garamond" w:hAnsi="EB Garamond" w:cs="EB Garamond"/>
                                <w:sz w:val="19"/>
                                <w:szCs w:val="19"/>
                              </w:rPr>
                              <w:t>benefícios</w:t>
                            </w:r>
                            <w:proofErr w:type="spellEnd"/>
                            <w:r w:rsidRPr="00A23FBE">
                              <w:rPr>
                                <w:rFonts w:ascii="EB Garamond" w:eastAsia="EB Garamond" w:hAnsi="EB Garamond" w:cs="EB Garamond"/>
                                <w:sz w:val="19"/>
                                <w:szCs w:val="19"/>
                              </w:rPr>
                              <w:t xml:space="preserve"> e </w:t>
                            </w:r>
                            <w:proofErr w:type="spellStart"/>
                            <w:r w:rsidRPr="00A23FBE">
                              <w:rPr>
                                <w:rFonts w:ascii="EB Garamond" w:eastAsia="EB Garamond" w:hAnsi="EB Garamond" w:cs="EB Garamond"/>
                                <w:sz w:val="19"/>
                                <w:szCs w:val="19"/>
                              </w:rPr>
                              <w:t>limitações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tendo</w:t>
                            </w:r>
                            <w:proofErr w:type="spellEnd"/>
                            <w:r w:rsidRPr="00A23FBE">
                              <w:rPr>
                                <w:rFonts w:ascii="EB Garamond" w:eastAsia="EB Garamond" w:hAnsi="EB Garamond" w:cs="EB Garamond"/>
                                <w:sz w:val="19"/>
                                <w:szCs w:val="19"/>
                              </w:rPr>
                              <w:t xml:space="preserve"> em conta </w:t>
                            </w:r>
                            <w:proofErr w:type="spellStart"/>
                            <w:r w:rsidRPr="00A23FBE">
                              <w:rPr>
                                <w:rFonts w:ascii="EB Garamond" w:eastAsia="EB Garamond" w:hAnsi="EB Garamond" w:cs="EB Garamond"/>
                                <w:sz w:val="19"/>
                                <w:szCs w:val="19"/>
                              </w:rPr>
                              <w:t>critérios</w:t>
                            </w:r>
                            <w:proofErr w:type="spellEnd"/>
                            <w:r w:rsidRPr="00A23FBE">
                              <w:rPr>
                                <w:rFonts w:ascii="EB Garamond" w:eastAsia="EB Garamond" w:hAnsi="EB Garamond" w:cs="EB Garamond"/>
                                <w:sz w:val="19"/>
                                <w:szCs w:val="19"/>
                              </w:rPr>
                              <w:t xml:space="preserve"> como a </w:t>
                            </w:r>
                            <w:proofErr w:type="spellStart"/>
                            <w:r w:rsidRPr="00A23FBE">
                              <w:rPr>
                                <w:rFonts w:ascii="EB Garamond" w:eastAsia="EB Garamond" w:hAnsi="EB Garamond" w:cs="EB Garamond"/>
                                <w:sz w:val="19"/>
                                <w:szCs w:val="19"/>
                              </w:rPr>
                              <w:t>precisão</w:t>
                            </w:r>
                            <w:proofErr w:type="spellEnd"/>
                            <w:r w:rsidRPr="00A23FBE">
                              <w:rPr>
                                <w:rFonts w:ascii="EB Garamond" w:eastAsia="EB Garamond" w:hAnsi="EB Garamond" w:cs="EB Garamond"/>
                                <w:sz w:val="19"/>
                                <w:szCs w:val="19"/>
                              </w:rPr>
                              <w:t xml:space="preserve">, o </w:t>
                            </w:r>
                            <w:proofErr w:type="spellStart"/>
                            <w:r w:rsidRPr="00A23FBE">
                              <w:rPr>
                                <w:rFonts w:ascii="EB Garamond" w:eastAsia="EB Garamond" w:hAnsi="EB Garamond" w:cs="EB Garamond"/>
                                <w:sz w:val="19"/>
                                <w:szCs w:val="19"/>
                              </w:rPr>
                              <w:t>custo</w:t>
                            </w:r>
                            <w:proofErr w:type="spellEnd"/>
                            <w:r w:rsidRPr="00A23FBE">
                              <w:rPr>
                                <w:rFonts w:ascii="EB Garamond" w:eastAsia="EB Garamond" w:hAnsi="EB Garamond" w:cs="EB Garamond"/>
                                <w:sz w:val="19"/>
                                <w:szCs w:val="19"/>
                              </w:rPr>
                              <w:t xml:space="preserve">, a </w:t>
                            </w:r>
                            <w:proofErr w:type="spellStart"/>
                            <w:r w:rsidRPr="00A23FBE">
                              <w:rPr>
                                <w:rFonts w:ascii="EB Garamond" w:eastAsia="EB Garamond" w:hAnsi="EB Garamond" w:cs="EB Garamond"/>
                                <w:sz w:val="19"/>
                                <w:szCs w:val="19"/>
                              </w:rPr>
                              <w:t>flexibilidade</w:t>
                            </w:r>
                            <w:proofErr w:type="spellEnd"/>
                            <w:r w:rsidRPr="00A23FBE">
                              <w:rPr>
                                <w:rFonts w:ascii="EB Garamond" w:eastAsia="EB Garamond" w:hAnsi="EB Garamond" w:cs="EB Garamond"/>
                                <w:sz w:val="19"/>
                                <w:szCs w:val="19"/>
                              </w:rPr>
                              <w:t xml:space="preserve">, os requisitos técnicos e a </w:t>
                            </w:r>
                            <w:proofErr w:type="spellStart"/>
                            <w:r w:rsidRPr="00A23FBE">
                              <w:rPr>
                                <w:rFonts w:ascii="EB Garamond" w:eastAsia="EB Garamond" w:hAnsi="EB Garamond" w:cs="EB Garamond"/>
                                <w:sz w:val="19"/>
                                <w:szCs w:val="19"/>
                              </w:rPr>
                              <w:t>capacidade</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preditiva</w:t>
                            </w:r>
                            <w:proofErr w:type="spellEnd"/>
                            <w:r w:rsidRPr="00A23FBE">
                              <w:rPr>
                                <w:rFonts w:ascii="EB Garamond" w:eastAsia="EB Garamond" w:hAnsi="EB Garamond" w:cs="EB Garamond"/>
                                <w:sz w:val="19"/>
                                <w:szCs w:val="19"/>
                              </w:rPr>
                              <w:t xml:space="preserve">. Os resultados </w:t>
                            </w:r>
                            <w:proofErr w:type="spellStart"/>
                            <w:r w:rsidRPr="00A23FBE">
                              <w:rPr>
                                <w:rFonts w:ascii="EB Garamond" w:eastAsia="EB Garamond" w:hAnsi="EB Garamond" w:cs="EB Garamond"/>
                                <w:sz w:val="19"/>
                                <w:szCs w:val="19"/>
                              </w:rPr>
                              <w:t>mostram</w:t>
                            </w:r>
                            <w:proofErr w:type="spellEnd"/>
                            <w:r w:rsidRPr="00A23FBE">
                              <w:rPr>
                                <w:rFonts w:ascii="EB Garamond" w:eastAsia="EB Garamond" w:hAnsi="EB Garamond" w:cs="EB Garamond"/>
                                <w:sz w:val="19"/>
                                <w:szCs w:val="19"/>
                              </w:rPr>
                              <w:t xml:space="preserve"> que, </w:t>
                            </w:r>
                            <w:proofErr w:type="spellStart"/>
                            <w:r w:rsidRPr="00A23FBE">
                              <w:rPr>
                                <w:rFonts w:ascii="EB Garamond" w:eastAsia="EB Garamond" w:hAnsi="EB Garamond" w:cs="EB Garamond"/>
                                <w:sz w:val="19"/>
                                <w:szCs w:val="19"/>
                              </w:rPr>
                              <w:t>embora</w:t>
                            </w:r>
                            <w:proofErr w:type="spellEnd"/>
                            <w:r w:rsidRPr="00A23FBE">
                              <w:rPr>
                                <w:rFonts w:ascii="EB Garamond" w:eastAsia="EB Garamond" w:hAnsi="EB Garamond" w:cs="EB Garamond"/>
                                <w:sz w:val="19"/>
                                <w:szCs w:val="19"/>
                              </w:rPr>
                              <w:t xml:space="preserve"> os </w:t>
                            </w:r>
                            <w:proofErr w:type="spellStart"/>
                            <w:r w:rsidRPr="00A23FBE">
                              <w:rPr>
                                <w:rFonts w:ascii="EB Garamond" w:eastAsia="EB Garamond" w:hAnsi="EB Garamond" w:cs="EB Garamond"/>
                                <w:sz w:val="19"/>
                                <w:szCs w:val="19"/>
                              </w:rPr>
                              <w:t>ensaios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experimentais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ofereçam</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uma</w:t>
                            </w:r>
                            <w:proofErr w:type="spellEnd"/>
                            <w:r w:rsidRPr="00A23FBE">
                              <w:rPr>
                                <w:rFonts w:ascii="EB Garamond" w:eastAsia="EB Garamond" w:hAnsi="EB Garamond" w:cs="EB Garamond"/>
                                <w:sz w:val="19"/>
                                <w:szCs w:val="19"/>
                              </w:rPr>
                              <w:t xml:space="preserve"> elevada </w:t>
                            </w:r>
                            <w:proofErr w:type="spellStart"/>
                            <w:r w:rsidRPr="00A23FBE">
                              <w:rPr>
                                <w:rFonts w:ascii="EB Garamond" w:eastAsia="EB Garamond" w:hAnsi="EB Garamond" w:cs="EB Garamond"/>
                                <w:sz w:val="19"/>
                                <w:szCs w:val="19"/>
                              </w:rPr>
                              <w:t>fidelidade</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apresentam</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limitações</w:t>
                            </w:r>
                            <w:proofErr w:type="spellEnd"/>
                            <w:r w:rsidRPr="00A23FBE">
                              <w:rPr>
                                <w:rFonts w:ascii="EB Garamond" w:eastAsia="EB Garamond" w:hAnsi="EB Garamond" w:cs="EB Garamond"/>
                                <w:sz w:val="19"/>
                                <w:szCs w:val="19"/>
                              </w:rPr>
                              <w:t xml:space="preserve"> em termos de </w:t>
                            </w:r>
                            <w:proofErr w:type="spellStart"/>
                            <w:r w:rsidRPr="00A23FBE">
                              <w:rPr>
                                <w:rFonts w:ascii="EB Garamond" w:eastAsia="EB Garamond" w:hAnsi="EB Garamond" w:cs="EB Garamond"/>
                                <w:sz w:val="19"/>
                                <w:szCs w:val="19"/>
                              </w:rPr>
                              <w:t>custos</w:t>
                            </w:r>
                            <w:proofErr w:type="spellEnd"/>
                            <w:r w:rsidRPr="00A23FBE">
                              <w:rPr>
                                <w:rFonts w:ascii="EB Garamond" w:eastAsia="EB Garamond" w:hAnsi="EB Garamond" w:cs="EB Garamond"/>
                                <w:sz w:val="19"/>
                                <w:szCs w:val="19"/>
                              </w:rPr>
                              <w:t xml:space="preserve"> e </w:t>
                            </w:r>
                            <w:proofErr w:type="spellStart"/>
                            <w:r w:rsidRPr="00A23FBE">
                              <w:rPr>
                                <w:rFonts w:ascii="EB Garamond" w:eastAsia="EB Garamond" w:hAnsi="EB Garamond" w:cs="EB Garamond"/>
                                <w:sz w:val="19"/>
                                <w:szCs w:val="19"/>
                              </w:rPr>
                              <w:t>replicabilidade</w:t>
                            </w:r>
                            <w:proofErr w:type="spellEnd"/>
                            <w:r w:rsidRPr="00A23FBE">
                              <w:rPr>
                                <w:rFonts w:ascii="EB Garamond" w:eastAsia="EB Garamond" w:hAnsi="EB Garamond" w:cs="EB Garamond"/>
                                <w:sz w:val="19"/>
                                <w:szCs w:val="19"/>
                              </w:rPr>
                              <w:t xml:space="preserve">. Os modelos analíticos </w:t>
                            </w:r>
                            <w:proofErr w:type="spellStart"/>
                            <w:r w:rsidRPr="00A23FBE">
                              <w:rPr>
                                <w:rFonts w:ascii="EB Garamond" w:eastAsia="EB Garamond" w:hAnsi="EB Garamond" w:cs="EB Garamond"/>
                                <w:sz w:val="19"/>
                                <w:szCs w:val="19"/>
                              </w:rPr>
                              <w:t>destacam</w:t>
                            </w:r>
                            <w:proofErr w:type="spellEnd"/>
                            <w:r w:rsidRPr="00A23FBE">
                              <w:rPr>
                                <w:rFonts w:ascii="EB Garamond" w:eastAsia="EB Garamond" w:hAnsi="EB Garamond" w:cs="EB Garamond"/>
                                <w:sz w:val="19"/>
                                <w:szCs w:val="19"/>
                              </w:rPr>
                              <w:t xml:space="preserve">-se pela </w:t>
                            </w:r>
                            <w:proofErr w:type="spellStart"/>
                            <w:r w:rsidRPr="00A23FBE">
                              <w:rPr>
                                <w:rFonts w:ascii="EB Garamond" w:eastAsia="EB Garamond" w:hAnsi="EB Garamond" w:cs="EB Garamond"/>
                                <w:sz w:val="19"/>
                                <w:szCs w:val="19"/>
                              </w:rPr>
                              <w:t>sua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simplicidade</w:t>
                            </w:r>
                            <w:proofErr w:type="spellEnd"/>
                            <w:r w:rsidRPr="00A23FBE">
                              <w:rPr>
                                <w:rFonts w:ascii="EB Garamond" w:eastAsia="EB Garamond" w:hAnsi="EB Garamond" w:cs="EB Garamond"/>
                                <w:sz w:val="19"/>
                                <w:szCs w:val="19"/>
                              </w:rPr>
                              <w:t xml:space="preserve"> e rapidez, </w:t>
                            </w:r>
                            <w:proofErr w:type="spellStart"/>
                            <w:r w:rsidRPr="00A23FBE">
                              <w:rPr>
                                <w:rFonts w:ascii="EB Garamond" w:eastAsia="EB Garamond" w:hAnsi="EB Garamond" w:cs="EB Garamond"/>
                                <w:sz w:val="19"/>
                                <w:szCs w:val="19"/>
                              </w:rPr>
                              <w:t>embora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tendam</w:t>
                            </w:r>
                            <w:proofErr w:type="spellEnd"/>
                            <w:r w:rsidRPr="00A23FBE">
                              <w:rPr>
                                <w:rFonts w:ascii="EB Garamond" w:eastAsia="EB Garamond" w:hAnsi="EB Garamond" w:cs="EB Garamond"/>
                                <w:sz w:val="19"/>
                                <w:szCs w:val="19"/>
                              </w:rPr>
                              <w:t xml:space="preserve"> a perder </w:t>
                            </w:r>
                            <w:proofErr w:type="spellStart"/>
                            <w:r w:rsidRPr="00A23FBE">
                              <w:rPr>
                                <w:rFonts w:ascii="EB Garamond" w:eastAsia="EB Garamond" w:hAnsi="EB Garamond" w:cs="EB Garamond"/>
                                <w:sz w:val="19"/>
                                <w:szCs w:val="19"/>
                              </w:rPr>
                              <w:t>precisão</w:t>
                            </w:r>
                            <w:proofErr w:type="spellEnd"/>
                            <w:r w:rsidRPr="00A23FBE">
                              <w:rPr>
                                <w:rFonts w:ascii="EB Garamond" w:eastAsia="EB Garamond" w:hAnsi="EB Garamond" w:cs="EB Garamond"/>
                                <w:sz w:val="19"/>
                                <w:szCs w:val="19"/>
                              </w:rPr>
                              <w:t xml:space="preserve"> em sistemas </w:t>
                            </w:r>
                            <w:proofErr w:type="spellStart"/>
                            <w:r w:rsidRPr="00A23FBE">
                              <w:rPr>
                                <w:rFonts w:ascii="EB Garamond" w:eastAsia="EB Garamond" w:hAnsi="EB Garamond" w:cs="EB Garamond"/>
                                <w:sz w:val="19"/>
                                <w:szCs w:val="19"/>
                              </w:rPr>
                              <w:t>mais</w:t>
                            </w:r>
                            <w:proofErr w:type="spellEnd"/>
                            <w:r w:rsidRPr="00A23FBE">
                              <w:rPr>
                                <w:rFonts w:ascii="EB Garamond" w:eastAsia="EB Garamond" w:hAnsi="EB Garamond" w:cs="EB Garamond"/>
                                <w:sz w:val="19"/>
                                <w:szCs w:val="19"/>
                              </w:rPr>
                              <w:t xml:space="preserve"> complexos. As </w:t>
                            </w:r>
                            <w:proofErr w:type="spellStart"/>
                            <w:r w:rsidRPr="00A23FBE">
                              <w:rPr>
                                <w:rFonts w:ascii="EB Garamond" w:eastAsia="EB Garamond" w:hAnsi="EB Garamond" w:cs="EB Garamond"/>
                                <w:sz w:val="19"/>
                                <w:szCs w:val="19"/>
                              </w:rPr>
                              <w:t>simulações</w:t>
                            </w:r>
                            <w:proofErr w:type="spellEnd"/>
                            <w:r w:rsidRPr="00A23FBE">
                              <w:rPr>
                                <w:rFonts w:ascii="EB Garamond" w:eastAsia="EB Garamond" w:hAnsi="EB Garamond" w:cs="EB Garamond"/>
                                <w:sz w:val="19"/>
                                <w:szCs w:val="19"/>
                              </w:rPr>
                              <w:t xml:space="preserve"> numéricas </w:t>
                            </w:r>
                            <w:proofErr w:type="spellStart"/>
                            <w:r w:rsidRPr="00A23FBE">
                              <w:rPr>
                                <w:rFonts w:ascii="EB Garamond" w:eastAsia="EB Garamond" w:hAnsi="EB Garamond" w:cs="EB Garamond"/>
                                <w:sz w:val="19"/>
                                <w:szCs w:val="19"/>
                              </w:rPr>
                              <w:t>permitem</w:t>
                            </w:r>
                            <w:proofErr w:type="spellEnd"/>
                            <w:r w:rsidRPr="00A23FBE">
                              <w:rPr>
                                <w:rFonts w:ascii="EB Garamond" w:eastAsia="EB Garamond" w:hAnsi="EB Garamond" w:cs="EB Garamond"/>
                                <w:sz w:val="19"/>
                                <w:szCs w:val="19"/>
                              </w:rPr>
                              <w:t xml:space="preserve"> representar </w:t>
                            </w:r>
                            <w:proofErr w:type="spellStart"/>
                            <w:r w:rsidRPr="00A23FBE">
                              <w:rPr>
                                <w:rFonts w:ascii="EB Garamond" w:eastAsia="EB Garamond" w:hAnsi="EB Garamond" w:cs="EB Garamond"/>
                                <w:sz w:val="19"/>
                                <w:szCs w:val="19"/>
                              </w:rPr>
                              <w:t>estruturas</w:t>
                            </w:r>
                            <w:proofErr w:type="spellEnd"/>
                            <w:r w:rsidRPr="00A23FBE">
                              <w:rPr>
                                <w:rFonts w:ascii="EB Garamond" w:eastAsia="EB Garamond" w:hAnsi="EB Garamond" w:cs="EB Garamond"/>
                                <w:sz w:val="19"/>
                                <w:szCs w:val="19"/>
                              </w:rPr>
                              <w:t xml:space="preserve"> heterogéneas </w:t>
                            </w:r>
                            <w:proofErr w:type="spellStart"/>
                            <w:r w:rsidRPr="00A23FBE">
                              <w:rPr>
                                <w:rFonts w:ascii="EB Garamond" w:eastAsia="EB Garamond" w:hAnsi="EB Garamond" w:cs="EB Garamond"/>
                                <w:sz w:val="19"/>
                                <w:szCs w:val="19"/>
                              </w:rPr>
                              <w:t>com</w:t>
                            </w:r>
                            <w:proofErr w:type="spellEnd"/>
                            <w:r w:rsidRPr="00A23FBE">
                              <w:rPr>
                                <w:rFonts w:ascii="EB Garamond" w:eastAsia="EB Garamond" w:hAnsi="EB Garamond" w:cs="EB Garamond"/>
                                <w:sz w:val="19"/>
                                <w:szCs w:val="19"/>
                              </w:rPr>
                              <w:t xml:space="preserve"> grande </w:t>
                            </w:r>
                            <w:proofErr w:type="spellStart"/>
                            <w:r w:rsidRPr="00A23FBE">
                              <w:rPr>
                                <w:rFonts w:ascii="EB Garamond" w:eastAsia="EB Garamond" w:hAnsi="EB Garamond" w:cs="EB Garamond"/>
                                <w:sz w:val="19"/>
                                <w:szCs w:val="19"/>
                              </w:rPr>
                              <w:t>detalhe</w:t>
                            </w:r>
                            <w:proofErr w:type="spellEnd"/>
                            <w:r w:rsidRPr="00A23FBE">
                              <w:rPr>
                                <w:rFonts w:ascii="EB Garamond" w:eastAsia="EB Garamond" w:hAnsi="EB Garamond" w:cs="EB Garamond"/>
                                <w:sz w:val="19"/>
                                <w:szCs w:val="19"/>
                              </w:rPr>
                              <w:t xml:space="preserve">, mas </w:t>
                            </w:r>
                            <w:proofErr w:type="spellStart"/>
                            <w:r w:rsidRPr="00A23FBE">
                              <w:rPr>
                                <w:rFonts w:ascii="EB Garamond" w:eastAsia="EB Garamond" w:hAnsi="EB Garamond" w:cs="EB Garamond"/>
                                <w:sz w:val="19"/>
                                <w:szCs w:val="19"/>
                              </w:rPr>
                              <w:t>exigem</w:t>
                            </w:r>
                            <w:proofErr w:type="spellEnd"/>
                            <w:r w:rsidRPr="00A23FBE">
                              <w:rPr>
                                <w:rFonts w:ascii="EB Garamond" w:eastAsia="EB Garamond" w:hAnsi="EB Garamond" w:cs="EB Garamond"/>
                                <w:sz w:val="19"/>
                                <w:szCs w:val="19"/>
                              </w:rPr>
                              <w:t xml:space="preserve"> recursos informáticos significativos. Por </w:t>
                            </w:r>
                            <w:proofErr w:type="spellStart"/>
                            <w:r w:rsidRPr="00A23FBE">
                              <w:rPr>
                                <w:rFonts w:ascii="EB Garamond" w:eastAsia="EB Garamond" w:hAnsi="EB Garamond" w:cs="EB Garamond"/>
                                <w:sz w:val="19"/>
                                <w:szCs w:val="19"/>
                              </w:rPr>
                              <w:t>fim</w:t>
                            </w:r>
                            <w:proofErr w:type="spellEnd"/>
                            <w:r w:rsidRPr="00A23FBE">
                              <w:rPr>
                                <w:rFonts w:ascii="EB Garamond" w:eastAsia="EB Garamond" w:hAnsi="EB Garamond" w:cs="EB Garamond"/>
                                <w:sz w:val="19"/>
                                <w:szCs w:val="19"/>
                              </w:rPr>
                              <w:t xml:space="preserve">, as </w:t>
                            </w:r>
                            <w:proofErr w:type="spellStart"/>
                            <w:r w:rsidRPr="00A23FBE">
                              <w:rPr>
                                <w:rFonts w:ascii="EB Garamond" w:eastAsia="EB Garamond" w:hAnsi="EB Garamond" w:cs="EB Garamond"/>
                                <w:sz w:val="19"/>
                                <w:szCs w:val="19"/>
                              </w:rPr>
                              <w:t>abordagens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baseadas</w:t>
                            </w:r>
                            <w:proofErr w:type="spellEnd"/>
                            <w:r w:rsidRPr="00A23FBE">
                              <w:rPr>
                                <w:rFonts w:ascii="EB Garamond" w:eastAsia="EB Garamond" w:hAnsi="EB Garamond" w:cs="EB Garamond"/>
                                <w:sz w:val="19"/>
                                <w:szCs w:val="19"/>
                              </w:rPr>
                              <w:t xml:space="preserve"> em </w:t>
                            </w:r>
                            <w:proofErr w:type="spellStart"/>
                            <w:r w:rsidRPr="00A23FBE">
                              <w:rPr>
                                <w:rFonts w:ascii="EB Garamond" w:eastAsia="EB Garamond" w:hAnsi="EB Garamond" w:cs="EB Garamond"/>
                                <w:sz w:val="19"/>
                                <w:szCs w:val="19"/>
                              </w:rPr>
                              <w:t>inteligência</w:t>
                            </w:r>
                            <w:proofErr w:type="spellEnd"/>
                            <w:r w:rsidRPr="00A23FBE">
                              <w:rPr>
                                <w:rFonts w:ascii="EB Garamond" w:eastAsia="EB Garamond" w:hAnsi="EB Garamond" w:cs="EB Garamond"/>
                                <w:sz w:val="19"/>
                                <w:szCs w:val="19"/>
                              </w:rPr>
                              <w:t xml:space="preserve"> artificial </w:t>
                            </w:r>
                            <w:proofErr w:type="spellStart"/>
                            <w:r w:rsidRPr="00A23FBE">
                              <w:rPr>
                                <w:rFonts w:ascii="EB Garamond" w:eastAsia="EB Garamond" w:hAnsi="EB Garamond" w:cs="EB Garamond"/>
                                <w:sz w:val="19"/>
                                <w:szCs w:val="19"/>
                              </w:rPr>
                              <w:t>demonstram</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um</w:t>
                            </w:r>
                            <w:proofErr w:type="spellEnd"/>
                            <w:r w:rsidRPr="00A23FBE">
                              <w:rPr>
                                <w:rFonts w:ascii="EB Garamond" w:eastAsia="EB Garamond" w:hAnsi="EB Garamond" w:cs="EB Garamond"/>
                                <w:sz w:val="19"/>
                                <w:szCs w:val="19"/>
                              </w:rPr>
                              <w:t xml:space="preserve"> elevado potencial para </w:t>
                            </w:r>
                            <w:proofErr w:type="spellStart"/>
                            <w:r w:rsidRPr="00A23FBE">
                              <w:rPr>
                                <w:rFonts w:ascii="EB Garamond" w:eastAsia="EB Garamond" w:hAnsi="EB Garamond" w:cs="EB Garamond"/>
                                <w:sz w:val="19"/>
                                <w:szCs w:val="19"/>
                              </w:rPr>
                              <w:t>gerir</w:t>
                            </w:r>
                            <w:proofErr w:type="spellEnd"/>
                            <w:r w:rsidRPr="00A23FBE">
                              <w:rPr>
                                <w:rFonts w:ascii="EB Garamond" w:eastAsia="EB Garamond" w:hAnsi="EB Garamond" w:cs="EB Garamond"/>
                                <w:sz w:val="19"/>
                                <w:szCs w:val="19"/>
                              </w:rPr>
                              <w:t xml:space="preserve"> grandes </w:t>
                            </w:r>
                            <w:proofErr w:type="spellStart"/>
                            <w:r w:rsidRPr="00A23FBE">
                              <w:rPr>
                                <w:rFonts w:ascii="EB Garamond" w:eastAsia="EB Garamond" w:hAnsi="EB Garamond" w:cs="EB Garamond"/>
                                <w:sz w:val="19"/>
                                <w:szCs w:val="19"/>
                              </w:rPr>
                              <w:t>volumes</w:t>
                            </w:r>
                            <w:proofErr w:type="spellEnd"/>
                            <w:r w:rsidRPr="00A23FBE">
                              <w:rPr>
                                <w:rFonts w:ascii="EB Garamond" w:eastAsia="EB Garamond" w:hAnsi="EB Garamond" w:cs="EB Garamond"/>
                                <w:sz w:val="19"/>
                                <w:szCs w:val="19"/>
                              </w:rPr>
                              <w:t xml:space="preserve"> de dados e </w:t>
                            </w:r>
                            <w:proofErr w:type="spellStart"/>
                            <w:r w:rsidRPr="00A23FBE">
                              <w:rPr>
                                <w:rFonts w:ascii="EB Garamond" w:eastAsia="EB Garamond" w:hAnsi="EB Garamond" w:cs="EB Garamond"/>
                                <w:sz w:val="19"/>
                                <w:szCs w:val="19"/>
                              </w:rPr>
                              <w:t>reconhecer</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padrões</w:t>
                            </w:r>
                            <w:proofErr w:type="spellEnd"/>
                            <w:r w:rsidRPr="00A23FBE">
                              <w:rPr>
                                <w:rFonts w:ascii="EB Garamond" w:eastAsia="EB Garamond" w:hAnsi="EB Garamond" w:cs="EB Garamond"/>
                                <w:sz w:val="19"/>
                                <w:szCs w:val="19"/>
                              </w:rPr>
                              <w:t xml:space="preserve"> complexos, </w:t>
                            </w:r>
                            <w:proofErr w:type="spellStart"/>
                            <w:r w:rsidRPr="00A23FBE">
                              <w:rPr>
                                <w:rFonts w:ascii="EB Garamond" w:eastAsia="EB Garamond" w:hAnsi="EB Garamond" w:cs="EB Garamond"/>
                                <w:sz w:val="19"/>
                                <w:szCs w:val="19"/>
                              </w:rPr>
                              <w:t>embora</w:t>
                            </w:r>
                            <w:proofErr w:type="spellEnd"/>
                            <w:r w:rsidRPr="00A23FBE">
                              <w:rPr>
                                <w:rFonts w:ascii="EB Garamond" w:eastAsia="EB Garamond" w:hAnsi="EB Garamond" w:cs="EB Garamond"/>
                                <w:sz w:val="19"/>
                                <w:szCs w:val="19"/>
                              </w:rPr>
                              <w:t xml:space="preserve"> a </w:t>
                            </w:r>
                            <w:proofErr w:type="spellStart"/>
                            <w:r w:rsidRPr="00A23FBE">
                              <w:rPr>
                                <w:rFonts w:ascii="EB Garamond" w:eastAsia="EB Garamond" w:hAnsi="EB Garamond" w:cs="EB Garamond"/>
                                <w:sz w:val="19"/>
                                <w:szCs w:val="19"/>
                              </w:rPr>
                              <w:t>sua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eficácia</w:t>
                            </w:r>
                            <w:proofErr w:type="spellEnd"/>
                            <w:r w:rsidRPr="00A23FBE">
                              <w:rPr>
                                <w:rFonts w:ascii="EB Garamond" w:eastAsia="EB Garamond" w:hAnsi="EB Garamond" w:cs="EB Garamond"/>
                                <w:sz w:val="19"/>
                                <w:szCs w:val="19"/>
                              </w:rPr>
                              <w:t xml:space="preserve"> dependa em grande medida da </w:t>
                            </w:r>
                            <w:proofErr w:type="spellStart"/>
                            <w:r w:rsidRPr="00A23FBE">
                              <w:rPr>
                                <w:rFonts w:ascii="EB Garamond" w:eastAsia="EB Garamond" w:hAnsi="EB Garamond" w:cs="EB Garamond"/>
                                <w:sz w:val="19"/>
                                <w:szCs w:val="19"/>
                              </w:rPr>
                              <w:t>qualidade</w:t>
                            </w:r>
                            <w:proofErr w:type="spellEnd"/>
                            <w:r w:rsidRPr="00A23FBE">
                              <w:rPr>
                                <w:rFonts w:ascii="EB Garamond" w:eastAsia="EB Garamond" w:hAnsi="EB Garamond" w:cs="EB Garamond"/>
                                <w:sz w:val="19"/>
                                <w:szCs w:val="19"/>
                              </w:rPr>
                              <w:t xml:space="preserve"> e </w:t>
                            </w:r>
                            <w:proofErr w:type="spellStart"/>
                            <w:r w:rsidRPr="00A23FBE">
                              <w:rPr>
                                <w:rFonts w:ascii="EB Garamond" w:eastAsia="EB Garamond" w:hAnsi="EB Garamond" w:cs="EB Garamond"/>
                                <w:sz w:val="19"/>
                                <w:szCs w:val="19"/>
                              </w:rPr>
                              <w:t>representatividade</w:t>
                            </w:r>
                            <w:proofErr w:type="spellEnd"/>
                            <w:r w:rsidRPr="00A23FBE">
                              <w:rPr>
                                <w:rFonts w:ascii="EB Garamond" w:eastAsia="EB Garamond" w:hAnsi="EB Garamond" w:cs="EB Garamond"/>
                                <w:sz w:val="19"/>
                                <w:szCs w:val="19"/>
                              </w:rPr>
                              <w:t xml:space="preserve"> dos dados </w:t>
                            </w:r>
                            <w:proofErr w:type="spellStart"/>
                            <w:r w:rsidRPr="00A23FBE">
                              <w:rPr>
                                <w:rFonts w:ascii="EB Garamond" w:eastAsia="EB Garamond" w:hAnsi="EB Garamond" w:cs="EB Garamond"/>
                                <w:sz w:val="19"/>
                                <w:szCs w:val="19"/>
                              </w:rPr>
                              <w:t>disponíveis</w:t>
                            </w:r>
                            <w:proofErr w:type="spellEnd"/>
                            <w:r w:rsidRPr="00A23FBE">
                              <w:rPr>
                                <w:rFonts w:ascii="EB Garamond" w:eastAsia="EB Garamond" w:hAnsi="EB Garamond" w:cs="EB Garamond"/>
                                <w:sz w:val="19"/>
                                <w:szCs w:val="19"/>
                              </w:rPr>
                              <w:t>.</w:t>
                            </w:r>
                          </w:p>
                          <w:p w14:paraId="70E8B951" w14:textId="77777777" w:rsidR="00990D18" w:rsidRPr="00A23FBE" w:rsidRDefault="00990D18" w:rsidP="00990D18">
                            <w:pPr>
                              <w:ind w:right="364"/>
                              <w:jc w:val="both"/>
                              <w:textDirection w:val="btLr"/>
                              <w:rPr>
                                <w:rFonts w:ascii="EB Garamond" w:eastAsia="EB Garamond" w:hAnsi="EB Garamond" w:cs="EB Garamond"/>
                                <w:sz w:val="19"/>
                                <w:szCs w:val="19"/>
                              </w:rPr>
                            </w:pPr>
                          </w:p>
                          <w:p w14:paraId="18C3F988" w14:textId="28D0E4DD" w:rsidR="004B311C" w:rsidRPr="00A23FBE" w:rsidRDefault="00FF6F5A" w:rsidP="00990D18">
                            <w:pPr>
                              <w:ind w:right="364"/>
                              <w:jc w:val="both"/>
                              <w:textDirection w:val="btLr"/>
                              <w:rPr>
                                <w:sz w:val="19"/>
                                <w:szCs w:val="19"/>
                              </w:rPr>
                            </w:pPr>
                            <w:proofErr w:type="spellStart"/>
                            <w:r w:rsidRPr="00A23FBE">
                              <w:rPr>
                                <w:rFonts w:ascii="EB Garamond" w:eastAsia="EB Garamond" w:hAnsi="EB Garamond" w:cs="EB Garamond"/>
                                <w:sz w:val="19"/>
                                <w:szCs w:val="19"/>
                              </w:rPr>
                              <w:t>Palavras</w:t>
                            </w:r>
                            <w:proofErr w:type="spellEnd"/>
                            <w:r w:rsidRPr="00A23FBE">
                              <w:rPr>
                                <w:rFonts w:ascii="EB Garamond" w:eastAsia="EB Garamond" w:hAnsi="EB Garamond" w:cs="EB Garamond"/>
                                <w:sz w:val="19"/>
                                <w:szCs w:val="19"/>
                              </w:rPr>
                              <w:t>-chave:</w:t>
                            </w:r>
                            <w:r w:rsidR="00002F41" w:rsidRPr="00A23FBE">
                              <w:rPr>
                                <w:sz w:val="19"/>
                                <w:szCs w:val="19"/>
                              </w:rPr>
                              <w:t xml:space="preserve"> </w:t>
                            </w:r>
                            <w:r w:rsidR="00002F41" w:rsidRPr="00A23FBE">
                              <w:rPr>
                                <w:rFonts w:ascii="EB Garamond" w:eastAsia="EB Garamond" w:hAnsi="EB Garamond" w:cs="EB Garamond"/>
                                <w:sz w:val="19"/>
                                <w:szCs w:val="19"/>
                              </w:rPr>
                              <w:t xml:space="preserve">Elementos finitos, </w:t>
                            </w:r>
                            <w:proofErr w:type="spellStart"/>
                            <w:r w:rsidR="00002F41" w:rsidRPr="00A23FBE">
                              <w:rPr>
                                <w:rFonts w:ascii="EB Garamond" w:eastAsia="EB Garamond" w:hAnsi="EB Garamond" w:cs="EB Garamond"/>
                                <w:sz w:val="19"/>
                                <w:szCs w:val="19"/>
                              </w:rPr>
                              <w:t>Inteligência</w:t>
                            </w:r>
                            <w:proofErr w:type="spellEnd"/>
                            <w:r w:rsidR="00002F41" w:rsidRPr="00A23FBE">
                              <w:rPr>
                                <w:rFonts w:ascii="EB Garamond" w:eastAsia="EB Garamond" w:hAnsi="EB Garamond" w:cs="EB Garamond"/>
                                <w:sz w:val="19"/>
                                <w:szCs w:val="19"/>
                              </w:rPr>
                              <w:t xml:space="preserve"> artificial, </w:t>
                            </w:r>
                            <w:proofErr w:type="spellStart"/>
                            <w:r w:rsidR="00002F41" w:rsidRPr="00A23FBE">
                              <w:rPr>
                                <w:rFonts w:ascii="EB Garamond" w:eastAsia="EB Garamond" w:hAnsi="EB Garamond" w:cs="EB Garamond"/>
                                <w:sz w:val="19"/>
                                <w:szCs w:val="19"/>
                              </w:rPr>
                              <w:t>Materiais</w:t>
                            </w:r>
                            <w:proofErr w:type="spellEnd"/>
                            <w:r w:rsidR="00002F41" w:rsidRPr="00A23FBE">
                              <w:rPr>
                                <w:rFonts w:ascii="EB Garamond" w:eastAsia="EB Garamond" w:hAnsi="EB Garamond" w:cs="EB Garamond"/>
                                <w:sz w:val="19"/>
                                <w:szCs w:val="19"/>
                              </w:rPr>
                              <w:t xml:space="preserve"> </w:t>
                            </w:r>
                            <w:proofErr w:type="spellStart"/>
                            <w:r w:rsidR="00002F41" w:rsidRPr="00A23FBE">
                              <w:rPr>
                                <w:rFonts w:ascii="EB Garamond" w:eastAsia="EB Garamond" w:hAnsi="EB Garamond" w:cs="EB Garamond"/>
                                <w:sz w:val="19"/>
                                <w:szCs w:val="19"/>
                              </w:rPr>
                              <w:t>compostos</w:t>
                            </w:r>
                            <w:proofErr w:type="spellEnd"/>
                            <w:r w:rsidR="00002F41" w:rsidRPr="00A23FBE">
                              <w:rPr>
                                <w:rFonts w:ascii="EB Garamond" w:eastAsia="EB Garamond" w:hAnsi="EB Garamond" w:cs="EB Garamond"/>
                                <w:sz w:val="19"/>
                                <w:szCs w:val="19"/>
                              </w:rPr>
                              <w:t xml:space="preserve">, </w:t>
                            </w:r>
                            <w:proofErr w:type="spellStart"/>
                            <w:r w:rsidR="00002F41" w:rsidRPr="00A23FBE">
                              <w:rPr>
                                <w:rFonts w:ascii="EB Garamond" w:eastAsia="EB Garamond" w:hAnsi="EB Garamond" w:cs="EB Garamond"/>
                                <w:sz w:val="19"/>
                                <w:szCs w:val="19"/>
                              </w:rPr>
                              <w:t>Previsão</w:t>
                            </w:r>
                            <w:proofErr w:type="spellEnd"/>
                            <w:r w:rsidR="00002F41" w:rsidRPr="00A23FBE">
                              <w:rPr>
                                <w:rFonts w:ascii="EB Garamond" w:eastAsia="EB Garamond" w:hAnsi="EB Garamond" w:cs="EB Garamond"/>
                                <w:sz w:val="19"/>
                                <w:szCs w:val="19"/>
                              </w:rPr>
                              <w:t xml:space="preserve">, Propriedades </w:t>
                            </w:r>
                            <w:proofErr w:type="spellStart"/>
                            <w:r w:rsidR="00002F41" w:rsidRPr="00A23FBE">
                              <w:rPr>
                                <w:rFonts w:ascii="EB Garamond" w:eastAsia="EB Garamond" w:hAnsi="EB Garamond" w:cs="EB Garamond"/>
                                <w:sz w:val="19"/>
                                <w:szCs w:val="19"/>
                              </w:rPr>
                              <w:t>mecânicas</w:t>
                            </w:r>
                            <w:proofErr w:type="spellEnd"/>
                          </w:p>
                          <w:p w14:paraId="31489E90" w14:textId="77777777" w:rsidR="004B311C" w:rsidRPr="00A23FBE" w:rsidRDefault="004B311C">
                            <w:pPr>
                              <w:spacing w:line="288" w:lineRule="auto"/>
                              <w:textDirection w:val="btLr"/>
                              <w:rPr>
                                <w:sz w:val="19"/>
                                <w:szCs w:val="19"/>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EDA3641" id="Rectángulo 11" o:spid="_x0000_s1028" style="position:absolute;left:0;text-align:left;margin-left:442.75pt;margin-top:50pt;width:493.95pt;height:214.35pt;z-index:-25165619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" fillcolor="white [3201]">
                <v:stroke startarrowwidth="narrow" startarrowlength="short" endarrowwidth="narrow" endarrowlength="short"/>
                <v:textbox inset="2.53958mm,1.2694mm,2.53958mm,1.2694mm">
                  <w:txbxContent>
                    <w:p w14:paraId="650BE35D" w14:textId="77777777" w:rsidR="004B311C" w:rsidRDefault="00FF6F5A">
                      <w:pPr>
                        <w:spacing w:line="288" w:lineRule="auto"/>
                        <w:jc w:val="both"/>
                        <w:textDirection w:val="btLr"/>
                      </w:pPr>
                      <w:r>
                        <w:rPr>
                          <w:rFonts w:ascii="EB Garamond" w:eastAsia="EB Garamond" w:hAnsi="EB Garamond" w:cs="EB Garamond"/>
                          <w:b/>
                          <w:color w:val="000000"/>
                        </w:rPr>
                        <w:t>Resumo</w:t>
                      </w:r>
                    </w:p>
                    <w:p w14:paraId="141E5E13" w14:textId="50E64EBF" w:rsidR="004B311C" w:rsidRPr="00A23FBE" w:rsidRDefault="000C25F9" w:rsidP="00990D18">
                      <w:pPr>
                        <w:ind w:right="364"/>
                        <w:jc w:val="both"/>
                        <w:textDirection w:val="btLr"/>
                        <w:rPr>
                          <w:rFonts w:ascii="EB Garamond" w:eastAsia="EB Garamond" w:hAnsi="EB Garamond" w:cs="EB Garamond"/>
                          <w:sz w:val="19"/>
                          <w:szCs w:val="19"/>
                        </w:rPr>
                      </w:pPr>
                      <w:r w:rsidRPr="00A23FBE">
                        <w:rPr>
                          <w:rFonts w:ascii="EB Garamond" w:eastAsia="EB Garamond" w:hAnsi="EB Garamond" w:cs="EB Garamond"/>
                          <w:sz w:val="19"/>
                          <w:szCs w:val="19"/>
                        </w:rPr>
                        <w:t xml:space="preserve">A </w:t>
                      </w:r>
                      <w:proofErr w:type="spellStart"/>
                      <w:r w:rsidRPr="00A23FBE">
                        <w:rPr>
                          <w:rFonts w:ascii="EB Garamond" w:eastAsia="EB Garamond" w:hAnsi="EB Garamond" w:cs="EB Garamond"/>
                          <w:sz w:val="19"/>
                          <w:szCs w:val="19"/>
                        </w:rPr>
                        <w:t>previsão</w:t>
                      </w:r>
                      <w:proofErr w:type="spellEnd"/>
                      <w:r w:rsidRPr="00A23FBE">
                        <w:rPr>
                          <w:rFonts w:ascii="EB Garamond" w:eastAsia="EB Garamond" w:hAnsi="EB Garamond" w:cs="EB Garamond"/>
                          <w:sz w:val="19"/>
                          <w:szCs w:val="19"/>
                        </w:rPr>
                        <w:t xml:space="preserve"> precisa das propriedades </w:t>
                      </w:r>
                      <w:proofErr w:type="spellStart"/>
                      <w:r w:rsidRPr="00A23FBE">
                        <w:rPr>
                          <w:rFonts w:ascii="EB Garamond" w:eastAsia="EB Garamond" w:hAnsi="EB Garamond" w:cs="EB Garamond"/>
                          <w:sz w:val="19"/>
                          <w:szCs w:val="19"/>
                        </w:rPr>
                        <w:t>mecânicas</w:t>
                      </w:r>
                      <w:proofErr w:type="spellEnd"/>
                      <w:r w:rsidRPr="00A23FBE">
                        <w:rPr>
                          <w:rFonts w:ascii="EB Garamond" w:eastAsia="EB Garamond" w:hAnsi="EB Garamond" w:cs="EB Garamond"/>
                          <w:sz w:val="19"/>
                          <w:szCs w:val="19"/>
                        </w:rPr>
                        <w:t xml:space="preserve"> dos </w:t>
                      </w:r>
                      <w:proofErr w:type="spellStart"/>
                      <w:r w:rsidRPr="00A23FBE">
                        <w:rPr>
                          <w:rFonts w:ascii="EB Garamond" w:eastAsia="EB Garamond" w:hAnsi="EB Garamond" w:cs="EB Garamond"/>
                          <w:sz w:val="19"/>
                          <w:szCs w:val="19"/>
                        </w:rPr>
                        <w:t>materiais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compósitos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constitui</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um</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desafio</w:t>
                      </w:r>
                      <w:proofErr w:type="spellEnd"/>
                      <w:r w:rsidRPr="00A23FBE">
                        <w:rPr>
                          <w:rFonts w:ascii="EB Garamond" w:eastAsia="EB Garamond" w:hAnsi="EB Garamond" w:cs="EB Garamond"/>
                          <w:sz w:val="19"/>
                          <w:szCs w:val="19"/>
                        </w:rPr>
                        <w:t xml:space="preserve"> técnico significativo, dado que estes </w:t>
                      </w:r>
                      <w:proofErr w:type="spellStart"/>
                      <w:r w:rsidRPr="00A23FBE">
                        <w:rPr>
                          <w:rFonts w:ascii="EB Garamond" w:eastAsia="EB Garamond" w:hAnsi="EB Garamond" w:cs="EB Garamond"/>
                          <w:sz w:val="19"/>
                          <w:szCs w:val="19"/>
                        </w:rPr>
                        <w:t>apresentam</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uma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estrutura</w:t>
                      </w:r>
                      <w:proofErr w:type="spellEnd"/>
                      <w:r w:rsidRPr="00A23FBE">
                        <w:rPr>
                          <w:rFonts w:ascii="EB Garamond" w:eastAsia="EB Garamond" w:hAnsi="EB Garamond" w:cs="EB Garamond"/>
                          <w:sz w:val="19"/>
                          <w:szCs w:val="19"/>
                        </w:rPr>
                        <w:t xml:space="preserve"> interna complexa e </w:t>
                      </w:r>
                      <w:proofErr w:type="spellStart"/>
                      <w:r w:rsidRPr="00A23FBE">
                        <w:rPr>
                          <w:rFonts w:ascii="EB Garamond" w:eastAsia="EB Garamond" w:hAnsi="EB Garamond" w:cs="EB Garamond"/>
                          <w:sz w:val="19"/>
                          <w:szCs w:val="19"/>
                        </w:rPr>
                        <w:t>uma</w:t>
                      </w:r>
                      <w:proofErr w:type="spellEnd"/>
                      <w:r w:rsidRPr="00A23FBE">
                        <w:rPr>
                          <w:rFonts w:ascii="EB Garamond" w:eastAsia="EB Garamond" w:hAnsi="EB Garamond" w:cs="EB Garamond"/>
                          <w:sz w:val="19"/>
                          <w:szCs w:val="19"/>
                        </w:rPr>
                        <w:t xml:space="preserve"> vasta gama de </w:t>
                      </w:r>
                      <w:proofErr w:type="spellStart"/>
                      <w:r w:rsidRPr="00A23FBE">
                        <w:rPr>
                          <w:rFonts w:ascii="EB Garamond" w:eastAsia="EB Garamond" w:hAnsi="EB Garamond" w:cs="EB Garamond"/>
                          <w:sz w:val="19"/>
                          <w:szCs w:val="19"/>
                        </w:rPr>
                        <w:t>combinações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possíveis</w:t>
                      </w:r>
                      <w:proofErr w:type="spellEnd"/>
                      <w:r w:rsidRPr="00A23FBE">
                        <w:rPr>
                          <w:rFonts w:ascii="EB Garamond" w:eastAsia="EB Garamond" w:hAnsi="EB Garamond" w:cs="EB Garamond"/>
                          <w:sz w:val="19"/>
                          <w:szCs w:val="19"/>
                        </w:rPr>
                        <w:t xml:space="preserve"> entre </w:t>
                      </w:r>
                      <w:proofErr w:type="spellStart"/>
                      <w:r w:rsidRPr="00A23FBE">
                        <w:rPr>
                          <w:rFonts w:ascii="EB Garamond" w:eastAsia="EB Garamond" w:hAnsi="EB Garamond" w:cs="EB Garamond"/>
                          <w:sz w:val="19"/>
                          <w:szCs w:val="19"/>
                        </w:rPr>
                        <w:t>matrizes</w:t>
                      </w:r>
                      <w:proofErr w:type="spellEnd"/>
                      <w:r w:rsidRPr="00A23FBE">
                        <w:rPr>
                          <w:rFonts w:ascii="EB Garamond" w:eastAsia="EB Garamond" w:hAnsi="EB Garamond" w:cs="EB Garamond"/>
                          <w:sz w:val="19"/>
                          <w:szCs w:val="19"/>
                        </w:rPr>
                        <w:t xml:space="preserve"> e </w:t>
                      </w:r>
                      <w:proofErr w:type="spellStart"/>
                      <w:r w:rsidRPr="00A23FBE">
                        <w:rPr>
                          <w:rFonts w:ascii="EB Garamond" w:eastAsia="EB Garamond" w:hAnsi="EB Garamond" w:cs="EB Garamond"/>
                          <w:sz w:val="19"/>
                          <w:szCs w:val="19"/>
                        </w:rPr>
                        <w:t>reforços</w:t>
                      </w:r>
                      <w:proofErr w:type="spellEnd"/>
                      <w:r w:rsidRPr="00A23FBE">
                        <w:rPr>
                          <w:rFonts w:ascii="EB Garamond" w:eastAsia="EB Garamond" w:hAnsi="EB Garamond" w:cs="EB Garamond"/>
                          <w:sz w:val="19"/>
                          <w:szCs w:val="19"/>
                        </w:rPr>
                        <w:t xml:space="preserve">. O presente </w:t>
                      </w:r>
                      <w:proofErr w:type="spellStart"/>
                      <w:r w:rsidRPr="00A23FBE">
                        <w:rPr>
                          <w:rFonts w:ascii="EB Garamond" w:eastAsia="EB Garamond" w:hAnsi="EB Garamond" w:cs="EB Garamond"/>
                          <w:sz w:val="19"/>
                          <w:szCs w:val="19"/>
                        </w:rPr>
                        <w:t>trabalho</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tem</w:t>
                      </w:r>
                      <w:proofErr w:type="spellEnd"/>
                      <w:r w:rsidRPr="00A23FBE">
                        <w:rPr>
                          <w:rFonts w:ascii="EB Garamond" w:eastAsia="EB Garamond" w:hAnsi="EB Garamond" w:cs="EB Garamond"/>
                          <w:sz w:val="19"/>
                          <w:szCs w:val="19"/>
                        </w:rPr>
                        <w:t xml:space="preserve"> como objetivo </w:t>
                      </w:r>
                      <w:proofErr w:type="spellStart"/>
                      <w:r w:rsidRPr="00A23FBE">
                        <w:rPr>
                          <w:rFonts w:ascii="EB Garamond" w:eastAsia="EB Garamond" w:hAnsi="EB Garamond" w:cs="EB Garamond"/>
                          <w:sz w:val="19"/>
                          <w:szCs w:val="19"/>
                        </w:rPr>
                        <w:t>analisar</w:t>
                      </w:r>
                      <w:proofErr w:type="spellEnd"/>
                      <w:r w:rsidRPr="00A23FBE">
                        <w:rPr>
                          <w:rFonts w:ascii="EB Garamond" w:eastAsia="EB Garamond" w:hAnsi="EB Garamond" w:cs="EB Garamond"/>
                          <w:sz w:val="19"/>
                          <w:szCs w:val="19"/>
                        </w:rPr>
                        <w:t xml:space="preserve"> e comparar as </w:t>
                      </w:r>
                      <w:proofErr w:type="spellStart"/>
                      <w:r w:rsidRPr="00A23FBE">
                        <w:rPr>
                          <w:rFonts w:ascii="EB Garamond" w:eastAsia="EB Garamond" w:hAnsi="EB Garamond" w:cs="EB Garamond"/>
                          <w:sz w:val="19"/>
                          <w:szCs w:val="19"/>
                        </w:rPr>
                        <w:t>principais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metodologias</w:t>
                      </w:r>
                      <w:proofErr w:type="spellEnd"/>
                      <w:r w:rsidRPr="00A23FBE">
                        <w:rPr>
                          <w:rFonts w:ascii="EB Garamond" w:eastAsia="EB Garamond" w:hAnsi="EB Garamond" w:cs="EB Garamond"/>
                          <w:sz w:val="19"/>
                          <w:szCs w:val="19"/>
                        </w:rPr>
                        <w:t xml:space="preserve"> utilizadas para </w:t>
                      </w:r>
                      <w:proofErr w:type="spellStart"/>
                      <w:r w:rsidRPr="00A23FBE">
                        <w:rPr>
                          <w:rFonts w:ascii="EB Garamond" w:eastAsia="EB Garamond" w:hAnsi="EB Garamond" w:cs="EB Garamond"/>
                          <w:sz w:val="19"/>
                          <w:szCs w:val="19"/>
                        </w:rPr>
                        <w:t>esse</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efeito</w:t>
                      </w:r>
                      <w:proofErr w:type="spellEnd"/>
                      <w:r w:rsidRPr="00A23FBE">
                        <w:rPr>
                          <w:rFonts w:ascii="EB Garamond" w:eastAsia="EB Garamond" w:hAnsi="EB Garamond" w:cs="EB Garamond"/>
                          <w:sz w:val="19"/>
                          <w:szCs w:val="19"/>
                        </w:rPr>
                        <w:t xml:space="preserve">, agrupando-as </w:t>
                      </w:r>
                      <w:proofErr w:type="spellStart"/>
                      <w:r w:rsidRPr="00A23FBE">
                        <w:rPr>
                          <w:rFonts w:ascii="EB Garamond" w:eastAsia="EB Garamond" w:hAnsi="EB Garamond" w:cs="EB Garamond"/>
                          <w:sz w:val="19"/>
                          <w:szCs w:val="19"/>
                        </w:rPr>
                        <w:t>consoante</w:t>
                      </w:r>
                      <w:proofErr w:type="spellEnd"/>
                      <w:r w:rsidRPr="00A23FBE">
                        <w:rPr>
                          <w:rFonts w:ascii="EB Garamond" w:eastAsia="EB Garamond" w:hAnsi="EB Garamond" w:cs="EB Garamond"/>
                          <w:sz w:val="19"/>
                          <w:szCs w:val="19"/>
                        </w:rPr>
                        <w:t xml:space="preserve"> a respetiva </w:t>
                      </w:r>
                      <w:proofErr w:type="spellStart"/>
                      <w:r w:rsidRPr="00A23FBE">
                        <w:rPr>
                          <w:rFonts w:ascii="EB Garamond" w:eastAsia="EB Garamond" w:hAnsi="EB Garamond" w:cs="EB Garamond"/>
                          <w:sz w:val="19"/>
                          <w:szCs w:val="19"/>
                        </w:rPr>
                        <w:t>abordagem</w:t>
                      </w:r>
                      <w:proofErr w:type="spellEnd"/>
                      <w:r w:rsidRPr="00A23FBE">
                        <w:rPr>
                          <w:rFonts w:ascii="EB Garamond" w:eastAsia="EB Garamond" w:hAnsi="EB Garamond" w:cs="EB Garamond"/>
                          <w:sz w:val="19"/>
                          <w:szCs w:val="19"/>
                        </w:rPr>
                        <w:t xml:space="preserve">. Para o </w:t>
                      </w:r>
                      <w:proofErr w:type="spellStart"/>
                      <w:r w:rsidRPr="00A23FBE">
                        <w:rPr>
                          <w:rFonts w:ascii="EB Garamond" w:eastAsia="EB Garamond" w:hAnsi="EB Garamond" w:cs="EB Garamond"/>
                          <w:sz w:val="19"/>
                          <w:szCs w:val="19"/>
                        </w:rPr>
                        <w:t>efeito</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foi</w:t>
                      </w:r>
                      <w:proofErr w:type="spellEnd"/>
                      <w:r w:rsidRPr="00A23FBE">
                        <w:rPr>
                          <w:rFonts w:ascii="EB Garamond" w:eastAsia="EB Garamond" w:hAnsi="EB Garamond" w:cs="EB Garamond"/>
                          <w:sz w:val="19"/>
                          <w:szCs w:val="19"/>
                        </w:rPr>
                        <w:t xml:space="preserve"> realizada </w:t>
                      </w:r>
                      <w:proofErr w:type="spellStart"/>
                      <w:r w:rsidRPr="00A23FBE">
                        <w:rPr>
                          <w:rFonts w:ascii="EB Garamond" w:eastAsia="EB Garamond" w:hAnsi="EB Garamond" w:cs="EB Garamond"/>
                          <w:sz w:val="19"/>
                          <w:szCs w:val="19"/>
                        </w:rPr>
                        <w:t>uma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revisão</w:t>
                      </w:r>
                      <w:proofErr w:type="spellEnd"/>
                      <w:r w:rsidRPr="00A23FBE">
                        <w:rPr>
                          <w:rFonts w:ascii="EB Garamond" w:eastAsia="EB Garamond" w:hAnsi="EB Garamond" w:cs="EB Garamond"/>
                          <w:sz w:val="19"/>
                          <w:szCs w:val="19"/>
                        </w:rPr>
                        <w:t xml:space="preserve"> bibliográfica </w:t>
                      </w:r>
                      <w:proofErr w:type="spellStart"/>
                      <w:r w:rsidRPr="00A23FBE">
                        <w:rPr>
                          <w:rFonts w:ascii="EB Garamond" w:eastAsia="EB Garamond" w:hAnsi="EB Garamond" w:cs="EB Garamond"/>
                          <w:sz w:val="19"/>
                          <w:szCs w:val="19"/>
                        </w:rPr>
                        <w:t>estruturada</w:t>
                      </w:r>
                      <w:proofErr w:type="spellEnd"/>
                      <w:r w:rsidRPr="00A23FBE">
                        <w:rPr>
                          <w:rFonts w:ascii="EB Garamond" w:eastAsia="EB Garamond" w:hAnsi="EB Garamond" w:cs="EB Garamond"/>
                          <w:sz w:val="19"/>
                          <w:szCs w:val="19"/>
                        </w:rPr>
                        <w:t xml:space="preserve"> da literatura publicada entre 2020 e 2024, </w:t>
                      </w:r>
                      <w:proofErr w:type="spellStart"/>
                      <w:r w:rsidRPr="00A23FBE">
                        <w:rPr>
                          <w:rFonts w:ascii="EB Garamond" w:eastAsia="EB Garamond" w:hAnsi="EB Garamond" w:cs="EB Garamond"/>
                          <w:sz w:val="19"/>
                          <w:szCs w:val="19"/>
                        </w:rPr>
                        <w:t>tendo</w:t>
                      </w:r>
                      <w:proofErr w:type="spellEnd"/>
                      <w:r w:rsidRPr="00A23FBE">
                        <w:rPr>
                          <w:rFonts w:ascii="EB Garamond" w:eastAsia="EB Garamond" w:hAnsi="EB Garamond" w:cs="EB Garamond"/>
                          <w:sz w:val="19"/>
                          <w:szCs w:val="19"/>
                        </w:rPr>
                        <w:t xml:space="preserve"> sido identificadas e </w:t>
                      </w:r>
                      <w:proofErr w:type="spellStart"/>
                      <w:r w:rsidRPr="00A23FBE">
                        <w:rPr>
                          <w:rFonts w:ascii="EB Garamond" w:eastAsia="EB Garamond" w:hAnsi="EB Garamond" w:cs="EB Garamond"/>
                          <w:sz w:val="19"/>
                          <w:szCs w:val="19"/>
                        </w:rPr>
                        <w:t>classificadas</w:t>
                      </w:r>
                      <w:proofErr w:type="spellEnd"/>
                      <w:r w:rsidRPr="00A23FBE">
                        <w:rPr>
                          <w:rFonts w:ascii="EB Garamond" w:eastAsia="EB Garamond" w:hAnsi="EB Garamond" w:cs="EB Garamond"/>
                          <w:sz w:val="19"/>
                          <w:szCs w:val="19"/>
                        </w:rPr>
                        <w:t xml:space="preserve"> as </w:t>
                      </w:r>
                      <w:proofErr w:type="spellStart"/>
                      <w:r w:rsidRPr="00A23FBE">
                        <w:rPr>
                          <w:rFonts w:ascii="EB Garamond" w:eastAsia="EB Garamond" w:hAnsi="EB Garamond" w:cs="EB Garamond"/>
                          <w:sz w:val="19"/>
                          <w:szCs w:val="19"/>
                        </w:rPr>
                        <w:t>estratégias</w:t>
                      </w:r>
                      <w:proofErr w:type="spellEnd"/>
                      <w:r w:rsidRPr="00A23FBE">
                        <w:rPr>
                          <w:rFonts w:ascii="EB Garamond" w:eastAsia="EB Garamond" w:hAnsi="EB Garamond" w:cs="EB Garamond"/>
                          <w:sz w:val="19"/>
                          <w:szCs w:val="19"/>
                        </w:rPr>
                        <w:t xml:space="preserve"> utilizadas em </w:t>
                      </w:r>
                      <w:proofErr w:type="spellStart"/>
                      <w:r w:rsidRPr="00A23FBE">
                        <w:rPr>
                          <w:rFonts w:ascii="EB Garamond" w:eastAsia="EB Garamond" w:hAnsi="EB Garamond" w:cs="EB Garamond"/>
                          <w:sz w:val="19"/>
                          <w:szCs w:val="19"/>
                        </w:rPr>
                        <w:t>quatro</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categorias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experimentais</w:t>
                      </w:r>
                      <w:proofErr w:type="spellEnd"/>
                      <w:r w:rsidRPr="00A23FBE">
                        <w:rPr>
                          <w:rFonts w:ascii="EB Garamond" w:eastAsia="EB Garamond" w:hAnsi="EB Garamond" w:cs="EB Garamond"/>
                          <w:sz w:val="19"/>
                          <w:szCs w:val="19"/>
                        </w:rPr>
                        <w:t xml:space="preserve">, analíticas, numéricas (em particular, o método dos elementos finitos) e </w:t>
                      </w:r>
                      <w:proofErr w:type="spellStart"/>
                      <w:r w:rsidRPr="00A23FBE">
                        <w:rPr>
                          <w:rFonts w:ascii="EB Garamond" w:eastAsia="EB Garamond" w:hAnsi="EB Garamond" w:cs="EB Garamond"/>
                          <w:sz w:val="19"/>
                          <w:szCs w:val="19"/>
                        </w:rPr>
                        <w:t>baseadas</w:t>
                      </w:r>
                      <w:proofErr w:type="spellEnd"/>
                      <w:r w:rsidRPr="00A23FBE">
                        <w:rPr>
                          <w:rFonts w:ascii="EB Garamond" w:eastAsia="EB Garamond" w:hAnsi="EB Garamond" w:cs="EB Garamond"/>
                          <w:sz w:val="19"/>
                          <w:szCs w:val="19"/>
                        </w:rPr>
                        <w:t xml:space="preserve"> em </w:t>
                      </w:r>
                      <w:proofErr w:type="spellStart"/>
                      <w:r w:rsidRPr="00A23FBE">
                        <w:rPr>
                          <w:rFonts w:ascii="EB Garamond" w:eastAsia="EB Garamond" w:hAnsi="EB Garamond" w:cs="EB Garamond"/>
                          <w:sz w:val="19"/>
                          <w:szCs w:val="19"/>
                        </w:rPr>
                        <w:t>inteligência</w:t>
                      </w:r>
                      <w:proofErr w:type="spellEnd"/>
                      <w:r w:rsidRPr="00A23FBE">
                        <w:rPr>
                          <w:rFonts w:ascii="EB Garamond" w:eastAsia="EB Garamond" w:hAnsi="EB Garamond" w:cs="EB Garamond"/>
                          <w:sz w:val="19"/>
                          <w:szCs w:val="19"/>
                        </w:rPr>
                        <w:t xml:space="preserve"> artificial. Posteriormente, </w:t>
                      </w:r>
                      <w:proofErr w:type="spellStart"/>
                      <w:r w:rsidRPr="00A23FBE">
                        <w:rPr>
                          <w:rFonts w:ascii="EB Garamond" w:eastAsia="EB Garamond" w:hAnsi="EB Garamond" w:cs="EB Garamond"/>
                          <w:sz w:val="19"/>
                          <w:szCs w:val="19"/>
                        </w:rPr>
                        <w:t>foi</w:t>
                      </w:r>
                      <w:proofErr w:type="spellEnd"/>
                      <w:r w:rsidRPr="00A23FBE">
                        <w:rPr>
                          <w:rFonts w:ascii="EB Garamond" w:eastAsia="EB Garamond" w:hAnsi="EB Garamond" w:cs="EB Garamond"/>
                          <w:sz w:val="19"/>
                          <w:szCs w:val="19"/>
                        </w:rPr>
                        <w:t xml:space="preserve"> realizada </w:t>
                      </w:r>
                      <w:proofErr w:type="spellStart"/>
                      <w:r w:rsidRPr="00A23FBE">
                        <w:rPr>
                          <w:rFonts w:ascii="EB Garamond" w:eastAsia="EB Garamond" w:hAnsi="EB Garamond" w:cs="EB Garamond"/>
                          <w:sz w:val="19"/>
                          <w:szCs w:val="19"/>
                        </w:rPr>
                        <w:t>uma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análise</w:t>
                      </w:r>
                      <w:proofErr w:type="spellEnd"/>
                      <w:r w:rsidRPr="00A23FBE">
                        <w:rPr>
                          <w:rFonts w:ascii="EB Garamond" w:eastAsia="EB Garamond" w:hAnsi="EB Garamond" w:cs="EB Garamond"/>
                          <w:sz w:val="19"/>
                          <w:szCs w:val="19"/>
                        </w:rPr>
                        <w:t xml:space="preserve"> comparativa dos respetivos </w:t>
                      </w:r>
                      <w:proofErr w:type="spellStart"/>
                      <w:r w:rsidRPr="00A23FBE">
                        <w:rPr>
                          <w:rFonts w:ascii="EB Garamond" w:eastAsia="EB Garamond" w:hAnsi="EB Garamond" w:cs="EB Garamond"/>
                          <w:sz w:val="19"/>
                          <w:szCs w:val="19"/>
                        </w:rPr>
                        <w:t>benefícios</w:t>
                      </w:r>
                      <w:proofErr w:type="spellEnd"/>
                      <w:r w:rsidRPr="00A23FBE">
                        <w:rPr>
                          <w:rFonts w:ascii="EB Garamond" w:eastAsia="EB Garamond" w:hAnsi="EB Garamond" w:cs="EB Garamond"/>
                          <w:sz w:val="19"/>
                          <w:szCs w:val="19"/>
                        </w:rPr>
                        <w:t xml:space="preserve"> e </w:t>
                      </w:r>
                      <w:proofErr w:type="spellStart"/>
                      <w:r w:rsidRPr="00A23FBE">
                        <w:rPr>
                          <w:rFonts w:ascii="EB Garamond" w:eastAsia="EB Garamond" w:hAnsi="EB Garamond" w:cs="EB Garamond"/>
                          <w:sz w:val="19"/>
                          <w:szCs w:val="19"/>
                        </w:rPr>
                        <w:t>limitações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tendo</w:t>
                      </w:r>
                      <w:proofErr w:type="spellEnd"/>
                      <w:r w:rsidRPr="00A23FBE">
                        <w:rPr>
                          <w:rFonts w:ascii="EB Garamond" w:eastAsia="EB Garamond" w:hAnsi="EB Garamond" w:cs="EB Garamond"/>
                          <w:sz w:val="19"/>
                          <w:szCs w:val="19"/>
                        </w:rPr>
                        <w:t xml:space="preserve"> em conta </w:t>
                      </w:r>
                      <w:proofErr w:type="spellStart"/>
                      <w:r w:rsidRPr="00A23FBE">
                        <w:rPr>
                          <w:rFonts w:ascii="EB Garamond" w:eastAsia="EB Garamond" w:hAnsi="EB Garamond" w:cs="EB Garamond"/>
                          <w:sz w:val="19"/>
                          <w:szCs w:val="19"/>
                        </w:rPr>
                        <w:t>critérios</w:t>
                      </w:r>
                      <w:proofErr w:type="spellEnd"/>
                      <w:r w:rsidRPr="00A23FBE">
                        <w:rPr>
                          <w:rFonts w:ascii="EB Garamond" w:eastAsia="EB Garamond" w:hAnsi="EB Garamond" w:cs="EB Garamond"/>
                          <w:sz w:val="19"/>
                          <w:szCs w:val="19"/>
                        </w:rPr>
                        <w:t xml:space="preserve"> como a </w:t>
                      </w:r>
                      <w:proofErr w:type="spellStart"/>
                      <w:r w:rsidRPr="00A23FBE">
                        <w:rPr>
                          <w:rFonts w:ascii="EB Garamond" w:eastAsia="EB Garamond" w:hAnsi="EB Garamond" w:cs="EB Garamond"/>
                          <w:sz w:val="19"/>
                          <w:szCs w:val="19"/>
                        </w:rPr>
                        <w:t>precisão</w:t>
                      </w:r>
                      <w:proofErr w:type="spellEnd"/>
                      <w:r w:rsidRPr="00A23FBE">
                        <w:rPr>
                          <w:rFonts w:ascii="EB Garamond" w:eastAsia="EB Garamond" w:hAnsi="EB Garamond" w:cs="EB Garamond"/>
                          <w:sz w:val="19"/>
                          <w:szCs w:val="19"/>
                        </w:rPr>
                        <w:t xml:space="preserve">, o </w:t>
                      </w:r>
                      <w:proofErr w:type="spellStart"/>
                      <w:r w:rsidRPr="00A23FBE">
                        <w:rPr>
                          <w:rFonts w:ascii="EB Garamond" w:eastAsia="EB Garamond" w:hAnsi="EB Garamond" w:cs="EB Garamond"/>
                          <w:sz w:val="19"/>
                          <w:szCs w:val="19"/>
                        </w:rPr>
                        <w:t>custo</w:t>
                      </w:r>
                      <w:proofErr w:type="spellEnd"/>
                      <w:r w:rsidRPr="00A23FBE">
                        <w:rPr>
                          <w:rFonts w:ascii="EB Garamond" w:eastAsia="EB Garamond" w:hAnsi="EB Garamond" w:cs="EB Garamond"/>
                          <w:sz w:val="19"/>
                          <w:szCs w:val="19"/>
                        </w:rPr>
                        <w:t xml:space="preserve">, a </w:t>
                      </w:r>
                      <w:proofErr w:type="spellStart"/>
                      <w:r w:rsidRPr="00A23FBE">
                        <w:rPr>
                          <w:rFonts w:ascii="EB Garamond" w:eastAsia="EB Garamond" w:hAnsi="EB Garamond" w:cs="EB Garamond"/>
                          <w:sz w:val="19"/>
                          <w:szCs w:val="19"/>
                        </w:rPr>
                        <w:t>flexibilidade</w:t>
                      </w:r>
                      <w:proofErr w:type="spellEnd"/>
                      <w:r w:rsidRPr="00A23FBE">
                        <w:rPr>
                          <w:rFonts w:ascii="EB Garamond" w:eastAsia="EB Garamond" w:hAnsi="EB Garamond" w:cs="EB Garamond"/>
                          <w:sz w:val="19"/>
                          <w:szCs w:val="19"/>
                        </w:rPr>
                        <w:t xml:space="preserve">, os requisitos técnicos e a </w:t>
                      </w:r>
                      <w:proofErr w:type="spellStart"/>
                      <w:r w:rsidRPr="00A23FBE">
                        <w:rPr>
                          <w:rFonts w:ascii="EB Garamond" w:eastAsia="EB Garamond" w:hAnsi="EB Garamond" w:cs="EB Garamond"/>
                          <w:sz w:val="19"/>
                          <w:szCs w:val="19"/>
                        </w:rPr>
                        <w:t>capacidade</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preditiva</w:t>
                      </w:r>
                      <w:proofErr w:type="spellEnd"/>
                      <w:r w:rsidRPr="00A23FBE">
                        <w:rPr>
                          <w:rFonts w:ascii="EB Garamond" w:eastAsia="EB Garamond" w:hAnsi="EB Garamond" w:cs="EB Garamond"/>
                          <w:sz w:val="19"/>
                          <w:szCs w:val="19"/>
                        </w:rPr>
                        <w:t xml:space="preserve">. Os resultados </w:t>
                      </w:r>
                      <w:proofErr w:type="spellStart"/>
                      <w:r w:rsidRPr="00A23FBE">
                        <w:rPr>
                          <w:rFonts w:ascii="EB Garamond" w:eastAsia="EB Garamond" w:hAnsi="EB Garamond" w:cs="EB Garamond"/>
                          <w:sz w:val="19"/>
                          <w:szCs w:val="19"/>
                        </w:rPr>
                        <w:t>mostram</w:t>
                      </w:r>
                      <w:proofErr w:type="spellEnd"/>
                      <w:r w:rsidRPr="00A23FBE">
                        <w:rPr>
                          <w:rFonts w:ascii="EB Garamond" w:eastAsia="EB Garamond" w:hAnsi="EB Garamond" w:cs="EB Garamond"/>
                          <w:sz w:val="19"/>
                          <w:szCs w:val="19"/>
                        </w:rPr>
                        <w:t xml:space="preserve"> que, </w:t>
                      </w:r>
                      <w:proofErr w:type="spellStart"/>
                      <w:r w:rsidRPr="00A23FBE">
                        <w:rPr>
                          <w:rFonts w:ascii="EB Garamond" w:eastAsia="EB Garamond" w:hAnsi="EB Garamond" w:cs="EB Garamond"/>
                          <w:sz w:val="19"/>
                          <w:szCs w:val="19"/>
                        </w:rPr>
                        <w:t>embora</w:t>
                      </w:r>
                      <w:proofErr w:type="spellEnd"/>
                      <w:r w:rsidRPr="00A23FBE">
                        <w:rPr>
                          <w:rFonts w:ascii="EB Garamond" w:eastAsia="EB Garamond" w:hAnsi="EB Garamond" w:cs="EB Garamond"/>
                          <w:sz w:val="19"/>
                          <w:szCs w:val="19"/>
                        </w:rPr>
                        <w:t xml:space="preserve"> os </w:t>
                      </w:r>
                      <w:proofErr w:type="spellStart"/>
                      <w:r w:rsidRPr="00A23FBE">
                        <w:rPr>
                          <w:rFonts w:ascii="EB Garamond" w:eastAsia="EB Garamond" w:hAnsi="EB Garamond" w:cs="EB Garamond"/>
                          <w:sz w:val="19"/>
                          <w:szCs w:val="19"/>
                        </w:rPr>
                        <w:t>ensaios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experimentais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ofereçam</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uma</w:t>
                      </w:r>
                      <w:proofErr w:type="spellEnd"/>
                      <w:r w:rsidRPr="00A23FBE">
                        <w:rPr>
                          <w:rFonts w:ascii="EB Garamond" w:eastAsia="EB Garamond" w:hAnsi="EB Garamond" w:cs="EB Garamond"/>
                          <w:sz w:val="19"/>
                          <w:szCs w:val="19"/>
                        </w:rPr>
                        <w:t xml:space="preserve"> elevada </w:t>
                      </w:r>
                      <w:proofErr w:type="spellStart"/>
                      <w:r w:rsidRPr="00A23FBE">
                        <w:rPr>
                          <w:rFonts w:ascii="EB Garamond" w:eastAsia="EB Garamond" w:hAnsi="EB Garamond" w:cs="EB Garamond"/>
                          <w:sz w:val="19"/>
                          <w:szCs w:val="19"/>
                        </w:rPr>
                        <w:t>fidelidade</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apresentam</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limitações</w:t>
                      </w:r>
                      <w:proofErr w:type="spellEnd"/>
                      <w:r w:rsidRPr="00A23FBE">
                        <w:rPr>
                          <w:rFonts w:ascii="EB Garamond" w:eastAsia="EB Garamond" w:hAnsi="EB Garamond" w:cs="EB Garamond"/>
                          <w:sz w:val="19"/>
                          <w:szCs w:val="19"/>
                        </w:rPr>
                        <w:t xml:space="preserve"> em termos de </w:t>
                      </w:r>
                      <w:proofErr w:type="spellStart"/>
                      <w:r w:rsidRPr="00A23FBE">
                        <w:rPr>
                          <w:rFonts w:ascii="EB Garamond" w:eastAsia="EB Garamond" w:hAnsi="EB Garamond" w:cs="EB Garamond"/>
                          <w:sz w:val="19"/>
                          <w:szCs w:val="19"/>
                        </w:rPr>
                        <w:t>custos</w:t>
                      </w:r>
                      <w:proofErr w:type="spellEnd"/>
                      <w:r w:rsidRPr="00A23FBE">
                        <w:rPr>
                          <w:rFonts w:ascii="EB Garamond" w:eastAsia="EB Garamond" w:hAnsi="EB Garamond" w:cs="EB Garamond"/>
                          <w:sz w:val="19"/>
                          <w:szCs w:val="19"/>
                        </w:rPr>
                        <w:t xml:space="preserve"> e </w:t>
                      </w:r>
                      <w:proofErr w:type="spellStart"/>
                      <w:r w:rsidRPr="00A23FBE">
                        <w:rPr>
                          <w:rFonts w:ascii="EB Garamond" w:eastAsia="EB Garamond" w:hAnsi="EB Garamond" w:cs="EB Garamond"/>
                          <w:sz w:val="19"/>
                          <w:szCs w:val="19"/>
                        </w:rPr>
                        <w:t>replicabilidade</w:t>
                      </w:r>
                      <w:proofErr w:type="spellEnd"/>
                      <w:r w:rsidRPr="00A23FBE">
                        <w:rPr>
                          <w:rFonts w:ascii="EB Garamond" w:eastAsia="EB Garamond" w:hAnsi="EB Garamond" w:cs="EB Garamond"/>
                          <w:sz w:val="19"/>
                          <w:szCs w:val="19"/>
                        </w:rPr>
                        <w:t xml:space="preserve">. Os modelos analíticos </w:t>
                      </w:r>
                      <w:proofErr w:type="spellStart"/>
                      <w:r w:rsidRPr="00A23FBE">
                        <w:rPr>
                          <w:rFonts w:ascii="EB Garamond" w:eastAsia="EB Garamond" w:hAnsi="EB Garamond" w:cs="EB Garamond"/>
                          <w:sz w:val="19"/>
                          <w:szCs w:val="19"/>
                        </w:rPr>
                        <w:t>destacam</w:t>
                      </w:r>
                      <w:proofErr w:type="spellEnd"/>
                      <w:r w:rsidRPr="00A23FBE">
                        <w:rPr>
                          <w:rFonts w:ascii="EB Garamond" w:eastAsia="EB Garamond" w:hAnsi="EB Garamond" w:cs="EB Garamond"/>
                          <w:sz w:val="19"/>
                          <w:szCs w:val="19"/>
                        </w:rPr>
                        <w:t xml:space="preserve">-se pela </w:t>
                      </w:r>
                      <w:proofErr w:type="spellStart"/>
                      <w:r w:rsidRPr="00A23FBE">
                        <w:rPr>
                          <w:rFonts w:ascii="EB Garamond" w:eastAsia="EB Garamond" w:hAnsi="EB Garamond" w:cs="EB Garamond"/>
                          <w:sz w:val="19"/>
                          <w:szCs w:val="19"/>
                        </w:rPr>
                        <w:t>sua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simplicidade</w:t>
                      </w:r>
                      <w:proofErr w:type="spellEnd"/>
                      <w:r w:rsidRPr="00A23FBE">
                        <w:rPr>
                          <w:rFonts w:ascii="EB Garamond" w:eastAsia="EB Garamond" w:hAnsi="EB Garamond" w:cs="EB Garamond"/>
                          <w:sz w:val="19"/>
                          <w:szCs w:val="19"/>
                        </w:rPr>
                        <w:t xml:space="preserve"> e rapidez, </w:t>
                      </w:r>
                      <w:proofErr w:type="spellStart"/>
                      <w:r w:rsidRPr="00A23FBE">
                        <w:rPr>
                          <w:rFonts w:ascii="EB Garamond" w:eastAsia="EB Garamond" w:hAnsi="EB Garamond" w:cs="EB Garamond"/>
                          <w:sz w:val="19"/>
                          <w:szCs w:val="19"/>
                        </w:rPr>
                        <w:t>embora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tendam</w:t>
                      </w:r>
                      <w:proofErr w:type="spellEnd"/>
                      <w:r w:rsidRPr="00A23FBE">
                        <w:rPr>
                          <w:rFonts w:ascii="EB Garamond" w:eastAsia="EB Garamond" w:hAnsi="EB Garamond" w:cs="EB Garamond"/>
                          <w:sz w:val="19"/>
                          <w:szCs w:val="19"/>
                        </w:rPr>
                        <w:t xml:space="preserve"> a perder </w:t>
                      </w:r>
                      <w:proofErr w:type="spellStart"/>
                      <w:r w:rsidRPr="00A23FBE">
                        <w:rPr>
                          <w:rFonts w:ascii="EB Garamond" w:eastAsia="EB Garamond" w:hAnsi="EB Garamond" w:cs="EB Garamond"/>
                          <w:sz w:val="19"/>
                          <w:szCs w:val="19"/>
                        </w:rPr>
                        <w:t>precisão</w:t>
                      </w:r>
                      <w:proofErr w:type="spellEnd"/>
                      <w:r w:rsidRPr="00A23FBE">
                        <w:rPr>
                          <w:rFonts w:ascii="EB Garamond" w:eastAsia="EB Garamond" w:hAnsi="EB Garamond" w:cs="EB Garamond"/>
                          <w:sz w:val="19"/>
                          <w:szCs w:val="19"/>
                        </w:rPr>
                        <w:t xml:space="preserve"> em sistemas </w:t>
                      </w:r>
                      <w:proofErr w:type="spellStart"/>
                      <w:r w:rsidRPr="00A23FBE">
                        <w:rPr>
                          <w:rFonts w:ascii="EB Garamond" w:eastAsia="EB Garamond" w:hAnsi="EB Garamond" w:cs="EB Garamond"/>
                          <w:sz w:val="19"/>
                          <w:szCs w:val="19"/>
                        </w:rPr>
                        <w:t>mais</w:t>
                      </w:r>
                      <w:proofErr w:type="spellEnd"/>
                      <w:r w:rsidRPr="00A23FBE">
                        <w:rPr>
                          <w:rFonts w:ascii="EB Garamond" w:eastAsia="EB Garamond" w:hAnsi="EB Garamond" w:cs="EB Garamond"/>
                          <w:sz w:val="19"/>
                          <w:szCs w:val="19"/>
                        </w:rPr>
                        <w:t xml:space="preserve"> complexos. As </w:t>
                      </w:r>
                      <w:proofErr w:type="spellStart"/>
                      <w:r w:rsidRPr="00A23FBE">
                        <w:rPr>
                          <w:rFonts w:ascii="EB Garamond" w:eastAsia="EB Garamond" w:hAnsi="EB Garamond" w:cs="EB Garamond"/>
                          <w:sz w:val="19"/>
                          <w:szCs w:val="19"/>
                        </w:rPr>
                        <w:t>simulações</w:t>
                      </w:r>
                      <w:proofErr w:type="spellEnd"/>
                      <w:r w:rsidRPr="00A23FBE">
                        <w:rPr>
                          <w:rFonts w:ascii="EB Garamond" w:eastAsia="EB Garamond" w:hAnsi="EB Garamond" w:cs="EB Garamond"/>
                          <w:sz w:val="19"/>
                          <w:szCs w:val="19"/>
                        </w:rPr>
                        <w:t xml:space="preserve"> numéricas </w:t>
                      </w:r>
                      <w:proofErr w:type="spellStart"/>
                      <w:r w:rsidRPr="00A23FBE">
                        <w:rPr>
                          <w:rFonts w:ascii="EB Garamond" w:eastAsia="EB Garamond" w:hAnsi="EB Garamond" w:cs="EB Garamond"/>
                          <w:sz w:val="19"/>
                          <w:szCs w:val="19"/>
                        </w:rPr>
                        <w:t>permitem</w:t>
                      </w:r>
                      <w:proofErr w:type="spellEnd"/>
                      <w:r w:rsidRPr="00A23FBE">
                        <w:rPr>
                          <w:rFonts w:ascii="EB Garamond" w:eastAsia="EB Garamond" w:hAnsi="EB Garamond" w:cs="EB Garamond"/>
                          <w:sz w:val="19"/>
                          <w:szCs w:val="19"/>
                        </w:rPr>
                        <w:t xml:space="preserve"> representar </w:t>
                      </w:r>
                      <w:proofErr w:type="spellStart"/>
                      <w:r w:rsidRPr="00A23FBE">
                        <w:rPr>
                          <w:rFonts w:ascii="EB Garamond" w:eastAsia="EB Garamond" w:hAnsi="EB Garamond" w:cs="EB Garamond"/>
                          <w:sz w:val="19"/>
                          <w:szCs w:val="19"/>
                        </w:rPr>
                        <w:t>estruturas</w:t>
                      </w:r>
                      <w:proofErr w:type="spellEnd"/>
                      <w:r w:rsidRPr="00A23FBE">
                        <w:rPr>
                          <w:rFonts w:ascii="EB Garamond" w:eastAsia="EB Garamond" w:hAnsi="EB Garamond" w:cs="EB Garamond"/>
                          <w:sz w:val="19"/>
                          <w:szCs w:val="19"/>
                        </w:rPr>
                        <w:t xml:space="preserve"> heterogéneas </w:t>
                      </w:r>
                      <w:proofErr w:type="spellStart"/>
                      <w:r w:rsidRPr="00A23FBE">
                        <w:rPr>
                          <w:rFonts w:ascii="EB Garamond" w:eastAsia="EB Garamond" w:hAnsi="EB Garamond" w:cs="EB Garamond"/>
                          <w:sz w:val="19"/>
                          <w:szCs w:val="19"/>
                        </w:rPr>
                        <w:t>com</w:t>
                      </w:r>
                      <w:proofErr w:type="spellEnd"/>
                      <w:r w:rsidRPr="00A23FBE">
                        <w:rPr>
                          <w:rFonts w:ascii="EB Garamond" w:eastAsia="EB Garamond" w:hAnsi="EB Garamond" w:cs="EB Garamond"/>
                          <w:sz w:val="19"/>
                          <w:szCs w:val="19"/>
                        </w:rPr>
                        <w:t xml:space="preserve"> grande </w:t>
                      </w:r>
                      <w:proofErr w:type="spellStart"/>
                      <w:r w:rsidRPr="00A23FBE">
                        <w:rPr>
                          <w:rFonts w:ascii="EB Garamond" w:eastAsia="EB Garamond" w:hAnsi="EB Garamond" w:cs="EB Garamond"/>
                          <w:sz w:val="19"/>
                          <w:szCs w:val="19"/>
                        </w:rPr>
                        <w:t>detalhe</w:t>
                      </w:r>
                      <w:proofErr w:type="spellEnd"/>
                      <w:r w:rsidRPr="00A23FBE">
                        <w:rPr>
                          <w:rFonts w:ascii="EB Garamond" w:eastAsia="EB Garamond" w:hAnsi="EB Garamond" w:cs="EB Garamond"/>
                          <w:sz w:val="19"/>
                          <w:szCs w:val="19"/>
                        </w:rPr>
                        <w:t xml:space="preserve">, mas </w:t>
                      </w:r>
                      <w:proofErr w:type="spellStart"/>
                      <w:r w:rsidRPr="00A23FBE">
                        <w:rPr>
                          <w:rFonts w:ascii="EB Garamond" w:eastAsia="EB Garamond" w:hAnsi="EB Garamond" w:cs="EB Garamond"/>
                          <w:sz w:val="19"/>
                          <w:szCs w:val="19"/>
                        </w:rPr>
                        <w:t>exigem</w:t>
                      </w:r>
                      <w:proofErr w:type="spellEnd"/>
                      <w:r w:rsidRPr="00A23FBE">
                        <w:rPr>
                          <w:rFonts w:ascii="EB Garamond" w:eastAsia="EB Garamond" w:hAnsi="EB Garamond" w:cs="EB Garamond"/>
                          <w:sz w:val="19"/>
                          <w:szCs w:val="19"/>
                        </w:rPr>
                        <w:t xml:space="preserve"> recursos informáticos significativos. Por </w:t>
                      </w:r>
                      <w:proofErr w:type="spellStart"/>
                      <w:r w:rsidRPr="00A23FBE">
                        <w:rPr>
                          <w:rFonts w:ascii="EB Garamond" w:eastAsia="EB Garamond" w:hAnsi="EB Garamond" w:cs="EB Garamond"/>
                          <w:sz w:val="19"/>
                          <w:szCs w:val="19"/>
                        </w:rPr>
                        <w:t>fim</w:t>
                      </w:r>
                      <w:proofErr w:type="spellEnd"/>
                      <w:r w:rsidRPr="00A23FBE">
                        <w:rPr>
                          <w:rFonts w:ascii="EB Garamond" w:eastAsia="EB Garamond" w:hAnsi="EB Garamond" w:cs="EB Garamond"/>
                          <w:sz w:val="19"/>
                          <w:szCs w:val="19"/>
                        </w:rPr>
                        <w:t xml:space="preserve">, as </w:t>
                      </w:r>
                      <w:proofErr w:type="spellStart"/>
                      <w:r w:rsidRPr="00A23FBE">
                        <w:rPr>
                          <w:rFonts w:ascii="EB Garamond" w:eastAsia="EB Garamond" w:hAnsi="EB Garamond" w:cs="EB Garamond"/>
                          <w:sz w:val="19"/>
                          <w:szCs w:val="19"/>
                        </w:rPr>
                        <w:t>abordagens</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baseadas</w:t>
                      </w:r>
                      <w:proofErr w:type="spellEnd"/>
                      <w:r w:rsidRPr="00A23FBE">
                        <w:rPr>
                          <w:rFonts w:ascii="EB Garamond" w:eastAsia="EB Garamond" w:hAnsi="EB Garamond" w:cs="EB Garamond"/>
                          <w:sz w:val="19"/>
                          <w:szCs w:val="19"/>
                        </w:rPr>
                        <w:t xml:space="preserve"> em </w:t>
                      </w:r>
                      <w:proofErr w:type="spellStart"/>
                      <w:r w:rsidRPr="00A23FBE">
                        <w:rPr>
                          <w:rFonts w:ascii="EB Garamond" w:eastAsia="EB Garamond" w:hAnsi="EB Garamond" w:cs="EB Garamond"/>
                          <w:sz w:val="19"/>
                          <w:szCs w:val="19"/>
                        </w:rPr>
                        <w:t>inteligência</w:t>
                      </w:r>
                      <w:proofErr w:type="spellEnd"/>
                      <w:r w:rsidRPr="00A23FBE">
                        <w:rPr>
                          <w:rFonts w:ascii="EB Garamond" w:eastAsia="EB Garamond" w:hAnsi="EB Garamond" w:cs="EB Garamond"/>
                          <w:sz w:val="19"/>
                          <w:szCs w:val="19"/>
                        </w:rPr>
                        <w:t xml:space="preserve"> artificial </w:t>
                      </w:r>
                      <w:proofErr w:type="spellStart"/>
                      <w:r w:rsidRPr="00A23FBE">
                        <w:rPr>
                          <w:rFonts w:ascii="EB Garamond" w:eastAsia="EB Garamond" w:hAnsi="EB Garamond" w:cs="EB Garamond"/>
                          <w:sz w:val="19"/>
                          <w:szCs w:val="19"/>
                        </w:rPr>
                        <w:t>demonstram</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um</w:t>
                      </w:r>
                      <w:proofErr w:type="spellEnd"/>
                      <w:r w:rsidRPr="00A23FBE">
                        <w:rPr>
                          <w:rFonts w:ascii="EB Garamond" w:eastAsia="EB Garamond" w:hAnsi="EB Garamond" w:cs="EB Garamond"/>
                          <w:sz w:val="19"/>
                          <w:szCs w:val="19"/>
                        </w:rPr>
                        <w:t xml:space="preserve"> elevado potencial para </w:t>
                      </w:r>
                      <w:proofErr w:type="spellStart"/>
                      <w:r w:rsidRPr="00A23FBE">
                        <w:rPr>
                          <w:rFonts w:ascii="EB Garamond" w:eastAsia="EB Garamond" w:hAnsi="EB Garamond" w:cs="EB Garamond"/>
                          <w:sz w:val="19"/>
                          <w:szCs w:val="19"/>
                        </w:rPr>
                        <w:t>gerir</w:t>
                      </w:r>
                      <w:proofErr w:type="spellEnd"/>
                      <w:r w:rsidRPr="00A23FBE">
                        <w:rPr>
                          <w:rFonts w:ascii="EB Garamond" w:eastAsia="EB Garamond" w:hAnsi="EB Garamond" w:cs="EB Garamond"/>
                          <w:sz w:val="19"/>
                          <w:szCs w:val="19"/>
                        </w:rPr>
                        <w:t xml:space="preserve"> grandes </w:t>
                      </w:r>
                      <w:proofErr w:type="spellStart"/>
                      <w:r w:rsidRPr="00A23FBE">
                        <w:rPr>
                          <w:rFonts w:ascii="EB Garamond" w:eastAsia="EB Garamond" w:hAnsi="EB Garamond" w:cs="EB Garamond"/>
                          <w:sz w:val="19"/>
                          <w:szCs w:val="19"/>
                        </w:rPr>
                        <w:t>volumes</w:t>
                      </w:r>
                      <w:proofErr w:type="spellEnd"/>
                      <w:r w:rsidRPr="00A23FBE">
                        <w:rPr>
                          <w:rFonts w:ascii="EB Garamond" w:eastAsia="EB Garamond" w:hAnsi="EB Garamond" w:cs="EB Garamond"/>
                          <w:sz w:val="19"/>
                          <w:szCs w:val="19"/>
                        </w:rPr>
                        <w:t xml:space="preserve"> de dados e </w:t>
                      </w:r>
                      <w:proofErr w:type="spellStart"/>
                      <w:r w:rsidRPr="00A23FBE">
                        <w:rPr>
                          <w:rFonts w:ascii="EB Garamond" w:eastAsia="EB Garamond" w:hAnsi="EB Garamond" w:cs="EB Garamond"/>
                          <w:sz w:val="19"/>
                          <w:szCs w:val="19"/>
                        </w:rPr>
                        <w:t>reconhecer</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padrões</w:t>
                      </w:r>
                      <w:proofErr w:type="spellEnd"/>
                      <w:r w:rsidRPr="00A23FBE">
                        <w:rPr>
                          <w:rFonts w:ascii="EB Garamond" w:eastAsia="EB Garamond" w:hAnsi="EB Garamond" w:cs="EB Garamond"/>
                          <w:sz w:val="19"/>
                          <w:szCs w:val="19"/>
                        </w:rPr>
                        <w:t xml:space="preserve"> complexos, </w:t>
                      </w:r>
                      <w:proofErr w:type="spellStart"/>
                      <w:r w:rsidRPr="00A23FBE">
                        <w:rPr>
                          <w:rFonts w:ascii="EB Garamond" w:eastAsia="EB Garamond" w:hAnsi="EB Garamond" w:cs="EB Garamond"/>
                          <w:sz w:val="19"/>
                          <w:szCs w:val="19"/>
                        </w:rPr>
                        <w:t>embora</w:t>
                      </w:r>
                      <w:proofErr w:type="spellEnd"/>
                      <w:r w:rsidRPr="00A23FBE">
                        <w:rPr>
                          <w:rFonts w:ascii="EB Garamond" w:eastAsia="EB Garamond" w:hAnsi="EB Garamond" w:cs="EB Garamond"/>
                          <w:sz w:val="19"/>
                          <w:szCs w:val="19"/>
                        </w:rPr>
                        <w:t xml:space="preserve"> a </w:t>
                      </w:r>
                      <w:proofErr w:type="spellStart"/>
                      <w:r w:rsidRPr="00A23FBE">
                        <w:rPr>
                          <w:rFonts w:ascii="EB Garamond" w:eastAsia="EB Garamond" w:hAnsi="EB Garamond" w:cs="EB Garamond"/>
                          <w:sz w:val="19"/>
                          <w:szCs w:val="19"/>
                        </w:rPr>
                        <w:t>sua</w:t>
                      </w:r>
                      <w:proofErr w:type="spellEnd"/>
                      <w:r w:rsidRPr="00A23FBE">
                        <w:rPr>
                          <w:rFonts w:ascii="EB Garamond" w:eastAsia="EB Garamond" w:hAnsi="EB Garamond" w:cs="EB Garamond"/>
                          <w:sz w:val="19"/>
                          <w:szCs w:val="19"/>
                        </w:rPr>
                        <w:t xml:space="preserve"> </w:t>
                      </w:r>
                      <w:proofErr w:type="spellStart"/>
                      <w:r w:rsidRPr="00A23FBE">
                        <w:rPr>
                          <w:rFonts w:ascii="EB Garamond" w:eastAsia="EB Garamond" w:hAnsi="EB Garamond" w:cs="EB Garamond"/>
                          <w:sz w:val="19"/>
                          <w:szCs w:val="19"/>
                        </w:rPr>
                        <w:t>eficácia</w:t>
                      </w:r>
                      <w:proofErr w:type="spellEnd"/>
                      <w:r w:rsidRPr="00A23FBE">
                        <w:rPr>
                          <w:rFonts w:ascii="EB Garamond" w:eastAsia="EB Garamond" w:hAnsi="EB Garamond" w:cs="EB Garamond"/>
                          <w:sz w:val="19"/>
                          <w:szCs w:val="19"/>
                        </w:rPr>
                        <w:t xml:space="preserve"> dependa em grande medida da </w:t>
                      </w:r>
                      <w:proofErr w:type="spellStart"/>
                      <w:r w:rsidRPr="00A23FBE">
                        <w:rPr>
                          <w:rFonts w:ascii="EB Garamond" w:eastAsia="EB Garamond" w:hAnsi="EB Garamond" w:cs="EB Garamond"/>
                          <w:sz w:val="19"/>
                          <w:szCs w:val="19"/>
                        </w:rPr>
                        <w:t>qualidade</w:t>
                      </w:r>
                      <w:proofErr w:type="spellEnd"/>
                      <w:r w:rsidRPr="00A23FBE">
                        <w:rPr>
                          <w:rFonts w:ascii="EB Garamond" w:eastAsia="EB Garamond" w:hAnsi="EB Garamond" w:cs="EB Garamond"/>
                          <w:sz w:val="19"/>
                          <w:szCs w:val="19"/>
                        </w:rPr>
                        <w:t xml:space="preserve"> e </w:t>
                      </w:r>
                      <w:proofErr w:type="spellStart"/>
                      <w:r w:rsidRPr="00A23FBE">
                        <w:rPr>
                          <w:rFonts w:ascii="EB Garamond" w:eastAsia="EB Garamond" w:hAnsi="EB Garamond" w:cs="EB Garamond"/>
                          <w:sz w:val="19"/>
                          <w:szCs w:val="19"/>
                        </w:rPr>
                        <w:t>representatividade</w:t>
                      </w:r>
                      <w:proofErr w:type="spellEnd"/>
                      <w:r w:rsidRPr="00A23FBE">
                        <w:rPr>
                          <w:rFonts w:ascii="EB Garamond" w:eastAsia="EB Garamond" w:hAnsi="EB Garamond" w:cs="EB Garamond"/>
                          <w:sz w:val="19"/>
                          <w:szCs w:val="19"/>
                        </w:rPr>
                        <w:t xml:space="preserve"> dos dados </w:t>
                      </w:r>
                      <w:proofErr w:type="spellStart"/>
                      <w:r w:rsidRPr="00A23FBE">
                        <w:rPr>
                          <w:rFonts w:ascii="EB Garamond" w:eastAsia="EB Garamond" w:hAnsi="EB Garamond" w:cs="EB Garamond"/>
                          <w:sz w:val="19"/>
                          <w:szCs w:val="19"/>
                        </w:rPr>
                        <w:t>disponíveis</w:t>
                      </w:r>
                      <w:proofErr w:type="spellEnd"/>
                      <w:r w:rsidRPr="00A23FBE">
                        <w:rPr>
                          <w:rFonts w:ascii="EB Garamond" w:eastAsia="EB Garamond" w:hAnsi="EB Garamond" w:cs="EB Garamond"/>
                          <w:sz w:val="19"/>
                          <w:szCs w:val="19"/>
                        </w:rPr>
                        <w:t>.</w:t>
                      </w:r>
                    </w:p>
                    <w:p w14:paraId="70E8B951" w14:textId="77777777" w:rsidR="00990D18" w:rsidRPr="00A23FBE" w:rsidRDefault="00990D18" w:rsidP="00990D18">
                      <w:pPr>
                        <w:ind w:right="364"/>
                        <w:jc w:val="both"/>
                        <w:textDirection w:val="btLr"/>
                        <w:rPr>
                          <w:rFonts w:ascii="EB Garamond" w:eastAsia="EB Garamond" w:hAnsi="EB Garamond" w:cs="EB Garamond"/>
                          <w:sz w:val="19"/>
                          <w:szCs w:val="19"/>
                        </w:rPr>
                      </w:pPr>
                    </w:p>
                    <w:p w14:paraId="18C3F988" w14:textId="28D0E4DD" w:rsidR="004B311C" w:rsidRPr="00A23FBE" w:rsidRDefault="00FF6F5A" w:rsidP="00990D18">
                      <w:pPr>
                        <w:ind w:right="364"/>
                        <w:jc w:val="both"/>
                        <w:textDirection w:val="btLr"/>
                        <w:rPr>
                          <w:sz w:val="19"/>
                          <w:szCs w:val="19"/>
                        </w:rPr>
                      </w:pPr>
                      <w:proofErr w:type="spellStart"/>
                      <w:r w:rsidRPr="00A23FBE">
                        <w:rPr>
                          <w:rFonts w:ascii="EB Garamond" w:eastAsia="EB Garamond" w:hAnsi="EB Garamond" w:cs="EB Garamond"/>
                          <w:sz w:val="19"/>
                          <w:szCs w:val="19"/>
                        </w:rPr>
                        <w:t>Palavras</w:t>
                      </w:r>
                      <w:proofErr w:type="spellEnd"/>
                      <w:r w:rsidRPr="00A23FBE">
                        <w:rPr>
                          <w:rFonts w:ascii="EB Garamond" w:eastAsia="EB Garamond" w:hAnsi="EB Garamond" w:cs="EB Garamond"/>
                          <w:sz w:val="19"/>
                          <w:szCs w:val="19"/>
                        </w:rPr>
                        <w:t>-chave:</w:t>
                      </w:r>
                      <w:r w:rsidR="00002F41" w:rsidRPr="00A23FBE">
                        <w:rPr>
                          <w:sz w:val="19"/>
                          <w:szCs w:val="19"/>
                        </w:rPr>
                        <w:t xml:space="preserve"> </w:t>
                      </w:r>
                      <w:r w:rsidR="00002F41" w:rsidRPr="00A23FBE">
                        <w:rPr>
                          <w:rFonts w:ascii="EB Garamond" w:eastAsia="EB Garamond" w:hAnsi="EB Garamond" w:cs="EB Garamond"/>
                          <w:sz w:val="19"/>
                          <w:szCs w:val="19"/>
                        </w:rPr>
                        <w:t xml:space="preserve">Elementos finitos, </w:t>
                      </w:r>
                      <w:proofErr w:type="spellStart"/>
                      <w:r w:rsidR="00002F41" w:rsidRPr="00A23FBE">
                        <w:rPr>
                          <w:rFonts w:ascii="EB Garamond" w:eastAsia="EB Garamond" w:hAnsi="EB Garamond" w:cs="EB Garamond"/>
                          <w:sz w:val="19"/>
                          <w:szCs w:val="19"/>
                        </w:rPr>
                        <w:t>Inteligência</w:t>
                      </w:r>
                      <w:proofErr w:type="spellEnd"/>
                      <w:r w:rsidR="00002F41" w:rsidRPr="00A23FBE">
                        <w:rPr>
                          <w:rFonts w:ascii="EB Garamond" w:eastAsia="EB Garamond" w:hAnsi="EB Garamond" w:cs="EB Garamond"/>
                          <w:sz w:val="19"/>
                          <w:szCs w:val="19"/>
                        </w:rPr>
                        <w:t xml:space="preserve"> artificial, </w:t>
                      </w:r>
                      <w:proofErr w:type="spellStart"/>
                      <w:r w:rsidR="00002F41" w:rsidRPr="00A23FBE">
                        <w:rPr>
                          <w:rFonts w:ascii="EB Garamond" w:eastAsia="EB Garamond" w:hAnsi="EB Garamond" w:cs="EB Garamond"/>
                          <w:sz w:val="19"/>
                          <w:szCs w:val="19"/>
                        </w:rPr>
                        <w:t>Materiais</w:t>
                      </w:r>
                      <w:proofErr w:type="spellEnd"/>
                      <w:r w:rsidR="00002F41" w:rsidRPr="00A23FBE">
                        <w:rPr>
                          <w:rFonts w:ascii="EB Garamond" w:eastAsia="EB Garamond" w:hAnsi="EB Garamond" w:cs="EB Garamond"/>
                          <w:sz w:val="19"/>
                          <w:szCs w:val="19"/>
                        </w:rPr>
                        <w:t xml:space="preserve"> </w:t>
                      </w:r>
                      <w:proofErr w:type="spellStart"/>
                      <w:r w:rsidR="00002F41" w:rsidRPr="00A23FBE">
                        <w:rPr>
                          <w:rFonts w:ascii="EB Garamond" w:eastAsia="EB Garamond" w:hAnsi="EB Garamond" w:cs="EB Garamond"/>
                          <w:sz w:val="19"/>
                          <w:szCs w:val="19"/>
                        </w:rPr>
                        <w:t>compostos</w:t>
                      </w:r>
                      <w:proofErr w:type="spellEnd"/>
                      <w:r w:rsidR="00002F41" w:rsidRPr="00A23FBE">
                        <w:rPr>
                          <w:rFonts w:ascii="EB Garamond" w:eastAsia="EB Garamond" w:hAnsi="EB Garamond" w:cs="EB Garamond"/>
                          <w:sz w:val="19"/>
                          <w:szCs w:val="19"/>
                        </w:rPr>
                        <w:t xml:space="preserve">, </w:t>
                      </w:r>
                      <w:proofErr w:type="spellStart"/>
                      <w:r w:rsidR="00002F41" w:rsidRPr="00A23FBE">
                        <w:rPr>
                          <w:rFonts w:ascii="EB Garamond" w:eastAsia="EB Garamond" w:hAnsi="EB Garamond" w:cs="EB Garamond"/>
                          <w:sz w:val="19"/>
                          <w:szCs w:val="19"/>
                        </w:rPr>
                        <w:t>Previsão</w:t>
                      </w:r>
                      <w:proofErr w:type="spellEnd"/>
                      <w:r w:rsidR="00002F41" w:rsidRPr="00A23FBE">
                        <w:rPr>
                          <w:rFonts w:ascii="EB Garamond" w:eastAsia="EB Garamond" w:hAnsi="EB Garamond" w:cs="EB Garamond"/>
                          <w:sz w:val="19"/>
                          <w:szCs w:val="19"/>
                        </w:rPr>
                        <w:t xml:space="preserve">, Propriedades </w:t>
                      </w:r>
                      <w:proofErr w:type="spellStart"/>
                      <w:r w:rsidR="00002F41" w:rsidRPr="00A23FBE">
                        <w:rPr>
                          <w:rFonts w:ascii="EB Garamond" w:eastAsia="EB Garamond" w:hAnsi="EB Garamond" w:cs="EB Garamond"/>
                          <w:sz w:val="19"/>
                          <w:szCs w:val="19"/>
                        </w:rPr>
                        <w:t>mecânicas</w:t>
                      </w:r>
                      <w:proofErr w:type="spellEnd"/>
                    </w:p>
                    <w:p w14:paraId="31489E90" w14:textId="77777777" w:rsidR="004B311C" w:rsidRPr="00A23FBE" w:rsidRDefault="004B311C">
                      <w:pPr>
                        <w:spacing w:line="288" w:lineRule="auto"/>
                        <w:textDirection w:val="btLr"/>
                        <w:rPr>
                          <w:sz w:val="19"/>
                          <w:szCs w:val="19"/>
                        </w:rPr>
                      </w:pPr>
                    </w:p>
                  </w:txbxContent>
                </v:textbox>
                <w10:wrap type="topAndBottom" anchorx="margin"/>
              </v:rect>
            </w:pict>
          </mc:Fallback>
        </mc:AlternateContent>
      </w:r>
      <w:proofErr w:type="spellStart"/>
      <w:r w:rsidR="00002F41" w:rsidRPr="00D6514A">
        <w:rPr>
          <w:rFonts w:ascii="EB Garamond" w:eastAsia="EB Garamond" w:hAnsi="EB Garamond" w:cs="EB Garamond"/>
          <w:b/>
          <w:sz w:val="32"/>
          <w:szCs w:val="32"/>
        </w:rPr>
        <w:t>A</w:t>
      </w:r>
      <w:r w:rsidR="00B173C9">
        <w:rPr>
          <w:rFonts w:ascii="EB Garamond" w:eastAsia="EB Garamond" w:hAnsi="EB Garamond" w:cs="EB Garamond"/>
          <w:b/>
          <w:sz w:val="32"/>
          <w:szCs w:val="32"/>
        </w:rPr>
        <w:t>nálise</w:t>
      </w:r>
      <w:proofErr w:type="spellEnd"/>
      <w:r w:rsidR="00B173C9">
        <w:rPr>
          <w:rFonts w:ascii="EB Garamond" w:eastAsia="EB Garamond" w:hAnsi="EB Garamond" w:cs="EB Garamond"/>
          <w:b/>
          <w:sz w:val="32"/>
          <w:szCs w:val="32"/>
        </w:rPr>
        <w:t xml:space="preserve"> Comparativa de </w:t>
      </w:r>
      <w:proofErr w:type="spellStart"/>
      <w:r w:rsidR="00B173C9">
        <w:rPr>
          <w:rFonts w:ascii="EB Garamond" w:eastAsia="EB Garamond" w:hAnsi="EB Garamond" w:cs="EB Garamond"/>
          <w:b/>
          <w:sz w:val="32"/>
          <w:szCs w:val="32"/>
        </w:rPr>
        <w:t>Metodologias</w:t>
      </w:r>
      <w:proofErr w:type="spellEnd"/>
      <w:r w:rsidR="00B173C9">
        <w:rPr>
          <w:rFonts w:ascii="EB Garamond" w:eastAsia="EB Garamond" w:hAnsi="EB Garamond" w:cs="EB Garamond"/>
          <w:b/>
          <w:sz w:val="32"/>
          <w:szCs w:val="32"/>
        </w:rPr>
        <w:t xml:space="preserve"> para a </w:t>
      </w:r>
      <w:proofErr w:type="spellStart"/>
      <w:r w:rsidR="00B173C9">
        <w:rPr>
          <w:rFonts w:ascii="EB Garamond" w:eastAsia="EB Garamond" w:hAnsi="EB Garamond" w:cs="EB Garamond"/>
          <w:b/>
          <w:sz w:val="32"/>
          <w:szCs w:val="32"/>
        </w:rPr>
        <w:t>Previ</w:t>
      </w:r>
      <w:r>
        <w:rPr>
          <w:color w:val="000000"/>
          <w:shd w:val="clear" w:color="auto" w:fill="FFFFFF"/>
        </w:rPr>
        <w:t>s</w:t>
      </w:r>
      <w:r w:rsidRPr="00990D18">
        <w:rPr>
          <w:rFonts w:ascii="EB Garamond" w:eastAsia="EB Garamond" w:hAnsi="EB Garamond" w:cs="EB Garamond"/>
          <w:b/>
          <w:sz w:val="32"/>
          <w:szCs w:val="32"/>
        </w:rPr>
        <w:t>ã</w:t>
      </w:r>
      <w:r>
        <w:rPr>
          <w:rFonts w:ascii="EB Garamond" w:eastAsia="EB Garamond" w:hAnsi="EB Garamond" w:cs="EB Garamond"/>
          <w:b/>
          <w:sz w:val="32"/>
          <w:szCs w:val="32"/>
        </w:rPr>
        <w:t>o</w:t>
      </w:r>
      <w:proofErr w:type="spellEnd"/>
      <w:r>
        <w:rPr>
          <w:rFonts w:ascii="EB Garamond" w:eastAsia="EB Garamond" w:hAnsi="EB Garamond" w:cs="EB Garamond"/>
          <w:b/>
          <w:sz w:val="32"/>
          <w:szCs w:val="32"/>
        </w:rPr>
        <w:t xml:space="preserve"> das Propriedades M</w:t>
      </w:r>
      <w:r w:rsidRPr="00990D18">
        <w:rPr>
          <w:rFonts w:ascii="EB Garamond" w:eastAsia="EB Garamond" w:hAnsi="EB Garamond" w:cs="EB Garamond"/>
          <w:b/>
          <w:sz w:val="32"/>
          <w:szCs w:val="32"/>
          <w:lang w:val="pt-PT"/>
        </w:rPr>
        <w:t>ecânico</w:t>
      </w:r>
      <w:r>
        <w:rPr>
          <w:rFonts w:ascii="EB Garamond" w:eastAsia="EB Garamond" w:hAnsi="EB Garamond" w:cs="EB Garamond"/>
          <w:b/>
          <w:sz w:val="32"/>
          <w:szCs w:val="32"/>
          <w:lang w:val="pt-PT"/>
        </w:rPr>
        <w:t xml:space="preserve"> de Materiais Compostos</w:t>
      </w:r>
    </w:p>
    <w:p w14:paraId="5823DA04" w14:textId="77777777" w:rsidR="00D156DB" w:rsidRDefault="00D156DB" w:rsidP="00990D18">
      <w:pPr>
        <w:spacing w:before="160" w:after="80"/>
        <w:jc w:val="center"/>
        <w:rPr>
          <w:rFonts w:ascii="EB Garamond" w:eastAsia="EB Garamond" w:hAnsi="EB Garamond" w:cs="EB Garamond"/>
          <w:b/>
          <w:sz w:val="32"/>
          <w:szCs w:val="32"/>
          <w:lang w:val="pt-PT"/>
        </w:rPr>
      </w:pPr>
    </w:p>
    <w:p w14:paraId="5525E265" w14:textId="77777777" w:rsidR="00D156DB" w:rsidRPr="00D6514A" w:rsidRDefault="00D156DB" w:rsidP="00990D18">
      <w:pPr>
        <w:spacing w:before="160" w:after="80"/>
        <w:jc w:val="center"/>
        <w:rPr>
          <w:rFonts w:ascii="EB Garamond" w:eastAsia="EB Garamond" w:hAnsi="EB Garamond" w:cs="EB Garamond"/>
          <w:b/>
          <w:sz w:val="32"/>
          <w:szCs w:val="32"/>
        </w:rPr>
      </w:pPr>
    </w:p>
    <w:p w14:paraId="4D651EA2" w14:textId="77777777" w:rsidR="004B311C" w:rsidRDefault="00990D18" w:rsidP="00990D18">
      <w:pPr>
        <w:rPr>
          <w:b/>
          <w:sz w:val="20"/>
          <w:szCs w:val="20"/>
        </w:rPr>
      </w:pPr>
      <w:r>
        <w:rPr>
          <w:b/>
          <w:sz w:val="20"/>
          <w:szCs w:val="20"/>
        </w:rPr>
        <w:br w:type="page"/>
      </w:r>
    </w:p>
    <w:p w14:paraId="4A21ECA0" w14:textId="77777777" w:rsidR="00990D18" w:rsidRDefault="00990D18" w:rsidP="00990D18">
      <w:pPr>
        <w:rPr>
          <w:b/>
          <w:sz w:val="20"/>
          <w:szCs w:val="20"/>
        </w:rPr>
      </w:pPr>
    </w:p>
    <w:p w14:paraId="00BDECB5" w14:textId="3D832459" w:rsidR="00990D18" w:rsidRPr="00D6514A" w:rsidRDefault="00990D18" w:rsidP="00990D18">
      <w:pPr>
        <w:rPr>
          <w:b/>
          <w:sz w:val="20"/>
          <w:szCs w:val="20"/>
        </w:rPr>
        <w:sectPr w:rsidR="00990D18" w:rsidRPr="00D6514A" w:rsidSect="00B97747">
          <w:headerReference w:type="default" r:id="rId10"/>
          <w:footerReference w:type="even" r:id="rId11"/>
          <w:footerReference w:type="default" r:id="rId12"/>
          <w:headerReference w:type="first" r:id="rId13"/>
          <w:footerReference w:type="first" r:id="rId14"/>
          <w:pgSz w:w="12240" w:h="15840"/>
          <w:pgMar w:top="713" w:right="1041" w:bottom="1417" w:left="1275" w:header="713" w:footer="708" w:gutter="0"/>
          <w:pgNumType w:start="1"/>
          <w:cols w:space="720"/>
          <w:titlePg/>
        </w:sectPr>
      </w:pPr>
    </w:p>
    <w:p w14:paraId="06643145" w14:textId="0B5CF702" w:rsidR="004B311C" w:rsidRPr="00990D18" w:rsidRDefault="00FF6F5A" w:rsidP="00990D18">
      <w:pPr>
        <w:spacing w:after="80"/>
        <w:jc w:val="center"/>
        <w:rPr>
          <w:b/>
          <w:sz w:val="18"/>
          <w:szCs w:val="18"/>
        </w:rPr>
      </w:pPr>
      <w:r w:rsidRPr="00990D18">
        <w:rPr>
          <w:b/>
          <w:sz w:val="18"/>
          <w:szCs w:val="18"/>
        </w:rPr>
        <w:t>I. INTRODUCCIÓN</w:t>
      </w:r>
    </w:p>
    <w:p w14:paraId="190CAD68" w14:textId="29A2566D" w:rsidR="00100600" w:rsidRPr="00990D18" w:rsidRDefault="00100600" w:rsidP="00002F41">
      <w:pPr>
        <w:spacing w:after="120"/>
        <w:jc w:val="both"/>
        <w:rPr>
          <w:sz w:val="20"/>
          <w:szCs w:val="20"/>
        </w:rPr>
      </w:pPr>
      <w:r w:rsidRPr="00990D18">
        <w:rPr>
          <w:sz w:val="20"/>
          <w:szCs w:val="20"/>
        </w:rPr>
        <w:t xml:space="preserve">Un material compuesto se define como la combinación de dos o más materiales distintos con el fin de mejorar sus propiedades mecánicas individuales </w:t>
      </w:r>
      <w:r w:rsidRPr="00990D18">
        <w:rPr>
          <w:b/>
          <w:bCs/>
          <w:sz w:val="20"/>
          <w:szCs w:val="20"/>
        </w:rPr>
        <w:t>[1]</w:t>
      </w:r>
      <w:r w:rsidRPr="00990D18">
        <w:rPr>
          <w:sz w:val="20"/>
          <w:szCs w:val="20"/>
        </w:rPr>
        <w:t>.</w:t>
      </w:r>
    </w:p>
    <w:p w14:paraId="44722686" w14:textId="7E3EBB31" w:rsidR="00100600" w:rsidRPr="00990D18" w:rsidRDefault="00100600" w:rsidP="00002F41">
      <w:pPr>
        <w:spacing w:after="120"/>
        <w:jc w:val="both"/>
        <w:rPr>
          <w:sz w:val="20"/>
          <w:szCs w:val="20"/>
          <w:lang w:val="es-CO"/>
        </w:rPr>
      </w:pPr>
      <w:r w:rsidRPr="00990D18">
        <w:rPr>
          <w:sz w:val="20"/>
          <w:szCs w:val="20"/>
          <w:lang w:val="es-CO"/>
        </w:rPr>
        <w:t xml:space="preserve">La capacidad de diseñar y fabricar materiales compuestos de acuerdo con especificaciones precisas permite ajustar sus propiedades para cumplir con requisitos particulares. En este sentido, anticipar las propiedades mecánicas antes del proceso de fabricación resulta no solo deseable, sino fundamental. Este enfoque predictivo permite reducir tiempos de desarrollo, minimizar costos asociados a la experimentación física, y asegurar un desempeño adecuado en condiciones reales de operación. Además, facilita la toma de decisiones informadas en fases tempranas del diseño, contribuyendo a la eficiencia del ciclo completo de desarrollo de nuevos materiales </w:t>
      </w:r>
      <w:r w:rsidRPr="00990D18">
        <w:rPr>
          <w:b/>
          <w:bCs/>
          <w:sz w:val="20"/>
          <w:szCs w:val="20"/>
          <w:lang w:val="es-CO"/>
        </w:rPr>
        <w:t>[2]</w:t>
      </w:r>
      <w:r w:rsidRPr="00990D18">
        <w:rPr>
          <w:sz w:val="20"/>
          <w:szCs w:val="20"/>
          <w:lang w:val="es-CO"/>
        </w:rPr>
        <w:t>.</w:t>
      </w:r>
    </w:p>
    <w:p w14:paraId="361C175F" w14:textId="57BCBE2B" w:rsidR="00100600" w:rsidRPr="00990D18" w:rsidRDefault="00100600" w:rsidP="00002F41">
      <w:pPr>
        <w:spacing w:after="120"/>
        <w:jc w:val="both"/>
        <w:rPr>
          <w:sz w:val="20"/>
          <w:szCs w:val="20"/>
        </w:rPr>
      </w:pPr>
      <w:r w:rsidRPr="00990D18">
        <w:rPr>
          <w:sz w:val="20"/>
          <w:szCs w:val="20"/>
        </w:rPr>
        <w:t xml:space="preserve">La criticidad de la predicción de propiedades mecánicas se manifiesta de forma palpable en sectores de alta exigencia </w:t>
      </w:r>
      <w:r w:rsidRPr="00990D18">
        <w:rPr>
          <w:b/>
          <w:bCs/>
          <w:sz w:val="20"/>
          <w:szCs w:val="20"/>
        </w:rPr>
        <w:t>[3]</w:t>
      </w:r>
      <w:r w:rsidRPr="00990D18">
        <w:rPr>
          <w:sz w:val="20"/>
          <w:szCs w:val="20"/>
        </w:rPr>
        <w:t xml:space="preserve">. En el sector aeroespacial, el uso extensivo de compuestos reforzados con fibra de carbono se justifica por su excepcional relación resistencia-peso, lo cual incide directamente en la eficiencia del combustible y en la integridad estructural de aeronaves modernas; en la industria automotriz, la incorporación de materiales compuestos ligeros no solo permite reducciones de peso entre el 15 % y el 40 %, sino que también es clave para el desarrollo de vehículos eléctricos, al mejorar su autonomía y rendimiento </w:t>
      </w:r>
      <w:r w:rsidRPr="00990D18">
        <w:rPr>
          <w:b/>
          <w:bCs/>
          <w:sz w:val="20"/>
          <w:szCs w:val="20"/>
        </w:rPr>
        <w:t>[4]</w:t>
      </w:r>
      <w:r w:rsidRPr="00990D18">
        <w:rPr>
          <w:sz w:val="20"/>
          <w:szCs w:val="20"/>
        </w:rPr>
        <w:t xml:space="preserve">. Asimismo, en la construcción, la durabilidad, la resistencia a la corrosión y el comportamiento frente a cargas extremas de compuestos reforzados con fibras naturales o sintéticas son factores determinantes para garantizar la seguridad y longevidad de las estructuras </w:t>
      </w:r>
      <w:r w:rsidRPr="00990D18">
        <w:rPr>
          <w:b/>
          <w:bCs/>
          <w:sz w:val="20"/>
          <w:szCs w:val="20"/>
        </w:rPr>
        <w:t>[5]</w:t>
      </w:r>
      <w:r w:rsidRPr="00990D18">
        <w:rPr>
          <w:sz w:val="20"/>
          <w:szCs w:val="20"/>
        </w:rPr>
        <w:t>. Dado que errores en la predicción del comportamiento mecánico pueden derivar en fallos estructurales con</w:t>
      </w:r>
      <w:r w:rsidR="00990D18" w:rsidRPr="00990D18">
        <w:rPr>
          <w:sz w:val="20"/>
          <w:szCs w:val="20"/>
        </w:rPr>
        <w:t xml:space="preserve"> </w:t>
      </w:r>
      <w:r w:rsidRPr="00990D18">
        <w:rPr>
          <w:sz w:val="20"/>
          <w:szCs w:val="20"/>
        </w:rPr>
        <w:t>consecuencias severas, es imperativo contar con modelos predictivos rigurosos, validados experimentalmente y basados en metodologías trazables y replicables.</w:t>
      </w:r>
    </w:p>
    <w:p w14:paraId="5808405A" w14:textId="4D689B15" w:rsidR="00100600" w:rsidRPr="00990D18" w:rsidRDefault="00100600" w:rsidP="00002F41">
      <w:pPr>
        <w:spacing w:after="120"/>
        <w:jc w:val="both"/>
        <w:rPr>
          <w:sz w:val="20"/>
          <w:szCs w:val="20"/>
        </w:rPr>
      </w:pPr>
      <w:r w:rsidRPr="00990D18">
        <w:rPr>
          <w:sz w:val="20"/>
          <w:szCs w:val="20"/>
        </w:rPr>
        <w:t xml:space="preserve">No obstante, predecir con precisión el comportamiento mecánico de los materiales compuestos sigue siendo un desafío técnico considerable. La complejidad estructural derivada de su naturaleza heterogénea, la presencia de interfaces entre fases, la anisotropía inherente y la sensibilidad a las condiciones de procesamiento dificultan la formulación de modelos universales. A esto se suma la creciente variedad de </w:t>
      </w:r>
      <w:r w:rsidRPr="00990D18">
        <w:rPr>
          <w:sz w:val="20"/>
          <w:szCs w:val="20"/>
        </w:rPr>
        <w:t xml:space="preserve">combinaciones posibles entre matrices (poliméricas, metálicas, cerámicas) y refuerzos (fibras naturales, sintéticas, nanopartículas), lo que exige enfoques versátiles y adaptativos </w:t>
      </w:r>
      <w:r w:rsidRPr="00990D18">
        <w:rPr>
          <w:b/>
          <w:bCs/>
          <w:sz w:val="20"/>
          <w:szCs w:val="20"/>
        </w:rPr>
        <w:t>[6]</w:t>
      </w:r>
      <w:r w:rsidRPr="00990D18">
        <w:rPr>
          <w:sz w:val="20"/>
          <w:szCs w:val="20"/>
        </w:rPr>
        <w:t>.</w:t>
      </w:r>
    </w:p>
    <w:p w14:paraId="68EAF90A" w14:textId="3E728A3E" w:rsidR="00100600" w:rsidRPr="00990D18" w:rsidRDefault="00100600" w:rsidP="00002F41">
      <w:pPr>
        <w:spacing w:after="120"/>
        <w:jc w:val="both"/>
        <w:rPr>
          <w:sz w:val="20"/>
          <w:szCs w:val="20"/>
        </w:rPr>
      </w:pPr>
      <w:r w:rsidRPr="00990D18">
        <w:rPr>
          <w:sz w:val="20"/>
          <w:szCs w:val="20"/>
        </w:rPr>
        <w:t xml:space="preserve">En años recientes, el panorama de la predicción de propiedades mecánicas en materiales compuestos ha sido transformado por el auge de herramientas computacionales avanzadas. El desarrollo de modelos basados en inteligencia artificial, en particular técnicas de machine </w:t>
      </w:r>
      <w:proofErr w:type="spellStart"/>
      <w:r w:rsidRPr="00990D18">
        <w:rPr>
          <w:sz w:val="20"/>
          <w:szCs w:val="20"/>
        </w:rPr>
        <w:t>learning</w:t>
      </w:r>
      <w:proofErr w:type="spellEnd"/>
      <w:r w:rsidRPr="00990D18">
        <w:rPr>
          <w:sz w:val="20"/>
          <w:szCs w:val="20"/>
        </w:rPr>
        <w:t xml:space="preserve"> (aprendizaje automático), ha permitido identificar patrones complejos en grandes volúmenes de datos experimentales y simulados, facilitando predicciones más rápidas y reduciendo la dependencia de ensayos físicos costosos y prolongados </w:t>
      </w:r>
      <w:r w:rsidRPr="00990D18">
        <w:rPr>
          <w:b/>
          <w:bCs/>
          <w:sz w:val="20"/>
          <w:szCs w:val="20"/>
        </w:rPr>
        <w:t>[7]</w:t>
      </w:r>
      <w:r w:rsidRPr="00990D18">
        <w:rPr>
          <w:sz w:val="20"/>
          <w:szCs w:val="20"/>
        </w:rPr>
        <w:t xml:space="preserve">. Paralelamente, la simulación numérica mediante el Método de Elementos Finitos (MEF) ha evolucionado hacia enfoques </w:t>
      </w:r>
      <w:proofErr w:type="spellStart"/>
      <w:r w:rsidRPr="00990D18">
        <w:rPr>
          <w:sz w:val="20"/>
          <w:szCs w:val="20"/>
        </w:rPr>
        <w:t>multifísicos</w:t>
      </w:r>
      <w:proofErr w:type="spellEnd"/>
      <w:r w:rsidRPr="00990D18">
        <w:rPr>
          <w:sz w:val="20"/>
          <w:szCs w:val="20"/>
        </w:rPr>
        <w:t xml:space="preserve"> y </w:t>
      </w:r>
      <w:proofErr w:type="spellStart"/>
      <w:r w:rsidRPr="00990D18">
        <w:rPr>
          <w:sz w:val="20"/>
          <w:szCs w:val="20"/>
        </w:rPr>
        <w:t>multiescala</w:t>
      </w:r>
      <w:proofErr w:type="spellEnd"/>
      <w:r w:rsidRPr="00990D18">
        <w:rPr>
          <w:sz w:val="20"/>
          <w:szCs w:val="20"/>
        </w:rPr>
        <w:t xml:space="preserve">, capaces de representar con mayor fidelidad el comportamiento anisótropo, la respuesta no lineal y los mecanismos de daño en estructuras compuestas </w:t>
      </w:r>
      <w:r w:rsidRPr="00990D18">
        <w:rPr>
          <w:b/>
          <w:bCs/>
          <w:sz w:val="20"/>
          <w:szCs w:val="20"/>
        </w:rPr>
        <w:t>[8]</w:t>
      </w:r>
      <w:r w:rsidRPr="00990D18">
        <w:rPr>
          <w:sz w:val="20"/>
          <w:szCs w:val="20"/>
        </w:rPr>
        <w:t xml:space="preserve">. </w:t>
      </w:r>
    </w:p>
    <w:p w14:paraId="4360F508" w14:textId="5EF530AA" w:rsidR="00402343" w:rsidRPr="00990D18" w:rsidRDefault="00100600" w:rsidP="00402343">
      <w:pPr>
        <w:spacing w:after="120"/>
        <w:jc w:val="both"/>
        <w:rPr>
          <w:sz w:val="20"/>
          <w:szCs w:val="20"/>
        </w:rPr>
      </w:pPr>
      <w:r w:rsidRPr="00990D18">
        <w:rPr>
          <w:sz w:val="20"/>
          <w:szCs w:val="20"/>
          <w:lang w:val="es-CO"/>
        </w:rPr>
        <w:t xml:space="preserve">Este avance tecnológico se refleja en el crecimiento exponencial de la producción científica sobre compuestos, con tendencias claras hacia soluciones sostenibles, como el desarrollo de compuestos termoplásticos reforzados con fibras naturales </w:t>
      </w:r>
      <w:r w:rsidRPr="00990D18">
        <w:rPr>
          <w:b/>
          <w:bCs/>
          <w:sz w:val="20"/>
          <w:szCs w:val="20"/>
          <w:lang w:val="es-CO"/>
        </w:rPr>
        <w:t>[9]</w:t>
      </w:r>
      <w:r w:rsidRPr="00990D18">
        <w:rPr>
          <w:sz w:val="20"/>
          <w:szCs w:val="20"/>
          <w:lang w:val="es-CO"/>
        </w:rPr>
        <w:t>. Este impulso global hacia materiales ligeros, reciclables y de bajo impacto ambiental ha coincidido con una proliferación de metodologías predictivas, desde modelos analíticos clásicos hasta estrategias basadas en datos</w:t>
      </w:r>
      <w:r w:rsidR="00791290" w:rsidRPr="00990D18">
        <w:rPr>
          <w:sz w:val="20"/>
          <w:szCs w:val="20"/>
          <w:lang w:val="es-CO"/>
        </w:rPr>
        <w:t xml:space="preserve"> </w:t>
      </w:r>
      <w:r w:rsidRPr="00990D18">
        <w:rPr>
          <w:b/>
          <w:bCs/>
          <w:sz w:val="20"/>
          <w:szCs w:val="20"/>
          <w:lang w:val="es-CO"/>
        </w:rPr>
        <w:t>[10],</w:t>
      </w:r>
      <w:r w:rsidR="00217560" w:rsidRPr="00990D18">
        <w:rPr>
          <w:b/>
          <w:bCs/>
          <w:sz w:val="20"/>
          <w:szCs w:val="20"/>
          <w:lang w:val="es-CO"/>
        </w:rPr>
        <w:t xml:space="preserve"> </w:t>
      </w:r>
      <w:r w:rsidRPr="00990D18">
        <w:rPr>
          <w:b/>
          <w:bCs/>
          <w:sz w:val="20"/>
          <w:szCs w:val="20"/>
          <w:lang w:val="es-CO"/>
        </w:rPr>
        <w:t>[11],</w:t>
      </w:r>
      <w:r w:rsidR="00217560" w:rsidRPr="00990D18">
        <w:rPr>
          <w:b/>
          <w:bCs/>
          <w:sz w:val="20"/>
          <w:szCs w:val="20"/>
          <w:lang w:val="es-CO"/>
        </w:rPr>
        <w:t xml:space="preserve"> </w:t>
      </w:r>
      <w:r w:rsidRPr="00990D18">
        <w:rPr>
          <w:b/>
          <w:bCs/>
          <w:sz w:val="20"/>
          <w:szCs w:val="20"/>
          <w:lang w:val="es-CO"/>
        </w:rPr>
        <w:t>[12]</w:t>
      </w:r>
      <w:r w:rsidRPr="00990D18">
        <w:rPr>
          <w:sz w:val="20"/>
          <w:szCs w:val="20"/>
          <w:lang w:val="es-CO"/>
        </w:rPr>
        <w:t xml:space="preserve">. Sin embargo, justamente esta diversidad de enfoques cada uno con sus ventajas y limitaciones inherentes subraya la necesidad urgente de una revisión que sintetice, compare y evalúe críticamente las estrategias más efectivas y viables para su </w:t>
      </w:r>
      <w:r w:rsidRPr="00990D18">
        <w:rPr>
          <w:sz w:val="20"/>
          <w:szCs w:val="20"/>
        </w:rPr>
        <w:t>implementación industrial.</w:t>
      </w:r>
    </w:p>
    <w:p w14:paraId="332AC6C0" w14:textId="0DBCBB13" w:rsidR="00990D18" w:rsidRPr="00990D18" w:rsidRDefault="00402343" w:rsidP="00002F41">
      <w:pPr>
        <w:spacing w:after="120"/>
        <w:jc w:val="both"/>
        <w:rPr>
          <w:sz w:val="20"/>
          <w:szCs w:val="20"/>
        </w:rPr>
      </w:pPr>
      <w:r w:rsidRPr="00990D18">
        <w:rPr>
          <w:sz w:val="20"/>
          <w:szCs w:val="20"/>
        </w:rPr>
        <w:t>P</w:t>
      </w:r>
      <w:r w:rsidR="00100600" w:rsidRPr="00990D18">
        <w:rPr>
          <w:sz w:val="20"/>
          <w:szCs w:val="20"/>
        </w:rPr>
        <w:t>or tal razón el presente trabajo tiene como objetivo</w:t>
      </w:r>
      <w:r w:rsidRPr="00990D18">
        <w:rPr>
          <w:sz w:val="20"/>
          <w:szCs w:val="20"/>
        </w:rPr>
        <w:t xml:space="preserve"> realizar una revisión bibliográfica estructurada de la literatura publicada en los últimos cinco años</w:t>
      </w:r>
      <w:r w:rsidR="00100600" w:rsidRPr="00990D18">
        <w:rPr>
          <w:sz w:val="20"/>
          <w:szCs w:val="20"/>
        </w:rPr>
        <w:t xml:space="preserve"> </w:t>
      </w:r>
      <w:r w:rsidRPr="00990D18">
        <w:rPr>
          <w:sz w:val="20"/>
          <w:szCs w:val="20"/>
        </w:rPr>
        <w:t xml:space="preserve">para </w:t>
      </w:r>
      <w:r w:rsidR="00100600" w:rsidRPr="00990D18">
        <w:rPr>
          <w:sz w:val="20"/>
          <w:szCs w:val="20"/>
        </w:rPr>
        <w:t>analizar las principales estrategias empleadas para la predicción de propiedades mecánicas en materiales compuestos, clasificarlas según su fundamento teórico y aplicabilidad práctica, y evaluar rigurosamente sus beneficios, alcances y limitaciones.</w:t>
      </w:r>
    </w:p>
    <w:p w14:paraId="7A32F919" w14:textId="0B1790AA" w:rsidR="00083F1F" w:rsidRPr="00990D18" w:rsidRDefault="00FF6F5A" w:rsidP="00990D18">
      <w:pPr>
        <w:spacing w:before="160" w:after="80"/>
        <w:jc w:val="center"/>
        <w:rPr>
          <w:b/>
          <w:sz w:val="18"/>
          <w:szCs w:val="18"/>
        </w:rPr>
      </w:pPr>
      <w:r w:rsidRPr="00990D18">
        <w:rPr>
          <w:b/>
          <w:sz w:val="18"/>
          <w:szCs w:val="18"/>
        </w:rPr>
        <w:t>II.</w:t>
      </w:r>
      <w:r w:rsidRPr="00990D18">
        <w:rPr>
          <w:b/>
          <w:smallCaps/>
          <w:sz w:val="18"/>
          <w:szCs w:val="18"/>
        </w:rPr>
        <w:t xml:space="preserve"> </w:t>
      </w:r>
      <w:r w:rsidR="00002F41" w:rsidRPr="00990D18">
        <w:rPr>
          <w:b/>
          <w:sz w:val="18"/>
          <w:szCs w:val="18"/>
        </w:rPr>
        <w:t>METODOLOGÍA</w:t>
      </w:r>
    </w:p>
    <w:p w14:paraId="5751A819" w14:textId="37EC2ACE" w:rsidR="00002F41" w:rsidRPr="00990D18" w:rsidRDefault="00EC4561">
      <w:pPr>
        <w:spacing w:after="120"/>
        <w:jc w:val="both"/>
        <w:rPr>
          <w:sz w:val="20"/>
          <w:szCs w:val="20"/>
          <w:lang w:val="es-CO"/>
        </w:rPr>
      </w:pPr>
      <w:r w:rsidRPr="00990D18">
        <w:rPr>
          <w:sz w:val="20"/>
          <w:szCs w:val="20"/>
        </w:rPr>
        <w:t>En la Figura 1 se presenta de manera esquemática la metodología utilizada.</w:t>
      </w:r>
    </w:p>
    <w:p w14:paraId="72AAB79F" w14:textId="77777777" w:rsidR="00002F41" w:rsidRPr="00D6514A" w:rsidRDefault="00002F41">
      <w:pPr>
        <w:spacing w:after="120"/>
        <w:jc w:val="both"/>
        <w:rPr>
          <w:sz w:val="22"/>
          <w:szCs w:val="22"/>
          <w:lang w:val="es-CO"/>
        </w:rPr>
      </w:pPr>
    </w:p>
    <w:p w14:paraId="1A534839" w14:textId="77777777" w:rsidR="00EC4561" w:rsidRPr="00D6514A" w:rsidRDefault="00EC4561" w:rsidP="00EC4561">
      <w:pPr>
        <w:widowControl w:val="0"/>
        <w:pBdr>
          <w:top w:val="nil"/>
          <w:left w:val="nil"/>
          <w:bottom w:val="nil"/>
          <w:right w:val="nil"/>
          <w:between w:val="nil"/>
        </w:pBdr>
        <w:spacing w:line="252" w:lineRule="auto"/>
        <w:jc w:val="both"/>
        <w:rPr>
          <w:highlight w:val="cyan"/>
          <w:lang w:val="es-CO"/>
        </w:rPr>
      </w:pPr>
      <w:r w:rsidRPr="00D6514A">
        <w:rPr>
          <w:noProof/>
          <w:lang w:val="es-CO"/>
        </w:rPr>
        <w:lastRenderedPageBreak/>
        <w:drawing>
          <wp:inline distT="0" distB="0" distL="0" distR="0" wp14:anchorId="20A4344B" wp14:editId="5676DAB7">
            <wp:extent cx="3055047" cy="1754803"/>
            <wp:effectExtent l="0" t="0" r="0" b="17145"/>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39BE05CB" w14:textId="63EB804F" w:rsidR="00F76B35" w:rsidRPr="0072408A" w:rsidRDefault="00EC4561" w:rsidP="0072408A">
      <w:pPr>
        <w:spacing w:before="60" w:after="120"/>
        <w:jc w:val="center"/>
        <w:rPr>
          <w:sz w:val="20"/>
          <w:szCs w:val="20"/>
        </w:rPr>
      </w:pPr>
      <w:r w:rsidRPr="0072408A">
        <w:rPr>
          <w:b/>
          <w:sz w:val="20"/>
          <w:szCs w:val="20"/>
        </w:rPr>
        <w:t xml:space="preserve">Figura 1: </w:t>
      </w:r>
      <w:r w:rsidRPr="0072408A">
        <w:rPr>
          <w:sz w:val="20"/>
          <w:szCs w:val="20"/>
        </w:rPr>
        <w:t xml:space="preserve">Metodología </w:t>
      </w:r>
    </w:p>
    <w:p w14:paraId="5CA64C56" w14:textId="77777777" w:rsidR="0072408A" w:rsidRPr="0072408A" w:rsidRDefault="0072408A" w:rsidP="0072408A">
      <w:pPr>
        <w:spacing w:before="60" w:after="120"/>
        <w:jc w:val="center"/>
        <w:rPr>
          <w:b/>
          <w:sz w:val="22"/>
          <w:szCs w:val="22"/>
        </w:rPr>
      </w:pPr>
    </w:p>
    <w:p w14:paraId="5E85F611" w14:textId="77777777" w:rsidR="00EC4561" w:rsidRPr="00990D18" w:rsidRDefault="00EC4561" w:rsidP="00EC4561">
      <w:pPr>
        <w:pStyle w:val="Prrafodelista"/>
        <w:numPr>
          <w:ilvl w:val="0"/>
          <w:numId w:val="7"/>
        </w:numPr>
        <w:jc w:val="both"/>
        <w:rPr>
          <w:sz w:val="20"/>
          <w:szCs w:val="20"/>
          <w:lang w:val="es-CO"/>
        </w:rPr>
      </w:pPr>
      <w:r w:rsidRPr="00990D18">
        <w:rPr>
          <w:sz w:val="20"/>
          <w:szCs w:val="20"/>
          <w:lang w:val="es-CO"/>
        </w:rPr>
        <w:t>Revisión bibliográfica</w:t>
      </w:r>
    </w:p>
    <w:p w14:paraId="543DC06B" w14:textId="77777777" w:rsidR="00EC4561" w:rsidRPr="00990D18" w:rsidRDefault="00EC4561" w:rsidP="00EC4561">
      <w:pPr>
        <w:rPr>
          <w:sz w:val="20"/>
          <w:szCs w:val="20"/>
          <w:lang w:val="es-CO"/>
        </w:rPr>
      </w:pPr>
    </w:p>
    <w:p w14:paraId="600BA555" w14:textId="77777777" w:rsidR="00DB1E1C" w:rsidRPr="00990D18" w:rsidRDefault="00EC4561" w:rsidP="00EC4561">
      <w:pPr>
        <w:jc w:val="both"/>
        <w:rPr>
          <w:sz w:val="20"/>
          <w:szCs w:val="20"/>
          <w:lang w:val="es-CO"/>
        </w:rPr>
      </w:pPr>
      <w:r w:rsidRPr="00990D18">
        <w:rPr>
          <w:sz w:val="20"/>
          <w:szCs w:val="20"/>
          <w:lang w:val="es-CO"/>
        </w:rPr>
        <w:t xml:space="preserve">Se </w:t>
      </w:r>
      <w:r w:rsidRPr="00990D18">
        <w:rPr>
          <w:sz w:val="20"/>
          <w:szCs w:val="20"/>
        </w:rPr>
        <w:t>realizó una búsqueda sistemática de literatura científica enfocada</w:t>
      </w:r>
      <w:r w:rsidRPr="00990D18">
        <w:rPr>
          <w:sz w:val="20"/>
          <w:szCs w:val="20"/>
          <w:lang w:val="es-CO"/>
        </w:rPr>
        <w:t xml:space="preserve"> en metodologías para la predicción de propiedades mecánicas de materiales compuestos. Para garantizar la relevancia y calidad de los documentos seleccionados, se aplicaron criterios de inclusión estrictos: (i) publicaciones en español e inglés, (</w:t>
      </w:r>
      <w:proofErr w:type="spellStart"/>
      <w:r w:rsidRPr="00990D18">
        <w:rPr>
          <w:sz w:val="20"/>
          <w:szCs w:val="20"/>
          <w:lang w:val="es-CO"/>
        </w:rPr>
        <w:t>ii</w:t>
      </w:r>
      <w:proofErr w:type="spellEnd"/>
      <w:r w:rsidRPr="00990D18">
        <w:rPr>
          <w:sz w:val="20"/>
          <w:szCs w:val="20"/>
          <w:lang w:val="es-CO"/>
        </w:rPr>
        <w:t>) artículos indexados en las áreas de Materiales e Ingeniería, excluyendo contenidos relacionados con Química, (</w:t>
      </w:r>
      <w:proofErr w:type="spellStart"/>
      <w:r w:rsidRPr="00990D18">
        <w:rPr>
          <w:sz w:val="20"/>
          <w:szCs w:val="20"/>
          <w:lang w:val="es-CO"/>
        </w:rPr>
        <w:t>iii</w:t>
      </w:r>
      <w:proofErr w:type="spellEnd"/>
      <w:r w:rsidRPr="00990D18">
        <w:rPr>
          <w:sz w:val="20"/>
          <w:szCs w:val="20"/>
          <w:lang w:val="es-CO"/>
        </w:rPr>
        <w:t>) prioridad a artículos de investigación y de revisión, excluyendo actas de congresos por su menor profundidad metodológica, (</w:t>
      </w:r>
      <w:proofErr w:type="spellStart"/>
      <w:r w:rsidRPr="00990D18">
        <w:rPr>
          <w:sz w:val="20"/>
          <w:szCs w:val="20"/>
          <w:lang w:val="es-CO"/>
        </w:rPr>
        <w:t>iv</w:t>
      </w:r>
      <w:proofErr w:type="spellEnd"/>
      <w:r w:rsidRPr="00990D18">
        <w:rPr>
          <w:sz w:val="20"/>
          <w:szCs w:val="20"/>
          <w:lang w:val="es-CO"/>
        </w:rPr>
        <w:t xml:space="preserve">) publicaciones correspondientes a los últimos cinco años (2020-2024). La búsqueda se llevó a cabo en la base de datos especializada </w:t>
      </w:r>
      <w:proofErr w:type="spellStart"/>
      <w:r w:rsidRPr="00990D18">
        <w:rPr>
          <w:sz w:val="20"/>
          <w:szCs w:val="20"/>
          <w:lang w:val="es-CO"/>
        </w:rPr>
        <w:t>Scopus</w:t>
      </w:r>
      <w:proofErr w:type="spellEnd"/>
      <w:r w:rsidRPr="00990D18">
        <w:rPr>
          <w:sz w:val="20"/>
          <w:szCs w:val="20"/>
          <w:lang w:val="es-CO"/>
        </w:rPr>
        <w:t xml:space="preserve">. </w:t>
      </w:r>
    </w:p>
    <w:p w14:paraId="39D28D43" w14:textId="77777777" w:rsidR="00DB1E1C" w:rsidRPr="00990D18" w:rsidRDefault="00DB1E1C" w:rsidP="00EC4561">
      <w:pPr>
        <w:jc w:val="both"/>
        <w:rPr>
          <w:sz w:val="20"/>
          <w:szCs w:val="20"/>
          <w:lang w:val="es-CO"/>
        </w:rPr>
      </w:pPr>
    </w:p>
    <w:p w14:paraId="5D8225F2" w14:textId="77777777" w:rsidR="00EC4561" w:rsidRPr="00990D18" w:rsidRDefault="00EC4561" w:rsidP="00EC4561">
      <w:pPr>
        <w:jc w:val="both"/>
        <w:rPr>
          <w:sz w:val="20"/>
          <w:szCs w:val="20"/>
          <w:lang w:val="es-CO"/>
        </w:rPr>
      </w:pPr>
      <w:r w:rsidRPr="00990D18">
        <w:rPr>
          <w:sz w:val="20"/>
          <w:szCs w:val="20"/>
          <w:lang w:val="es-CO"/>
        </w:rPr>
        <w:t>La estrategia de búsqueda seguida en el estudio se resume en la Figura 2.</w:t>
      </w:r>
    </w:p>
    <w:p w14:paraId="64F69040" w14:textId="77777777" w:rsidR="00DB1E1C" w:rsidRPr="00D6514A" w:rsidRDefault="00DB1E1C" w:rsidP="00EC4561">
      <w:pPr>
        <w:jc w:val="both"/>
        <w:rPr>
          <w:sz w:val="22"/>
          <w:szCs w:val="22"/>
          <w:lang w:val="es-CO"/>
        </w:rPr>
      </w:pPr>
    </w:p>
    <w:p w14:paraId="6208D132" w14:textId="77777777" w:rsidR="00EC4561" w:rsidRPr="00D6514A" w:rsidRDefault="00EC4561" w:rsidP="00EC4561">
      <w:pPr>
        <w:jc w:val="both"/>
        <w:rPr>
          <w:sz w:val="22"/>
          <w:szCs w:val="22"/>
          <w:lang w:val="es-CO"/>
        </w:rPr>
      </w:pPr>
      <w:r w:rsidRPr="00D6514A">
        <w:rPr>
          <w:noProof/>
          <w:lang w:val="es-CO"/>
        </w:rPr>
        <w:drawing>
          <wp:inline distT="0" distB="0" distL="0" distR="0" wp14:anchorId="579327C2" wp14:editId="43691F8F">
            <wp:extent cx="2874073" cy="2098363"/>
            <wp:effectExtent l="0" t="0" r="21590" b="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228F105" w14:textId="77777777" w:rsidR="0072408A" w:rsidRDefault="0072408A" w:rsidP="00EC4561">
      <w:pPr>
        <w:spacing w:before="60" w:after="120"/>
        <w:jc w:val="center"/>
        <w:rPr>
          <w:b/>
          <w:sz w:val="20"/>
          <w:szCs w:val="20"/>
        </w:rPr>
      </w:pPr>
    </w:p>
    <w:p w14:paraId="074E653A" w14:textId="57B3490C" w:rsidR="00EC4561" w:rsidRPr="00990D18" w:rsidRDefault="00EC4561" w:rsidP="00EC4561">
      <w:pPr>
        <w:spacing w:before="60" w:after="120"/>
        <w:jc w:val="center"/>
        <w:rPr>
          <w:b/>
          <w:sz w:val="20"/>
          <w:szCs w:val="20"/>
        </w:rPr>
      </w:pPr>
      <w:r w:rsidRPr="00990D18">
        <w:rPr>
          <w:b/>
          <w:sz w:val="20"/>
          <w:szCs w:val="20"/>
        </w:rPr>
        <w:t xml:space="preserve">Figura 2: </w:t>
      </w:r>
      <w:r w:rsidRPr="00990D18">
        <w:rPr>
          <w:sz w:val="20"/>
          <w:szCs w:val="20"/>
        </w:rPr>
        <w:t>Búsqueda sistemática</w:t>
      </w:r>
    </w:p>
    <w:p w14:paraId="163F54A6" w14:textId="77777777" w:rsidR="00EC4561" w:rsidRPr="00990D18" w:rsidRDefault="00EC4561" w:rsidP="00EC4561">
      <w:pPr>
        <w:rPr>
          <w:sz w:val="20"/>
          <w:szCs w:val="20"/>
          <w:lang w:val="es-CO"/>
        </w:rPr>
      </w:pPr>
    </w:p>
    <w:p w14:paraId="169F13D0" w14:textId="77777777" w:rsidR="00EC4561" w:rsidRPr="00990D18" w:rsidRDefault="00EC4561" w:rsidP="00EC4561">
      <w:pPr>
        <w:pStyle w:val="Prrafodelista"/>
        <w:numPr>
          <w:ilvl w:val="0"/>
          <w:numId w:val="7"/>
        </w:numPr>
        <w:spacing w:after="120"/>
        <w:jc w:val="both"/>
        <w:rPr>
          <w:sz w:val="20"/>
          <w:szCs w:val="20"/>
          <w:lang w:val="es-CO"/>
        </w:rPr>
      </w:pPr>
      <w:r w:rsidRPr="00990D18">
        <w:rPr>
          <w:sz w:val="20"/>
          <w:szCs w:val="20"/>
          <w:lang w:val="es-CO"/>
        </w:rPr>
        <w:t>Identificación y clasificación de metodologías</w:t>
      </w:r>
    </w:p>
    <w:p w14:paraId="5CE857C2" w14:textId="18E6A8EE" w:rsidR="00EC4561" w:rsidRPr="0072408A" w:rsidRDefault="00BE022C" w:rsidP="00EC4561">
      <w:pPr>
        <w:spacing w:after="120"/>
        <w:jc w:val="both"/>
        <w:rPr>
          <w:sz w:val="20"/>
          <w:szCs w:val="20"/>
        </w:rPr>
      </w:pPr>
      <w:r w:rsidRPr="00990D18">
        <w:rPr>
          <w:sz w:val="20"/>
          <w:szCs w:val="20"/>
        </w:rPr>
        <w:t>Tras aplicar los criterios de inclusión y exclusión descritos, se seleccionaron 61 estudios para el análisis detallado. A partir de estos, se procedió a identificar y clasificar las metodologías reportadas según su enfoque</w:t>
      </w:r>
      <w:r w:rsidR="00EC4561" w:rsidRPr="00990D18">
        <w:rPr>
          <w:sz w:val="20"/>
          <w:szCs w:val="20"/>
        </w:rPr>
        <w:t>. Para cada metodología se elaboró una síntesis que incluyó sus principios fundamentales, el contexto de aplicación y las técnicas computacionales o experimentales asociadas.</w:t>
      </w:r>
    </w:p>
    <w:p w14:paraId="587B9A6C" w14:textId="77777777" w:rsidR="00EC4561" w:rsidRPr="00990D18" w:rsidRDefault="00EC4561" w:rsidP="00EC4561">
      <w:pPr>
        <w:pStyle w:val="Prrafodelista"/>
        <w:numPr>
          <w:ilvl w:val="0"/>
          <w:numId w:val="7"/>
        </w:numPr>
        <w:spacing w:after="120"/>
        <w:jc w:val="both"/>
        <w:rPr>
          <w:bCs/>
          <w:sz w:val="20"/>
          <w:szCs w:val="20"/>
        </w:rPr>
      </w:pPr>
      <w:r w:rsidRPr="00990D18">
        <w:rPr>
          <w:bCs/>
          <w:sz w:val="20"/>
          <w:szCs w:val="20"/>
        </w:rPr>
        <w:t>Análisis de beneficios y limitaciones</w:t>
      </w:r>
    </w:p>
    <w:p w14:paraId="18DFFF1F" w14:textId="77777777" w:rsidR="00EC4561" w:rsidRPr="00990D18" w:rsidRDefault="00EC4561" w:rsidP="00EC4561">
      <w:pPr>
        <w:pStyle w:val="Prrafodelista"/>
        <w:spacing w:after="120"/>
        <w:ind w:left="360"/>
        <w:jc w:val="both"/>
        <w:rPr>
          <w:sz w:val="20"/>
          <w:szCs w:val="20"/>
          <w:lang w:val="es-CO"/>
        </w:rPr>
      </w:pPr>
    </w:p>
    <w:p w14:paraId="644B1297" w14:textId="77777777" w:rsidR="00EC4561" w:rsidRPr="00990D18" w:rsidRDefault="00EC4561" w:rsidP="00EC4561">
      <w:pPr>
        <w:pStyle w:val="Prrafodelista"/>
        <w:ind w:left="0"/>
        <w:jc w:val="both"/>
        <w:rPr>
          <w:sz w:val="20"/>
          <w:szCs w:val="20"/>
          <w:lang w:val="es-CO"/>
        </w:rPr>
      </w:pPr>
      <w:r w:rsidRPr="00990D18">
        <w:rPr>
          <w:sz w:val="20"/>
          <w:szCs w:val="20"/>
          <w:lang w:val="es-CO"/>
        </w:rPr>
        <w:t xml:space="preserve">Se desarrolló una evaluación comparativa de las metodologías identificadas, considerando criterios como la precisión en la predicción de propiedades mecánicas, la facilidad de implementación y los requisitos computacionales o experimentales. Esta comparación fue enriquecida con un análisis crítico de la literatura revisada, lo que permitió identificar fortalezas, debilidades y aspectos a mejorar en cada enfoque. </w:t>
      </w:r>
    </w:p>
    <w:p w14:paraId="66D71D60" w14:textId="03D68788" w:rsidR="00100600" w:rsidRPr="00990D18" w:rsidRDefault="00F76B35" w:rsidP="00F76B35">
      <w:pPr>
        <w:spacing w:before="160" w:after="80"/>
        <w:jc w:val="both"/>
        <w:rPr>
          <w:b/>
          <w:sz w:val="20"/>
          <w:szCs w:val="20"/>
        </w:rPr>
      </w:pPr>
      <w:r w:rsidRPr="00990D18">
        <w:rPr>
          <w:sz w:val="20"/>
          <w:szCs w:val="20"/>
          <w:lang w:val="es-CO"/>
        </w:rPr>
        <w:t>Es importante destacar que, aunque el proceso de búsqueda se diseñó y ejecutó siguiendo un protocolo riguroso, transparente y reproducible, esta investigación se clasifica como una Revisión Bibliográfica Estructurada y no como una Revisión Sistemática formal. Esta distinción se fundamenta en el objetivo central del estudio: no se busca sintetizar evidencia cuantitativa mediante metaanálisis ni estimar efectos promedio, sino analizar, comparar y contextualizar las distintas metodologías predictivas empleadas en la literatura para modelar propiedades mecánicas en materiales compuestos.</w:t>
      </w:r>
    </w:p>
    <w:p w14:paraId="20F18572" w14:textId="4C9FCA98" w:rsidR="00EC4561" w:rsidRDefault="00FF6F5A" w:rsidP="00990D18">
      <w:pPr>
        <w:spacing w:before="160" w:after="80"/>
        <w:jc w:val="center"/>
        <w:rPr>
          <w:b/>
          <w:sz w:val="18"/>
          <w:szCs w:val="18"/>
        </w:rPr>
      </w:pPr>
      <w:r w:rsidRPr="00990D18">
        <w:rPr>
          <w:b/>
          <w:sz w:val="18"/>
          <w:szCs w:val="18"/>
        </w:rPr>
        <w:t>III.</w:t>
      </w:r>
      <w:r w:rsidRPr="00990D18">
        <w:rPr>
          <w:b/>
          <w:smallCaps/>
          <w:sz w:val="18"/>
          <w:szCs w:val="18"/>
        </w:rPr>
        <w:t xml:space="preserve"> </w:t>
      </w:r>
      <w:r w:rsidR="00EC4561" w:rsidRPr="00990D18">
        <w:rPr>
          <w:b/>
          <w:sz w:val="18"/>
          <w:szCs w:val="18"/>
        </w:rPr>
        <w:t>RESULTADOS</w:t>
      </w:r>
    </w:p>
    <w:p w14:paraId="292C09F4" w14:textId="77777777" w:rsidR="0072408A" w:rsidRPr="00990D18" w:rsidRDefault="0072408A" w:rsidP="00990D18">
      <w:pPr>
        <w:spacing w:before="160" w:after="80"/>
        <w:jc w:val="center"/>
        <w:rPr>
          <w:b/>
          <w:sz w:val="18"/>
          <w:szCs w:val="18"/>
        </w:rPr>
      </w:pPr>
    </w:p>
    <w:p w14:paraId="6C991CCF" w14:textId="77777777" w:rsidR="00EC4561" w:rsidRPr="00990D18" w:rsidRDefault="00EC4561" w:rsidP="00EC4561">
      <w:pPr>
        <w:pStyle w:val="Prrafodelista"/>
        <w:numPr>
          <w:ilvl w:val="0"/>
          <w:numId w:val="9"/>
        </w:numPr>
        <w:jc w:val="both"/>
        <w:rPr>
          <w:sz w:val="20"/>
          <w:szCs w:val="20"/>
          <w:lang w:val="es-CO"/>
        </w:rPr>
      </w:pPr>
      <w:r w:rsidRPr="00990D18">
        <w:rPr>
          <w:sz w:val="20"/>
          <w:szCs w:val="20"/>
          <w:lang w:val="es-CO"/>
        </w:rPr>
        <w:t>Revisión bibliográfica</w:t>
      </w:r>
    </w:p>
    <w:p w14:paraId="48F32C75" w14:textId="77777777" w:rsidR="00EC4561" w:rsidRPr="00990D18" w:rsidRDefault="00EC4561" w:rsidP="00EC4561">
      <w:pPr>
        <w:spacing w:after="120"/>
        <w:jc w:val="both"/>
        <w:rPr>
          <w:sz w:val="20"/>
          <w:szCs w:val="20"/>
          <w:lang w:val="es-CO"/>
        </w:rPr>
      </w:pPr>
    </w:p>
    <w:p w14:paraId="1802D1CB" w14:textId="3365AB5B" w:rsidR="00E07401" w:rsidRPr="00990D18" w:rsidRDefault="00EC4561" w:rsidP="00EC4561">
      <w:pPr>
        <w:spacing w:after="120"/>
        <w:jc w:val="both"/>
        <w:rPr>
          <w:sz w:val="20"/>
          <w:szCs w:val="20"/>
        </w:rPr>
      </w:pPr>
      <w:bookmarkStart w:id="6" w:name="_Hlk214539750"/>
      <w:r w:rsidRPr="00990D18">
        <w:rPr>
          <w:sz w:val="20"/>
          <w:szCs w:val="20"/>
          <w:lang w:val="es-CO"/>
        </w:rPr>
        <w:t>La pregunta de investigación formulada en el estudio fue: ¿Cuáles son las metodologías para la predicción de las propiedades mecánicas de los materiales compuestos? A partir de este planteamiento, se procedió a la identificación de los términos clave que guiarían la búsqueda bibliográfica. Para este fin, se utilizaron herramientas de inteligencia artificial (</w:t>
      </w:r>
      <w:proofErr w:type="spellStart"/>
      <w:r w:rsidRPr="00990D18">
        <w:rPr>
          <w:sz w:val="20"/>
          <w:szCs w:val="20"/>
          <w:lang w:val="es-CO"/>
        </w:rPr>
        <w:t>Copilot</w:t>
      </w:r>
      <w:proofErr w:type="spellEnd"/>
      <w:r w:rsidRPr="00990D18">
        <w:rPr>
          <w:sz w:val="20"/>
          <w:szCs w:val="20"/>
          <w:lang w:val="es-CO"/>
        </w:rPr>
        <w:t xml:space="preserve">, Gemini y </w:t>
      </w:r>
      <w:proofErr w:type="spellStart"/>
      <w:r w:rsidRPr="00990D18">
        <w:rPr>
          <w:sz w:val="20"/>
          <w:szCs w:val="20"/>
          <w:lang w:val="es-CO"/>
        </w:rPr>
        <w:t>ChatGPT</w:t>
      </w:r>
      <w:proofErr w:type="spellEnd"/>
      <w:r w:rsidRPr="00990D18">
        <w:rPr>
          <w:sz w:val="20"/>
          <w:szCs w:val="20"/>
          <w:lang w:val="es-CO"/>
        </w:rPr>
        <w:t xml:space="preserve">) </w:t>
      </w:r>
      <w:r w:rsidR="00E07401" w:rsidRPr="00990D18">
        <w:rPr>
          <w:sz w:val="20"/>
          <w:szCs w:val="20"/>
        </w:rPr>
        <w:t xml:space="preserve">como apoyo complementario para la generación de sinónimos y la estructuración de combinaciones booleanas. </w:t>
      </w:r>
      <w:r w:rsidR="00D57D49" w:rsidRPr="00990D18">
        <w:rPr>
          <w:sz w:val="20"/>
          <w:szCs w:val="20"/>
        </w:rPr>
        <w:t xml:space="preserve">No obstante, el </w:t>
      </w:r>
      <w:r w:rsidR="00D57D49" w:rsidRPr="00990D18">
        <w:rPr>
          <w:sz w:val="20"/>
          <w:szCs w:val="20"/>
        </w:rPr>
        <w:lastRenderedPageBreak/>
        <w:t>proceso se mantuvo bajo supervisión humana en todo momento, evitando la automatización total y garantizando la pertinencia, precisión y validez científica de los términos seleccionados.</w:t>
      </w:r>
    </w:p>
    <w:bookmarkEnd w:id="6"/>
    <w:p w14:paraId="5BFF903B" w14:textId="065449EE" w:rsidR="00D57D49" w:rsidRPr="00990D18" w:rsidRDefault="00B35219" w:rsidP="00EC4561">
      <w:pPr>
        <w:spacing w:after="120"/>
        <w:jc w:val="both"/>
        <w:rPr>
          <w:sz w:val="20"/>
          <w:szCs w:val="20"/>
        </w:rPr>
      </w:pPr>
      <w:r w:rsidRPr="00990D18">
        <w:rPr>
          <w:sz w:val="20"/>
          <w:szCs w:val="20"/>
        </w:rPr>
        <w:t xml:space="preserve">Basándose en estudios previos que validan el uso de IA en revisiones sistemáticas </w:t>
      </w:r>
      <w:r w:rsidR="00791290" w:rsidRPr="00990D18">
        <w:rPr>
          <w:b/>
          <w:bCs/>
          <w:sz w:val="20"/>
          <w:szCs w:val="20"/>
        </w:rPr>
        <w:t>[13]</w:t>
      </w:r>
      <w:r w:rsidR="00D57D49" w:rsidRPr="00990D18">
        <w:rPr>
          <w:sz w:val="20"/>
          <w:szCs w:val="20"/>
        </w:rPr>
        <w:t xml:space="preserve">, se definió una base terminológica sólida y bien fundamentada. Los términos clave seleccionados fueron: Composite, </w:t>
      </w:r>
      <w:proofErr w:type="spellStart"/>
      <w:r w:rsidR="00D57D49" w:rsidRPr="00990D18">
        <w:rPr>
          <w:sz w:val="20"/>
          <w:szCs w:val="20"/>
        </w:rPr>
        <w:t>Mechanical</w:t>
      </w:r>
      <w:proofErr w:type="spellEnd"/>
      <w:r w:rsidR="00D57D49" w:rsidRPr="00990D18">
        <w:rPr>
          <w:sz w:val="20"/>
          <w:szCs w:val="20"/>
        </w:rPr>
        <w:t xml:space="preserve"> y </w:t>
      </w:r>
      <w:proofErr w:type="spellStart"/>
      <w:r w:rsidR="00D57D49" w:rsidRPr="00990D18">
        <w:rPr>
          <w:sz w:val="20"/>
          <w:szCs w:val="20"/>
        </w:rPr>
        <w:t>Prediction</w:t>
      </w:r>
      <w:proofErr w:type="spellEnd"/>
      <w:r w:rsidR="00D57D49" w:rsidRPr="00990D18">
        <w:rPr>
          <w:sz w:val="20"/>
          <w:szCs w:val="20"/>
        </w:rPr>
        <w:t>. Estos se eligieron por su capacidad para abarcar de manera amplia y precisa los estudios relacionados con materiales compuestos, sus propiedades mecánicas y los modelos empleados para su predicción</w:t>
      </w:r>
      <w:r w:rsidR="00154DEE" w:rsidRPr="00990D18">
        <w:rPr>
          <w:sz w:val="20"/>
          <w:szCs w:val="20"/>
        </w:rPr>
        <w:t>.</w:t>
      </w:r>
    </w:p>
    <w:p w14:paraId="2D0EEF54" w14:textId="77777777" w:rsidR="00154DEE" w:rsidRPr="00990D18" w:rsidRDefault="00EC4561" w:rsidP="00EC4561">
      <w:pPr>
        <w:spacing w:after="120"/>
        <w:jc w:val="both"/>
        <w:rPr>
          <w:sz w:val="20"/>
          <w:szCs w:val="20"/>
          <w:lang w:val="es-CO"/>
        </w:rPr>
      </w:pPr>
      <w:r w:rsidRPr="00990D18">
        <w:rPr>
          <w:sz w:val="20"/>
          <w:szCs w:val="20"/>
          <w:lang w:val="es-CO"/>
        </w:rPr>
        <w:t xml:space="preserve">Para la recolección de información científica, se seleccionó la base de datos </w:t>
      </w:r>
      <w:proofErr w:type="spellStart"/>
      <w:r w:rsidRPr="00990D18">
        <w:rPr>
          <w:sz w:val="20"/>
          <w:szCs w:val="20"/>
          <w:lang w:val="es-CO"/>
        </w:rPr>
        <w:t>Scopus</w:t>
      </w:r>
      <w:proofErr w:type="spellEnd"/>
      <w:r w:rsidRPr="00990D18">
        <w:rPr>
          <w:sz w:val="20"/>
          <w:szCs w:val="20"/>
          <w:lang w:val="es-CO"/>
        </w:rPr>
        <w:t xml:space="preserve"> como fuente principal, debido a su reconocido prestigio, amplio alcance en publicaciones indexadas y alta pertinencia en las áreas de ingeniería, ciencia de materiales y tecnología. </w:t>
      </w:r>
    </w:p>
    <w:p w14:paraId="0757E866" w14:textId="07BE5D53" w:rsidR="00D57D49" w:rsidRPr="00990D18" w:rsidRDefault="00EC4561" w:rsidP="00EC4561">
      <w:pPr>
        <w:spacing w:after="120"/>
        <w:jc w:val="both"/>
        <w:rPr>
          <w:sz w:val="20"/>
          <w:szCs w:val="20"/>
        </w:rPr>
      </w:pPr>
      <w:r w:rsidRPr="00990D18">
        <w:rPr>
          <w:sz w:val="20"/>
          <w:szCs w:val="20"/>
          <w:lang w:val="es-CO"/>
        </w:rPr>
        <w:t>Esta plataforma ofreció acceso completo mediante las credenciales institucionales del autor, lo que permitió una búsqueda sistemática, amplia y confiable de literatura especializada.</w:t>
      </w:r>
      <w:r w:rsidR="00E07401" w:rsidRPr="00990D18">
        <w:rPr>
          <w:spacing w:val="5"/>
          <w:sz w:val="20"/>
          <w:szCs w:val="20"/>
          <w:shd w:val="clear" w:color="auto" w:fill="FFFFFF"/>
        </w:rPr>
        <w:t xml:space="preserve"> </w:t>
      </w:r>
      <w:r w:rsidR="00D57D49" w:rsidRPr="00990D18">
        <w:rPr>
          <w:sz w:val="20"/>
          <w:szCs w:val="20"/>
        </w:rPr>
        <w:t>Aunque existen herramientas orientadas a minería de datos avanzada, este estudio optó por priorizar la trazabilidad y la replicabilidad metodológica, aplicando directamente las cadenas de búsqueda optimizadas en las bases de datos primarias.</w:t>
      </w:r>
    </w:p>
    <w:p w14:paraId="5DF4DEA3" w14:textId="2C27A0FE" w:rsidR="00EC4561" w:rsidRPr="00990D18" w:rsidRDefault="00EC4561" w:rsidP="00EC4561">
      <w:pPr>
        <w:spacing w:after="120"/>
        <w:jc w:val="both"/>
        <w:rPr>
          <w:sz w:val="20"/>
          <w:szCs w:val="20"/>
          <w:lang w:val="es-CO"/>
        </w:rPr>
      </w:pPr>
      <w:r w:rsidRPr="00990D18">
        <w:rPr>
          <w:sz w:val="20"/>
          <w:szCs w:val="20"/>
          <w:lang w:val="es-CO"/>
        </w:rPr>
        <w:t>Se definieron dos estrategias de búsqueda, estructuradas a partir de los términos clave previamente establecidos. La primera estrategia "Composite" AND "</w:t>
      </w:r>
      <w:proofErr w:type="spellStart"/>
      <w:r w:rsidRPr="00990D18">
        <w:rPr>
          <w:sz w:val="20"/>
          <w:szCs w:val="20"/>
          <w:lang w:val="es-CO"/>
        </w:rPr>
        <w:t>Mechanical</w:t>
      </w:r>
      <w:proofErr w:type="spellEnd"/>
      <w:r w:rsidRPr="00990D18">
        <w:rPr>
          <w:sz w:val="20"/>
          <w:szCs w:val="20"/>
          <w:lang w:val="es-CO"/>
        </w:rPr>
        <w:t>" tuvo como objetivo identificar investigaciones centradas en la caracterización de propiedades mecánicas de materiales compuestos, tales como resistencia, rigidez y dureza. La segunda estrategia "Composite" AND "</w:t>
      </w:r>
      <w:proofErr w:type="spellStart"/>
      <w:r w:rsidRPr="00990D18">
        <w:rPr>
          <w:sz w:val="20"/>
          <w:szCs w:val="20"/>
          <w:lang w:val="es-CO"/>
        </w:rPr>
        <w:t>Mechanical</w:t>
      </w:r>
      <w:proofErr w:type="spellEnd"/>
      <w:r w:rsidRPr="00990D18">
        <w:rPr>
          <w:sz w:val="20"/>
          <w:szCs w:val="20"/>
          <w:lang w:val="es-CO"/>
        </w:rPr>
        <w:t>" AND "</w:t>
      </w:r>
      <w:proofErr w:type="spellStart"/>
      <w:r w:rsidRPr="00990D18">
        <w:rPr>
          <w:sz w:val="20"/>
          <w:szCs w:val="20"/>
          <w:lang w:val="es-CO"/>
        </w:rPr>
        <w:t>Prediction</w:t>
      </w:r>
      <w:proofErr w:type="spellEnd"/>
      <w:r w:rsidRPr="00990D18">
        <w:rPr>
          <w:sz w:val="20"/>
          <w:szCs w:val="20"/>
          <w:lang w:val="es-CO"/>
        </w:rPr>
        <w:t>" estuvo orientada a localizar estudios enfocados en metodologías de predicción. Estas combinaciones permitieron focalizar la revisión en los aspectos técnicos fundamentales del objeto de estudio.</w:t>
      </w:r>
    </w:p>
    <w:p w14:paraId="160DECE8" w14:textId="77777777" w:rsidR="00EC4561" w:rsidRPr="00990D18" w:rsidRDefault="00EC4561" w:rsidP="00EC4561">
      <w:pPr>
        <w:spacing w:after="120"/>
        <w:jc w:val="both"/>
        <w:rPr>
          <w:sz w:val="20"/>
          <w:szCs w:val="20"/>
          <w:lang w:val="es-CO"/>
        </w:rPr>
      </w:pPr>
      <w:r w:rsidRPr="00990D18">
        <w:rPr>
          <w:sz w:val="20"/>
          <w:szCs w:val="20"/>
          <w:lang w:val="es-CO"/>
        </w:rPr>
        <w:t>Con el fin de asegurar la calidad, actualidad y pertinencia de los estudios seleccionados, se aplicaron los criterios de inclusión definidos en la metodología. La aplicación de estos filtros permitió reducir significativamente el número inicial de resultados, concentrando el análisis en estudios con mayor relevancia y valor técnico para el estudio.</w:t>
      </w:r>
    </w:p>
    <w:p w14:paraId="2F464405" w14:textId="77777777" w:rsidR="00EC4561" w:rsidRPr="00990D18" w:rsidRDefault="00EC4561" w:rsidP="00EC4561">
      <w:pPr>
        <w:spacing w:after="120"/>
        <w:jc w:val="both"/>
        <w:rPr>
          <w:sz w:val="20"/>
          <w:szCs w:val="20"/>
          <w:lang w:val="es-CO"/>
        </w:rPr>
      </w:pPr>
      <w:r w:rsidRPr="00990D18">
        <w:rPr>
          <w:sz w:val="20"/>
          <w:szCs w:val="20"/>
          <w:lang w:val="es-CO"/>
        </w:rPr>
        <w:t>La estrategia de búsqueda "Composite" AND "</w:t>
      </w:r>
      <w:proofErr w:type="spellStart"/>
      <w:r w:rsidRPr="00990D18">
        <w:rPr>
          <w:sz w:val="20"/>
          <w:szCs w:val="20"/>
          <w:lang w:val="es-CO"/>
        </w:rPr>
        <w:t>Mechanical</w:t>
      </w:r>
      <w:proofErr w:type="spellEnd"/>
      <w:r w:rsidRPr="00990D18">
        <w:rPr>
          <w:sz w:val="20"/>
          <w:szCs w:val="20"/>
          <w:lang w:val="es-CO"/>
        </w:rPr>
        <w:t xml:space="preserve">" permitió identificar un total de 24.597 artículos, lo que evidencia un volumen considerable </w:t>
      </w:r>
      <w:r w:rsidRPr="00990D18">
        <w:rPr>
          <w:sz w:val="20"/>
          <w:szCs w:val="20"/>
          <w:lang w:val="es-CO"/>
        </w:rPr>
        <w:t>de estudios enfocados en la caracterización de las propiedades mecánicas de los materiales compuestos. Si bien este resultado era previsible, pone de manifiesto la relevancia de estas investigaciones, ya que comprender el comportamiento de los compuestos frente a cargas externas es fundamental para garantizar su fiabilidad, durabilidad y desempeño en aplicaciones estructurales, industriales y tecnológicas.</w:t>
      </w:r>
    </w:p>
    <w:p w14:paraId="29972C78" w14:textId="3EEA7874" w:rsidR="00EC4561" w:rsidRPr="00990D18" w:rsidRDefault="00EC4561" w:rsidP="00EC4561">
      <w:pPr>
        <w:spacing w:after="120"/>
        <w:jc w:val="both"/>
        <w:rPr>
          <w:sz w:val="20"/>
          <w:szCs w:val="20"/>
        </w:rPr>
      </w:pPr>
      <w:r w:rsidRPr="00990D18">
        <w:rPr>
          <w:sz w:val="20"/>
          <w:szCs w:val="20"/>
          <w:lang w:val="es-CO"/>
        </w:rPr>
        <w:t xml:space="preserve">El análisis de la evolución temporal de las publicaciones relacionadas con la caracterización mecánica de materiales compuestos, presentado en la Figura 3, </w:t>
      </w:r>
      <w:r w:rsidR="00C62E22" w:rsidRPr="00990D18">
        <w:rPr>
          <w:sz w:val="20"/>
          <w:szCs w:val="20"/>
        </w:rPr>
        <w:t>evidencia un crecimiento significativo en la producción científica entre los años 2020 y 2023. Posteriormente, se observa una estabilización en la cantidad de artículos hacia el 2024. Este comportamiento refleja un interés que, tras un rápido ascenso, ha logrado consolidarse, ratificando a esta línea de investigación como un componente fundamental en el desarrollo de nuevos materiales dentro del campo de la ingeniería y la innovación tecnológica.</w:t>
      </w:r>
      <w:r w:rsidR="00B1158A" w:rsidRPr="00990D18">
        <w:rPr>
          <w:sz w:val="20"/>
          <w:szCs w:val="20"/>
        </w:rPr>
        <w:t xml:space="preserve"> </w:t>
      </w:r>
    </w:p>
    <w:p w14:paraId="6C7DDC6F" w14:textId="77777777" w:rsidR="00C62E22" w:rsidRPr="00D6514A" w:rsidRDefault="00C62E22" w:rsidP="00EC4561">
      <w:pPr>
        <w:spacing w:after="120"/>
        <w:jc w:val="both"/>
        <w:rPr>
          <w:sz w:val="22"/>
          <w:szCs w:val="22"/>
          <w:lang w:val="es-CO"/>
        </w:rPr>
      </w:pPr>
    </w:p>
    <w:p w14:paraId="2791CA64" w14:textId="77777777" w:rsidR="00EC4561" w:rsidRPr="00D6514A" w:rsidRDefault="00EC4561" w:rsidP="00EC4561">
      <w:pPr>
        <w:spacing w:after="120"/>
        <w:jc w:val="both"/>
        <w:rPr>
          <w:sz w:val="22"/>
          <w:szCs w:val="22"/>
          <w:lang w:val="es-CO"/>
        </w:rPr>
      </w:pPr>
      <w:r w:rsidRPr="00D6514A">
        <w:rPr>
          <w:noProof/>
          <w:sz w:val="20"/>
          <w:szCs w:val="20"/>
          <w:lang w:val="es-CO"/>
        </w:rPr>
        <w:drawing>
          <wp:inline distT="0" distB="0" distL="0" distR="0" wp14:anchorId="73C69521" wp14:editId="18B2BAE0">
            <wp:extent cx="2922270" cy="1826134"/>
            <wp:effectExtent l="0" t="0" r="0" b="3175"/>
            <wp:docPr id="3" name="Imagen 3" descr="C:\Users\sergio.gomezs\Downloads\grafica_cantidad_mechan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rgio.gomezs\Downloads\grafica_cantidad_mechanical.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2270" cy="1826134"/>
                    </a:xfrm>
                    <a:prstGeom prst="rect">
                      <a:avLst/>
                    </a:prstGeom>
                    <a:noFill/>
                    <a:ln>
                      <a:noFill/>
                    </a:ln>
                  </pic:spPr>
                </pic:pic>
              </a:graphicData>
            </a:graphic>
          </wp:inline>
        </w:drawing>
      </w:r>
    </w:p>
    <w:p w14:paraId="1F0E2D28" w14:textId="77777777" w:rsidR="00EC4561" w:rsidRPr="00990D18" w:rsidRDefault="00EC4561" w:rsidP="00EC4561">
      <w:pPr>
        <w:spacing w:before="60" w:after="120"/>
        <w:jc w:val="center"/>
        <w:rPr>
          <w:b/>
          <w:sz w:val="20"/>
          <w:szCs w:val="20"/>
        </w:rPr>
      </w:pPr>
      <w:r w:rsidRPr="00990D18">
        <w:rPr>
          <w:b/>
          <w:sz w:val="20"/>
          <w:szCs w:val="20"/>
        </w:rPr>
        <w:t xml:space="preserve">Figura 3:  </w:t>
      </w:r>
      <w:r w:rsidRPr="00990D18">
        <w:rPr>
          <w:sz w:val="20"/>
          <w:szCs w:val="20"/>
        </w:rPr>
        <w:t>Evolución temporal de publicaciones científicas con las palabras clave '</w:t>
      </w:r>
      <w:proofErr w:type="spellStart"/>
      <w:r w:rsidRPr="00990D18">
        <w:rPr>
          <w:sz w:val="20"/>
          <w:szCs w:val="20"/>
        </w:rPr>
        <w:t>Mechanical</w:t>
      </w:r>
      <w:proofErr w:type="spellEnd"/>
      <w:r w:rsidRPr="00990D18">
        <w:rPr>
          <w:sz w:val="20"/>
          <w:szCs w:val="20"/>
        </w:rPr>
        <w:t>' y 'Composite'</w:t>
      </w:r>
    </w:p>
    <w:p w14:paraId="7DE70E4D" w14:textId="77777777" w:rsidR="00DB1E1C" w:rsidRPr="00990D18" w:rsidRDefault="00DB1E1C" w:rsidP="00EC4561">
      <w:pPr>
        <w:jc w:val="both"/>
        <w:rPr>
          <w:sz w:val="20"/>
          <w:szCs w:val="20"/>
          <w:lang w:val="es-CO"/>
        </w:rPr>
      </w:pPr>
    </w:p>
    <w:p w14:paraId="241C97B6" w14:textId="53A00B97" w:rsidR="00EC4561" w:rsidRPr="00990D18" w:rsidRDefault="00EC4561" w:rsidP="00EC4561">
      <w:pPr>
        <w:jc w:val="both"/>
        <w:rPr>
          <w:sz w:val="20"/>
          <w:szCs w:val="20"/>
          <w:lang w:val="es-CO"/>
        </w:rPr>
      </w:pPr>
      <w:r w:rsidRPr="00990D18">
        <w:rPr>
          <w:sz w:val="20"/>
          <w:szCs w:val="20"/>
          <w:lang w:val="es-CO"/>
        </w:rPr>
        <w:t xml:space="preserve">la Figura 4 muestra la distribución geográfica de la producción científica en el área, destacando a China, Estados Unidos e India como los países con mayor número de publicaciones relacionadas con materiales compuestos y sus propiedades mecánicas. </w:t>
      </w:r>
      <w:bookmarkStart w:id="7" w:name="_Hlk214440285"/>
      <w:r w:rsidR="00EA7337" w:rsidRPr="00990D18">
        <w:rPr>
          <w:sz w:val="20"/>
          <w:szCs w:val="20"/>
        </w:rPr>
        <w:t xml:space="preserve">Este volumen de producción científica es consistente con la elevada demanda de materiales compuestos en estas regiones para sectores estratégicos como la aeronáutica, la automoción, la construcción y las energías </w:t>
      </w:r>
      <w:r w:rsidR="00EA7337" w:rsidRPr="00990D18">
        <w:rPr>
          <w:sz w:val="20"/>
          <w:szCs w:val="20"/>
        </w:rPr>
        <w:lastRenderedPageBreak/>
        <w:t xml:space="preserve">renovables, lo cual ha incentivado la generación de conocimiento técnico </w:t>
      </w:r>
      <w:bookmarkEnd w:id="7"/>
      <w:r w:rsidR="004C6747" w:rsidRPr="00990D18">
        <w:rPr>
          <w:sz w:val="20"/>
          <w:szCs w:val="20"/>
        </w:rPr>
        <w:t xml:space="preserve">especializado </w:t>
      </w:r>
      <w:r w:rsidR="004C6747" w:rsidRPr="00990D18">
        <w:rPr>
          <w:b/>
          <w:bCs/>
          <w:sz w:val="20"/>
          <w:szCs w:val="20"/>
          <w:lang w:val="es-CO"/>
        </w:rPr>
        <w:t>[14]</w:t>
      </w:r>
      <w:r w:rsidRPr="00990D18">
        <w:rPr>
          <w:sz w:val="20"/>
          <w:szCs w:val="20"/>
          <w:lang w:val="es-CO"/>
        </w:rPr>
        <w:t>.</w:t>
      </w:r>
    </w:p>
    <w:p w14:paraId="77F4DEC8" w14:textId="77777777" w:rsidR="00EC4561" w:rsidRPr="00D6514A" w:rsidRDefault="00EC4561" w:rsidP="00EC4561">
      <w:pPr>
        <w:spacing w:after="120"/>
        <w:jc w:val="both"/>
        <w:rPr>
          <w:sz w:val="22"/>
          <w:szCs w:val="22"/>
          <w:lang w:val="es-CO"/>
        </w:rPr>
      </w:pPr>
    </w:p>
    <w:p w14:paraId="08138B4E" w14:textId="6F36D58C" w:rsidR="00EC4561" w:rsidRDefault="00EC4561" w:rsidP="00EC4561">
      <w:pPr>
        <w:jc w:val="center"/>
        <w:rPr>
          <w:sz w:val="20"/>
          <w:szCs w:val="20"/>
        </w:rPr>
      </w:pPr>
      <w:r w:rsidRPr="00D6514A">
        <w:rPr>
          <w:noProof/>
          <w:lang w:val="es-CO"/>
        </w:rPr>
        <w:drawing>
          <wp:inline distT="0" distB="0" distL="0" distR="0" wp14:anchorId="662C432A" wp14:editId="244F7E73">
            <wp:extent cx="2978578" cy="1737360"/>
            <wp:effectExtent l="0" t="0" r="0" b="0"/>
            <wp:docPr id="19" name="Imagen 19" descr="C:\Users\sergio.gomezs\Downloads\grafica_articulos_paises_profesio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ergio.gomezs\Downloads\grafica_articulos_paises_profesional.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86851" cy="1742186"/>
                    </a:xfrm>
                    <a:prstGeom prst="rect">
                      <a:avLst/>
                    </a:prstGeom>
                    <a:noFill/>
                    <a:ln>
                      <a:noFill/>
                    </a:ln>
                  </pic:spPr>
                </pic:pic>
              </a:graphicData>
            </a:graphic>
          </wp:inline>
        </w:drawing>
      </w:r>
      <w:r w:rsidRPr="00D6514A">
        <w:rPr>
          <w:b/>
          <w:lang w:val="es-CO"/>
        </w:rPr>
        <w:t xml:space="preserve"> </w:t>
      </w:r>
      <w:r w:rsidRPr="00990D18">
        <w:rPr>
          <w:b/>
          <w:sz w:val="20"/>
          <w:szCs w:val="20"/>
        </w:rPr>
        <w:t>Figura 4</w:t>
      </w:r>
      <w:r w:rsidR="00DB1E1C" w:rsidRPr="00990D18">
        <w:rPr>
          <w:b/>
          <w:sz w:val="20"/>
          <w:szCs w:val="20"/>
        </w:rPr>
        <w:t>:</w:t>
      </w:r>
      <w:r w:rsidRPr="00990D18">
        <w:rPr>
          <w:b/>
          <w:sz w:val="20"/>
          <w:szCs w:val="20"/>
        </w:rPr>
        <w:t xml:space="preserve">  </w:t>
      </w:r>
      <w:r w:rsidRPr="00990D18">
        <w:rPr>
          <w:sz w:val="20"/>
          <w:szCs w:val="20"/>
        </w:rPr>
        <w:t>Distribución por país de publicaciones científicas sobre estudios en propiedades mecánicas en materiales compuestos</w:t>
      </w:r>
    </w:p>
    <w:p w14:paraId="25AB3CE5" w14:textId="77777777" w:rsidR="0072408A" w:rsidRPr="00990D18" w:rsidRDefault="0072408A" w:rsidP="00EC4561">
      <w:pPr>
        <w:jc w:val="center"/>
        <w:rPr>
          <w:sz w:val="20"/>
          <w:szCs w:val="20"/>
          <w:lang w:val="es-CO"/>
        </w:rPr>
      </w:pPr>
    </w:p>
    <w:p w14:paraId="0DE47DE4" w14:textId="77777777" w:rsidR="00EC4561" w:rsidRPr="00990D18" w:rsidRDefault="00EC4561" w:rsidP="00EC4561">
      <w:pPr>
        <w:spacing w:after="120"/>
        <w:jc w:val="both"/>
        <w:rPr>
          <w:sz w:val="20"/>
          <w:szCs w:val="20"/>
          <w:lang w:val="es-CO"/>
        </w:rPr>
      </w:pPr>
      <w:r w:rsidRPr="00990D18">
        <w:rPr>
          <w:sz w:val="20"/>
          <w:szCs w:val="20"/>
          <w:lang w:val="es-CO"/>
        </w:rPr>
        <w:t>La búsqueda realizada con la estrategia “Composite” AND “</w:t>
      </w:r>
      <w:proofErr w:type="spellStart"/>
      <w:r w:rsidRPr="00990D18">
        <w:rPr>
          <w:sz w:val="20"/>
          <w:szCs w:val="20"/>
          <w:lang w:val="es-CO"/>
        </w:rPr>
        <w:t>Mechanical</w:t>
      </w:r>
      <w:proofErr w:type="spellEnd"/>
      <w:r w:rsidRPr="00990D18">
        <w:rPr>
          <w:sz w:val="20"/>
          <w:szCs w:val="20"/>
          <w:lang w:val="es-CO"/>
        </w:rPr>
        <w:t>” AND “</w:t>
      </w:r>
      <w:proofErr w:type="spellStart"/>
      <w:r w:rsidRPr="00990D18">
        <w:rPr>
          <w:sz w:val="20"/>
          <w:szCs w:val="20"/>
          <w:lang w:val="es-CO"/>
        </w:rPr>
        <w:t>Prediction</w:t>
      </w:r>
      <w:proofErr w:type="spellEnd"/>
      <w:r w:rsidRPr="00990D18">
        <w:rPr>
          <w:sz w:val="20"/>
          <w:szCs w:val="20"/>
          <w:lang w:val="es-CO"/>
        </w:rPr>
        <w:t>” arrojó 3.028 resultados, lo que representa una disminución sustancial en comparación con la búsqueda anterior que no incluía el término “</w:t>
      </w:r>
      <w:proofErr w:type="spellStart"/>
      <w:r w:rsidRPr="00990D18">
        <w:rPr>
          <w:sz w:val="20"/>
          <w:szCs w:val="20"/>
          <w:lang w:val="es-CO"/>
        </w:rPr>
        <w:t>Prediction</w:t>
      </w:r>
      <w:proofErr w:type="spellEnd"/>
      <w:r w:rsidRPr="00990D18">
        <w:rPr>
          <w:sz w:val="20"/>
          <w:szCs w:val="20"/>
          <w:lang w:val="es-CO"/>
        </w:rPr>
        <w:t>”. Esta reducción se debe a que el enfoque predictivo añade un nivel adicional de especialización, lo cual restringe el espectro general de estudios disponibles. No obstante, la inclusión de este término permitió enfocar la búsqueda en investigaciones que incorporan modelos y herramientas analíticas orientadas a la estimación de propiedades mecánicas, aportando así un valor diferencial al análisis.</w:t>
      </w:r>
    </w:p>
    <w:p w14:paraId="11BE44E9" w14:textId="6B4052BA" w:rsidR="00EC4561" w:rsidRPr="00D6514A" w:rsidRDefault="00EC4561" w:rsidP="00EC4561">
      <w:pPr>
        <w:spacing w:after="120"/>
        <w:jc w:val="both"/>
        <w:rPr>
          <w:sz w:val="22"/>
          <w:szCs w:val="22"/>
          <w:lang w:val="es-CO"/>
        </w:rPr>
      </w:pPr>
      <w:r w:rsidRPr="00990D18">
        <w:rPr>
          <w:sz w:val="20"/>
          <w:szCs w:val="20"/>
          <w:lang w:val="es-CO"/>
        </w:rPr>
        <w:t xml:space="preserve">A pesar del menor volumen global de resultados, el comportamiento temporal de las publicaciones, representado en la Figura 5, muestra una tendencia creciente en los últimos años. Este aumento refleja el creciente interés de la comunidad científica por incorporar métodos predictivos en el estudio de materiales compuestos. </w:t>
      </w:r>
      <w:bookmarkStart w:id="8" w:name="_Hlk214440593"/>
      <w:r w:rsidR="00100B50" w:rsidRPr="00990D18">
        <w:rPr>
          <w:sz w:val="20"/>
          <w:szCs w:val="20"/>
          <w:lang w:val="es-CO"/>
        </w:rPr>
        <w:t xml:space="preserve">Dicha tendencia es consistente con la literatura reciente, la cual destaca una mayor adopción de herramientas computacionales y de inteligencia artificial debido a su capacidad para modelar comportamientos complejos con mayor eficiencia que los métodos tradicionales </w:t>
      </w:r>
      <w:bookmarkEnd w:id="8"/>
      <w:r w:rsidR="004C6747" w:rsidRPr="00990D18">
        <w:rPr>
          <w:b/>
          <w:bCs/>
          <w:sz w:val="20"/>
          <w:szCs w:val="20"/>
        </w:rPr>
        <w:t>[7]</w:t>
      </w:r>
      <w:r w:rsidR="004C6747" w:rsidRPr="00990D18">
        <w:rPr>
          <w:sz w:val="20"/>
          <w:szCs w:val="20"/>
        </w:rPr>
        <w:t>.</w:t>
      </w:r>
    </w:p>
    <w:p w14:paraId="4B665125" w14:textId="77777777" w:rsidR="00EC4561" w:rsidRPr="00D6514A" w:rsidRDefault="00EC4561" w:rsidP="00EC4561">
      <w:pPr>
        <w:spacing w:after="120"/>
        <w:jc w:val="both"/>
        <w:rPr>
          <w:sz w:val="22"/>
          <w:szCs w:val="22"/>
          <w:lang w:val="es-CO"/>
        </w:rPr>
      </w:pPr>
      <w:r w:rsidRPr="00D6514A">
        <w:rPr>
          <w:b/>
          <w:noProof/>
          <w:lang w:val="es-CO"/>
        </w:rPr>
        <w:drawing>
          <wp:inline distT="0" distB="0" distL="0" distR="0" wp14:anchorId="51335A9B" wp14:editId="1841831C">
            <wp:extent cx="2922270" cy="1826275"/>
            <wp:effectExtent l="0" t="0" r="0" b="2540"/>
            <wp:docPr id="5" name="Imagen 5" descr="C:\Users\sergio.gomezs\Downloads\grafica_cantidad_predi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rgio.gomezs\Downloads\grafica_cantidad_prediction.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2270" cy="1826275"/>
                    </a:xfrm>
                    <a:prstGeom prst="rect">
                      <a:avLst/>
                    </a:prstGeom>
                    <a:noFill/>
                    <a:ln>
                      <a:noFill/>
                    </a:ln>
                  </pic:spPr>
                </pic:pic>
              </a:graphicData>
            </a:graphic>
          </wp:inline>
        </w:drawing>
      </w:r>
    </w:p>
    <w:p w14:paraId="2F43E29E" w14:textId="77777777" w:rsidR="00EC4561" w:rsidRPr="0072408A" w:rsidRDefault="00DB1E1C" w:rsidP="00DB1E1C">
      <w:pPr>
        <w:spacing w:after="120"/>
        <w:jc w:val="center"/>
        <w:rPr>
          <w:b/>
          <w:sz w:val="20"/>
          <w:szCs w:val="20"/>
        </w:rPr>
      </w:pPr>
      <w:r w:rsidRPr="0072408A">
        <w:rPr>
          <w:b/>
          <w:sz w:val="20"/>
          <w:szCs w:val="20"/>
        </w:rPr>
        <w:t>Figura 5:</w:t>
      </w:r>
      <w:r w:rsidR="00EC4561" w:rsidRPr="0072408A">
        <w:rPr>
          <w:b/>
          <w:sz w:val="20"/>
          <w:szCs w:val="20"/>
        </w:rPr>
        <w:t xml:space="preserve">  </w:t>
      </w:r>
      <w:r w:rsidR="00EC4561" w:rsidRPr="0072408A">
        <w:rPr>
          <w:sz w:val="20"/>
          <w:szCs w:val="20"/>
        </w:rPr>
        <w:t>Evolución temporal de publicaciones científicas con las palabras clave '</w:t>
      </w:r>
      <w:proofErr w:type="spellStart"/>
      <w:r w:rsidR="00EC4561" w:rsidRPr="0072408A">
        <w:rPr>
          <w:sz w:val="20"/>
          <w:szCs w:val="20"/>
        </w:rPr>
        <w:t>Mechanical</w:t>
      </w:r>
      <w:proofErr w:type="spellEnd"/>
      <w:r w:rsidR="00EC4561" w:rsidRPr="0072408A">
        <w:rPr>
          <w:sz w:val="20"/>
          <w:szCs w:val="20"/>
        </w:rPr>
        <w:t>’, 'Composite' y '</w:t>
      </w:r>
      <w:proofErr w:type="spellStart"/>
      <w:r w:rsidR="00EC4561" w:rsidRPr="0072408A">
        <w:rPr>
          <w:sz w:val="20"/>
          <w:szCs w:val="20"/>
        </w:rPr>
        <w:t>Prediction</w:t>
      </w:r>
      <w:proofErr w:type="spellEnd"/>
      <w:r w:rsidR="00EC4561" w:rsidRPr="0072408A">
        <w:rPr>
          <w:sz w:val="20"/>
          <w:szCs w:val="20"/>
        </w:rPr>
        <w:t>'</w:t>
      </w:r>
    </w:p>
    <w:p w14:paraId="5A5989A2" w14:textId="77777777" w:rsidR="00DB1E1C" w:rsidRPr="00D6514A" w:rsidRDefault="00DB1E1C" w:rsidP="00EC4561">
      <w:pPr>
        <w:spacing w:after="120"/>
        <w:jc w:val="both"/>
        <w:rPr>
          <w:sz w:val="22"/>
          <w:szCs w:val="22"/>
          <w:lang w:val="es-CO"/>
        </w:rPr>
      </w:pPr>
    </w:p>
    <w:p w14:paraId="3801FB92" w14:textId="77777777" w:rsidR="00EC4561" w:rsidRPr="00990D18" w:rsidRDefault="00EC4561" w:rsidP="00EC4561">
      <w:pPr>
        <w:spacing w:after="120"/>
        <w:jc w:val="both"/>
        <w:rPr>
          <w:sz w:val="20"/>
          <w:szCs w:val="20"/>
          <w:lang w:val="es-CO"/>
        </w:rPr>
      </w:pPr>
      <w:r w:rsidRPr="00990D18">
        <w:rPr>
          <w:sz w:val="20"/>
          <w:szCs w:val="20"/>
          <w:lang w:val="es-CO"/>
        </w:rPr>
        <w:t>La Figura 6 reafirma el liderazgo de China y Estados Unidos como los principales países productores de conocimiento en el ámbito de la predicción de propiedades mecánicas en materiales compuestos. Su protagonismo ha impulsado el desarrollo de enfoques predictivos cada vez más avanzados, consolidándolos como referentes globales en la aplicación de modelos computacionales y técnicas de simulación para el diseño y análisis de estos materiales.</w:t>
      </w:r>
    </w:p>
    <w:p w14:paraId="3F1CE336" w14:textId="77777777" w:rsidR="00EC4561" w:rsidRPr="00D6514A" w:rsidRDefault="00EC4561" w:rsidP="00EC4561">
      <w:pPr>
        <w:spacing w:after="120"/>
        <w:jc w:val="both"/>
        <w:rPr>
          <w:sz w:val="22"/>
          <w:szCs w:val="22"/>
          <w:lang w:val="es-CO"/>
        </w:rPr>
      </w:pPr>
      <w:r w:rsidRPr="00D6514A">
        <w:rPr>
          <w:sz w:val="22"/>
          <w:szCs w:val="22"/>
          <w:lang w:val="es-CO"/>
        </w:rPr>
        <w:t xml:space="preserve"> </w:t>
      </w:r>
      <w:r w:rsidRPr="00D6514A">
        <w:rPr>
          <w:noProof/>
          <w:lang w:val="es-CO"/>
        </w:rPr>
        <w:drawing>
          <wp:inline distT="0" distB="0" distL="0" distR="0" wp14:anchorId="4DE7FC97" wp14:editId="5F13DE3C">
            <wp:extent cx="2922270" cy="1704315"/>
            <wp:effectExtent l="0" t="0" r="0" b="0"/>
            <wp:docPr id="20" name="Imagen 20" descr="C:\Users\sergio.gomezs\Downloads\grafica_articulos_paises_2_profesio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ergio.gomezs\Downloads\grafica_articulos_paises_2_profesional.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22270" cy="1704315"/>
                    </a:xfrm>
                    <a:prstGeom prst="rect">
                      <a:avLst/>
                    </a:prstGeom>
                    <a:noFill/>
                    <a:ln>
                      <a:noFill/>
                    </a:ln>
                  </pic:spPr>
                </pic:pic>
              </a:graphicData>
            </a:graphic>
          </wp:inline>
        </w:drawing>
      </w:r>
    </w:p>
    <w:p w14:paraId="524559EB" w14:textId="77777777" w:rsidR="00EC4561" w:rsidRPr="0078562D" w:rsidRDefault="000613C1" w:rsidP="00DB1E1C">
      <w:pPr>
        <w:spacing w:after="120"/>
        <w:jc w:val="center"/>
        <w:rPr>
          <w:rFonts w:asciiTheme="majorHAnsi" w:hAnsiTheme="majorHAnsi" w:cstheme="majorHAnsi"/>
          <w:b/>
          <w:sz w:val="20"/>
          <w:szCs w:val="20"/>
        </w:rPr>
      </w:pPr>
      <w:r w:rsidRPr="0078562D">
        <w:rPr>
          <w:rFonts w:asciiTheme="majorHAnsi" w:hAnsiTheme="majorHAnsi" w:cstheme="majorHAnsi"/>
          <w:b/>
          <w:sz w:val="20"/>
          <w:szCs w:val="20"/>
        </w:rPr>
        <w:t>Figura 6:</w:t>
      </w:r>
      <w:r w:rsidR="00EC4561" w:rsidRPr="0078562D">
        <w:rPr>
          <w:rFonts w:asciiTheme="majorHAnsi" w:hAnsiTheme="majorHAnsi" w:cstheme="majorHAnsi"/>
          <w:b/>
          <w:sz w:val="20"/>
          <w:szCs w:val="20"/>
        </w:rPr>
        <w:t xml:space="preserve">  </w:t>
      </w:r>
      <w:r w:rsidR="00EC4561" w:rsidRPr="0078562D">
        <w:rPr>
          <w:rFonts w:asciiTheme="majorHAnsi" w:hAnsiTheme="majorHAnsi" w:cstheme="majorHAnsi"/>
          <w:sz w:val="20"/>
          <w:szCs w:val="20"/>
        </w:rPr>
        <w:t>Distribución por país de publicaciones científicas sobre predicción de propiedades mecánicas en materiales compuestos</w:t>
      </w:r>
    </w:p>
    <w:p w14:paraId="5360B2F3" w14:textId="77777777" w:rsidR="00401C99" w:rsidRPr="0078562D" w:rsidRDefault="00401C99" w:rsidP="00401C99">
      <w:pPr>
        <w:spacing w:after="120"/>
        <w:jc w:val="both"/>
        <w:rPr>
          <w:rFonts w:asciiTheme="majorHAnsi" w:hAnsiTheme="majorHAnsi" w:cstheme="majorHAnsi"/>
          <w:sz w:val="20"/>
          <w:szCs w:val="20"/>
        </w:rPr>
      </w:pPr>
    </w:p>
    <w:p w14:paraId="3FBDE68D" w14:textId="77777777" w:rsidR="004B311C" w:rsidRPr="0078562D" w:rsidRDefault="00401C99" w:rsidP="00401C99">
      <w:pPr>
        <w:pStyle w:val="Prrafodelista"/>
        <w:numPr>
          <w:ilvl w:val="0"/>
          <w:numId w:val="9"/>
        </w:numPr>
        <w:jc w:val="both"/>
        <w:rPr>
          <w:rFonts w:asciiTheme="majorHAnsi" w:hAnsiTheme="majorHAnsi" w:cstheme="majorHAnsi"/>
          <w:sz w:val="20"/>
          <w:szCs w:val="20"/>
        </w:rPr>
      </w:pPr>
      <w:r w:rsidRPr="0078562D">
        <w:rPr>
          <w:rFonts w:asciiTheme="majorHAnsi" w:hAnsiTheme="majorHAnsi" w:cstheme="majorHAnsi"/>
          <w:sz w:val="20"/>
          <w:szCs w:val="20"/>
        </w:rPr>
        <w:t>Identificación y Clasificación de Metodologías</w:t>
      </w:r>
    </w:p>
    <w:p w14:paraId="734273A1" w14:textId="77777777" w:rsidR="00401C99" w:rsidRPr="0078562D" w:rsidRDefault="00401C99" w:rsidP="00401C99">
      <w:pPr>
        <w:jc w:val="both"/>
        <w:rPr>
          <w:rFonts w:asciiTheme="majorHAnsi" w:hAnsiTheme="majorHAnsi" w:cstheme="majorHAnsi"/>
          <w:sz w:val="20"/>
          <w:szCs w:val="20"/>
        </w:rPr>
      </w:pPr>
    </w:p>
    <w:p w14:paraId="575AE178" w14:textId="4D94831A" w:rsidR="00401C99" w:rsidRPr="0078562D" w:rsidRDefault="00401C99" w:rsidP="00401C99">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A partir de la revisión bibliográfica realizada, se constató que la predicción de las propiedades mecánicas de los materiales compuestos constituye un desafío técnico considerable, debido a la naturaleza heterogénea y anisotrópica de estos </w:t>
      </w:r>
      <w:r w:rsidRPr="0078562D">
        <w:rPr>
          <w:rFonts w:asciiTheme="majorHAnsi" w:hAnsiTheme="majorHAnsi" w:cstheme="majorHAnsi"/>
          <w:sz w:val="20"/>
          <w:szCs w:val="20"/>
          <w:lang w:val="es-CO"/>
        </w:rPr>
        <w:lastRenderedPageBreak/>
        <w:t xml:space="preserve">materiales </w:t>
      </w:r>
      <w:r w:rsidR="004C6747" w:rsidRPr="0078562D">
        <w:rPr>
          <w:rFonts w:asciiTheme="majorHAnsi" w:hAnsiTheme="majorHAnsi" w:cstheme="majorHAnsi"/>
          <w:b/>
          <w:bCs/>
          <w:sz w:val="20"/>
          <w:szCs w:val="20"/>
          <w:lang w:val="es-CO"/>
        </w:rPr>
        <w:fldChar w:fldCharType="begin"/>
      </w:r>
      <w:r w:rsidR="004C6747" w:rsidRPr="0078562D">
        <w:rPr>
          <w:rFonts w:asciiTheme="majorHAnsi" w:hAnsiTheme="majorHAnsi" w:cstheme="majorHAnsi"/>
          <w:b/>
          <w:bCs/>
          <w:sz w:val="20"/>
          <w:szCs w:val="20"/>
          <w:lang w:val="es-CO"/>
        </w:rPr>
        <w:instrText xml:space="preserve"> ADDIN ZOTERO_ITEM CSL_CITATION {"citationID":"34xAhkpE","properties":{"formattedCitation":"[15]","plainCitation":"[15]","noteIndex":0},"citationItems":[{"id":359,"uris":["http://zotero.org/users/8837669/items/2EYRYS68"],"itemData":{"id":359,"type":"article-journal","container-title":"Engineering Analysis with Boundary Elements","DOI":"10.1016/j.enganabound.2017.12.012","ISSN":"09557997","journalAbbreviation":"Engineering Analysis with Boundary Elements","language":"en","page":"73-89","source":"DOI.org (Crossref)","title":"Homogenization technique for heterogeneous composite materials using meshless methods","volume":"92","author":[{"family":"Rodrigues","given":"D.E.S."},{"family":"Belinha","given":"J."},{"family":"Pires","given":"F.M.A."},{"family":"Dinis","given":"L.M.J.S."},{"family":"Jorge","given":"R.M. Natal"}],"issued":{"date-parts":[["2018",7]]}}}],"schema":"https://github.com/citation-style-language/schema/raw/master/csl-citation.json"} </w:instrText>
      </w:r>
      <w:r w:rsidR="004C6747" w:rsidRPr="0078562D">
        <w:rPr>
          <w:rFonts w:asciiTheme="majorHAnsi" w:hAnsiTheme="majorHAnsi" w:cstheme="majorHAnsi"/>
          <w:b/>
          <w:bCs/>
          <w:sz w:val="20"/>
          <w:szCs w:val="20"/>
          <w:lang w:val="es-CO"/>
        </w:rPr>
        <w:fldChar w:fldCharType="separate"/>
      </w:r>
      <w:r w:rsidR="004C6747" w:rsidRPr="0078562D">
        <w:rPr>
          <w:rFonts w:asciiTheme="majorHAnsi" w:hAnsiTheme="majorHAnsi" w:cstheme="majorHAnsi"/>
          <w:b/>
          <w:bCs/>
          <w:sz w:val="20"/>
          <w:szCs w:val="20"/>
          <w:lang w:val="es-CO"/>
        </w:rPr>
        <w:t>[15]</w:t>
      </w:r>
      <w:r w:rsidR="004C6747" w:rsidRPr="0078562D">
        <w:rPr>
          <w:rFonts w:asciiTheme="majorHAnsi" w:hAnsiTheme="majorHAnsi" w:cstheme="majorHAnsi"/>
          <w:b/>
          <w:bCs/>
          <w:sz w:val="20"/>
          <w:szCs w:val="20"/>
          <w:lang w:val="es-CO"/>
        </w:rPr>
        <w:fldChar w:fldCharType="end"/>
      </w:r>
      <w:r w:rsidRPr="0078562D">
        <w:rPr>
          <w:rFonts w:asciiTheme="majorHAnsi" w:hAnsiTheme="majorHAnsi" w:cstheme="majorHAnsi"/>
          <w:sz w:val="20"/>
          <w:szCs w:val="20"/>
          <w:lang w:val="es-CO"/>
        </w:rPr>
        <w:t>. Esta complejidad ha dado lugar al desarrollo de múltiples enfoques metodológicos, cada uno orientado a capturar distintos aspectos del comportamiento mecánico de los compuestos.</w:t>
      </w:r>
      <w:r w:rsidR="00D6514A" w:rsidRPr="0078562D">
        <w:rPr>
          <w:rFonts w:asciiTheme="majorHAnsi" w:hAnsiTheme="majorHAnsi" w:cstheme="majorHAnsi"/>
          <w:sz w:val="20"/>
          <w:szCs w:val="20"/>
          <w:lang w:val="es-CO"/>
        </w:rPr>
        <w:t xml:space="preserve"> </w:t>
      </w:r>
      <w:r w:rsidR="00A6685D" w:rsidRPr="0078562D">
        <w:rPr>
          <w:rFonts w:asciiTheme="majorHAnsi" w:hAnsiTheme="majorHAnsi" w:cstheme="majorHAnsi"/>
          <w:sz w:val="20"/>
          <w:szCs w:val="20"/>
          <w:lang w:val="es-CO"/>
        </w:rPr>
        <w:t xml:space="preserve">Mediante la aplicación rigurosa de los criterios de selección y una revisión crítica de los resultados obtenidos en </w:t>
      </w:r>
      <w:proofErr w:type="spellStart"/>
      <w:r w:rsidR="00A6685D" w:rsidRPr="0078562D">
        <w:rPr>
          <w:rFonts w:asciiTheme="majorHAnsi" w:hAnsiTheme="majorHAnsi" w:cstheme="majorHAnsi"/>
          <w:sz w:val="20"/>
          <w:szCs w:val="20"/>
          <w:lang w:val="es-CO"/>
        </w:rPr>
        <w:t>Scopus</w:t>
      </w:r>
      <w:proofErr w:type="spellEnd"/>
      <w:r w:rsidR="00A6685D" w:rsidRPr="0078562D">
        <w:rPr>
          <w:rFonts w:asciiTheme="majorHAnsi" w:hAnsiTheme="majorHAnsi" w:cstheme="majorHAnsi"/>
          <w:sz w:val="20"/>
          <w:szCs w:val="20"/>
          <w:lang w:val="es-CO"/>
        </w:rPr>
        <w:t>, se delimitó un numero de 61 estudios idóneos para el análisis por su calidad metodológica y relevancia temática.</w:t>
      </w:r>
      <w:r w:rsidRPr="0078562D">
        <w:rPr>
          <w:rFonts w:asciiTheme="majorHAnsi" w:hAnsiTheme="majorHAnsi" w:cstheme="majorHAnsi"/>
          <w:sz w:val="20"/>
          <w:szCs w:val="20"/>
          <w:lang w:val="es-CO"/>
        </w:rPr>
        <w:t xml:space="preserve"> De manera general, las metodologías identificadas pueden agruparse en cuatro categorías principales: modelos analíticos, simulaciones numéricas</w:t>
      </w:r>
      <w:r w:rsidR="000613C1" w:rsidRPr="0078562D">
        <w:rPr>
          <w:rFonts w:asciiTheme="majorHAnsi" w:hAnsiTheme="majorHAnsi" w:cstheme="majorHAnsi"/>
          <w:sz w:val="20"/>
          <w:szCs w:val="20"/>
          <w:lang w:val="es-CO"/>
        </w:rPr>
        <w:t xml:space="preserve"> con métodos de elementos finitos</w:t>
      </w:r>
      <w:r w:rsidRPr="0078562D">
        <w:rPr>
          <w:rFonts w:asciiTheme="majorHAnsi" w:hAnsiTheme="majorHAnsi" w:cstheme="majorHAnsi"/>
          <w:sz w:val="20"/>
          <w:szCs w:val="20"/>
          <w:lang w:val="es-CO"/>
        </w:rPr>
        <w:t xml:space="preserve">, técnicas de inteligencia artificial y pruebas experimentales. </w:t>
      </w:r>
    </w:p>
    <w:p w14:paraId="5488ADB5" w14:textId="77777777" w:rsidR="00401C99" w:rsidRPr="0078562D" w:rsidRDefault="00401C99" w:rsidP="00401C99">
      <w:pPr>
        <w:jc w:val="both"/>
        <w:rPr>
          <w:rFonts w:asciiTheme="majorHAnsi" w:hAnsiTheme="majorHAnsi" w:cstheme="majorHAnsi"/>
          <w:sz w:val="20"/>
          <w:szCs w:val="20"/>
          <w:lang w:val="es-CO"/>
        </w:rPr>
      </w:pPr>
    </w:p>
    <w:p w14:paraId="1A7CCEED" w14:textId="77777777" w:rsidR="00A833EB" w:rsidRPr="0078562D" w:rsidRDefault="00A833EB" w:rsidP="00401C99">
      <w:pPr>
        <w:pStyle w:val="Prrafodelista"/>
        <w:numPr>
          <w:ilvl w:val="0"/>
          <w:numId w:val="10"/>
        </w:num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Modelos analíticos:</w:t>
      </w:r>
      <w:r w:rsidR="00401C99" w:rsidRPr="0078562D">
        <w:rPr>
          <w:rFonts w:asciiTheme="majorHAnsi" w:hAnsiTheme="majorHAnsi" w:cstheme="majorHAnsi"/>
          <w:sz w:val="20"/>
          <w:szCs w:val="20"/>
          <w:lang w:val="es-CO"/>
        </w:rPr>
        <w:t xml:space="preserve"> </w:t>
      </w:r>
    </w:p>
    <w:p w14:paraId="411B093A" w14:textId="77777777" w:rsidR="00A833EB" w:rsidRPr="0078562D" w:rsidRDefault="00A833EB" w:rsidP="00A833EB">
      <w:pPr>
        <w:jc w:val="both"/>
        <w:rPr>
          <w:rFonts w:asciiTheme="majorHAnsi" w:hAnsiTheme="majorHAnsi" w:cstheme="majorHAnsi"/>
          <w:sz w:val="20"/>
          <w:szCs w:val="20"/>
          <w:lang w:val="es-CO"/>
        </w:rPr>
      </w:pPr>
    </w:p>
    <w:p w14:paraId="453DD993" w14:textId="2C13044C" w:rsidR="00401C99" w:rsidRPr="0078562D" w:rsidRDefault="00E57E96" w:rsidP="00A833EB">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Los enfoques tradicionales para predecir las propiedades mecánicas de los materiales compuestos suelen basarse en modelos analíticos que tienen en cuenta las propiedades de los componentes individuales y sus interacciones </w:t>
      </w:r>
      <w:r w:rsidRPr="0078562D">
        <w:rPr>
          <w:rFonts w:asciiTheme="majorHAnsi" w:hAnsiTheme="majorHAnsi" w:cstheme="majorHAnsi"/>
          <w:b/>
          <w:bCs/>
          <w:sz w:val="20"/>
          <w:szCs w:val="20"/>
          <w:lang w:val="es-CO"/>
        </w:rPr>
        <w:t>[16]</w:t>
      </w:r>
      <w:r w:rsidRPr="0078562D">
        <w:rPr>
          <w:rFonts w:asciiTheme="majorHAnsi" w:hAnsiTheme="majorHAnsi" w:cstheme="majorHAnsi"/>
          <w:sz w:val="20"/>
          <w:szCs w:val="20"/>
          <w:lang w:val="es-CO"/>
        </w:rPr>
        <w:t xml:space="preserve">. Por ejemplo, la regla de las mezclas y otros modelos </w:t>
      </w:r>
      <w:proofErr w:type="spellStart"/>
      <w:r w:rsidRPr="0078562D">
        <w:rPr>
          <w:rFonts w:asciiTheme="majorHAnsi" w:hAnsiTheme="majorHAnsi" w:cstheme="majorHAnsi"/>
          <w:sz w:val="20"/>
          <w:szCs w:val="20"/>
          <w:lang w:val="es-CO"/>
        </w:rPr>
        <w:t>micromecánicos</w:t>
      </w:r>
      <w:proofErr w:type="spellEnd"/>
      <w:r w:rsidRPr="0078562D">
        <w:rPr>
          <w:rFonts w:asciiTheme="majorHAnsi" w:hAnsiTheme="majorHAnsi" w:cstheme="majorHAnsi"/>
          <w:sz w:val="20"/>
          <w:szCs w:val="20"/>
          <w:lang w:val="es-CO"/>
        </w:rPr>
        <w:t xml:space="preserve"> como el de Chamis, Halpin Tsai y Nielson se han utilizado ampliamente para estimar las propiedades efectivas de los compuestos basándose en las fracciones de volumen y las propiedades mecánicas de las fibras y la matriz </w:t>
      </w:r>
      <w:r w:rsidRPr="0078562D">
        <w:rPr>
          <w:rFonts w:asciiTheme="majorHAnsi" w:hAnsiTheme="majorHAnsi" w:cstheme="majorHAnsi"/>
          <w:b/>
          <w:bCs/>
          <w:sz w:val="20"/>
          <w:szCs w:val="20"/>
          <w:lang w:val="es-CO"/>
        </w:rPr>
        <w:t>[17]</w:t>
      </w:r>
      <w:r w:rsidRPr="0078562D">
        <w:rPr>
          <w:rFonts w:asciiTheme="majorHAnsi" w:hAnsiTheme="majorHAnsi" w:cstheme="majorHAnsi"/>
          <w:sz w:val="20"/>
          <w:szCs w:val="20"/>
          <w:lang w:val="es-CO"/>
        </w:rPr>
        <w:t xml:space="preserve">. </w:t>
      </w:r>
    </w:p>
    <w:p w14:paraId="023DAB22" w14:textId="77777777" w:rsidR="00E57E96" w:rsidRPr="0078562D" w:rsidRDefault="00E57E96" w:rsidP="00A833EB">
      <w:pPr>
        <w:jc w:val="both"/>
        <w:rPr>
          <w:rFonts w:asciiTheme="majorHAnsi" w:hAnsiTheme="majorHAnsi" w:cstheme="majorHAnsi"/>
          <w:sz w:val="20"/>
          <w:szCs w:val="20"/>
          <w:lang w:val="es-CO"/>
        </w:rPr>
      </w:pPr>
    </w:p>
    <w:p w14:paraId="73470C4F" w14:textId="77777777" w:rsidR="00C43F3E" w:rsidRPr="0078562D" w:rsidRDefault="00C43F3E" w:rsidP="00C43F3E">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Sin embargo, estas aproximaciones, que establecen límites teóricos para propiedades como el módulo de Young, se sustentan en supuestos ideales: deformación y esfuerzo uniformes. Tales condiciones simplifican en exceso el comportamiento real, ignorando la heterogeneidad microestructural y la interacción compleja entre fases. Como resultado, su aplicabilidad se restringe a escenarios idealizados, ofreciendo predicciones aproximadas más que representaciones precisas del comportamiento del material </w:t>
      </w:r>
      <w:r w:rsidRPr="0078562D">
        <w:rPr>
          <w:rFonts w:asciiTheme="majorHAnsi" w:hAnsiTheme="majorHAnsi" w:cstheme="majorHAnsi"/>
          <w:b/>
          <w:bCs/>
          <w:sz w:val="20"/>
          <w:szCs w:val="20"/>
          <w:lang w:val="es-CO"/>
        </w:rPr>
        <w:t>[18]</w:t>
      </w:r>
      <w:r w:rsidRPr="0078562D">
        <w:rPr>
          <w:rFonts w:asciiTheme="majorHAnsi" w:hAnsiTheme="majorHAnsi" w:cstheme="majorHAnsi"/>
          <w:sz w:val="20"/>
          <w:szCs w:val="20"/>
          <w:lang w:val="es-CO"/>
        </w:rPr>
        <w:t>.</w:t>
      </w:r>
    </w:p>
    <w:p w14:paraId="07B01C6D" w14:textId="77777777" w:rsidR="00C43F3E" w:rsidRPr="0078562D" w:rsidRDefault="00C43F3E" w:rsidP="00C43F3E">
      <w:pPr>
        <w:jc w:val="both"/>
        <w:rPr>
          <w:rFonts w:asciiTheme="majorHAnsi" w:hAnsiTheme="majorHAnsi" w:cstheme="majorHAnsi"/>
          <w:sz w:val="20"/>
          <w:szCs w:val="20"/>
          <w:lang w:val="es-CO"/>
        </w:rPr>
      </w:pPr>
    </w:p>
    <w:p w14:paraId="0A3F4077" w14:textId="77777777" w:rsidR="00C43F3E" w:rsidRPr="0078562D" w:rsidRDefault="00C43F3E" w:rsidP="00C43F3E">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Modelos más sofisticados basados en micromecánica, como el método de Eshelby para inclusiones equivalentes y su extensión al modelo de Mori-Tanaka, representan un avance significativo </w:t>
      </w:r>
      <w:r w:rsidRPr="0078562D">
        <w:rPr>
          <w:rFonts w:asciiTheme="majorHAnsi" w:hAnsiTheme="majorHAnsi" w:cstheme="majorHAnsi"/>
          <w:b/>
          <w:bCs/>
          <w:sz w:val="20"/>
          <w:szCs w:val="20"/>
          <w:lang w:val="es-CO"/>
        </w:rPr>
        <w:t>[18]</w:t>
      </w:r>
      <w:r w:rsidRPr="0078562D">
        <w:rPr>
          <w:rFonts w:asciiTheme="majorHAnsi" w:hAnsiTheme="majorHAnsi" w:cstheme="majorHAnsi"/>
          <w:sz w:val="20"/>
          <w:szCs w:val="20"/>
          <w:lang w:val="es-CO"/>
        </w:rPr>
        <w:t xml:space="preserve">. Estos métodos consideran el campo de tensión perturbado generado por las inclusiones (fibras) dentro de una matriz infinita, permitiendo estimar tensores de rigidez elástica mediante el uso del tensor de concentración de deformación. Este enfoque aborda la interacción entre fase y matriz de forma más rigurosa que los modelos puramente empíricos o </w:t>
      </w:r>
      <w:proofErr w:type="spellStart"/>
      <w:r w:rsidRPr="0078562D">
        <w:rPr>
          <w:rFonts w:asciiTheme="majorHAnsi" w:hAnsiTheme="majorHAnsi" w:cstheme="majorHAnsi"/>
          <w:sz w:val="20"/>
          <w:szCs w:val="20"/>
          <w:lang w:val="es-CO"/>
        </w:rPr>
        <w:t>semiempíricos</w:t>
      </w:r>
      <w:proofErr w:type="spellEnd"/>
      <w:r w:rsidRPr="0078562D">
        <w:rPr>
          <w:rFonts w:asciiTheme="majorHAnsi" w:hAnsiTheme="majorHAnsi" w:cstheme="majorHAnsi"/>
          <w:sz w:val="20"/>
          <w:szCs w:val="20"/>
          <w:lang w:val="es-CO"/>
        </w:rPr>
        <w:t xml:space="preserve">, incorporando aspectos geométricos y mecánicos de las inclusiones, como </w:t>
      </w:r>
      <w:r w:rsidRPr="0078562D">
        <w:rPr>
          <w:rFonts w:asciiTheme="majorHAnsi" w:hAnsiTheme="majorHAnsi" w:cstheme="majorHAnsi"/>
          <w:sz w:val="20"/>
          <w:szCs w:val="20"/>
          <w:lang w:val="es-CO"/>
        </w:rPr>
        <w:t xml:space="preserve">su forma, orientación y concentración volumétrica </w:t>
      </w:r>
      <w:r w:rsidRPr="0078562D">
        <w:rPr>
          <w:rFonts w:asciiTheme="majorHAnsi" w:hAnsiTheme="majorHAnsi" w:cstheme="majorHAnsi"/>
          <w:b/>
          <w:bCs/>
          <w:sz w:val="20"/>
          <w:szCs w:val="20"/>
          <w:lang w:val="es-CO"/>
        </w:rPr>
        <w:t>[19]</w:t>
      </w:r>
      <w:r w:rsidRPr="0078562D">
        <w:rPr>
          <w:rFonts w:asciiTheme="majorHAnsi" w:hAnsiTheme="majorHAnsi" w:cstheme="majorHAnsi"/>
          <w:sz w:val="20"/>
          <w:szCs w:val="20"/>
          <w:lang w:val="es-CO"/>
        </w:rPr>
        <w:t>.</w:t>
      </w:r>
    </w:p>
    <w:p w14:paraId="3798D7EB" w14:textId="77777777" w:rsidR="00C43F3E" w:rsidRPr="0078562D" w:rsidRDefault="00C43F3E" w:rsidP="00C43F3E">
      <w:pPr>
        <w:jc w:val="both"/>
        <w:rPr>
          <w:rFonts w:asciiTheme="majorHAnsi" w:hAnsiTheme="majorHAnsi" w:cstheme="majorHAnsi"/>
          <w:sz w:val="20"/>
          <w:szCs w:val="20"/>
          <w:lang w:val="es-CO"/>
        </w:rPr>
      </w:pPr>
    </w:p>
    <w:p w14:paraId="1D5E110D" w14:textId="0C8DAFB6" w:rsidR="00AE472B" w:rsidRPr="0078562D" w:rsidRDefault="00AE472B" w:rsidP="00A833EB">
      <w:pPr>
        <w:jc w:val="both"/>
        <w:rPr>
          <w:rFonts w:asciiTheme="majorHAnsi" w:hAnsiTheme="majorHAnsi" w:cstheme="majorHAnsi"/>
          <w:sz w:val="20"/>
          <w:szCs w:val="20"/>
        </w:rPr>
      </w:pPr>
      <w:r w:rsidRPr="0078562D">
        <w:rPr>
          <w:rFonts w:asciiTheme="majorHAnsi" w:hAnsiTheme="majorHAnsi" w:cstheme="majorHAnsi"/>
          <w:sz w:val="20"/>
          <w:szCs w:val="20"/>
        </w:rPr>
        <w:t>A pesar de los avances logrados, los modelos analíticos presentan una limitación fundamental</w:t>
      </w:r>
      <w:r w:rsidR="001820E6" w:rsidRPr="0078562D">
        <w:rPr>
          <w:rFonts w:asciiTheme="majorHAnsi" w:hAnsiTheme="majorHAnsi" w:cstheme="majorHAnsi"/>
          <w:sz w:val="20"/>
          <w:szCs w:val="20"/>
        </w:rPr>
        <w:t>,</w:t>
      </w:r>
      <w:r w:rsidRPr="0078562D">
        <w:rPr>
          <w:rFonts w:asciiTheme="majorHAnsi" w:hAnsiTheme="majorHAnsi" w:cstheme="majorHAnsi"/>
          <w:sz w:val="20"/>
          <w:szCs w:val="20"/>
        </w:rPr>
        <w:t xml:space="preserve"> su incapacidad para representar fenómenos localizados, como las concentraciones de esfuerzos en interfaces, la formación de microgrietas y la influencia de una microestructura aleatoria</w:t>
      </w:r>
      <w:r w:rsidR="00217560" w:rsidRPr="0078562D">
        <w:rPr>
          <w:rFonts w:asciiTheme="majorHAnsi" w:hAnsiTheme="majorHAnsi" w:cstheme="majorHAnsi"/>
          <w:sz w:val="20"/>
          <w:szCs w:val="20"/>
        </w:rPr>
        <w:t xml:space="preserve"> </w:t>
      </w:r>
      <w:r w:rsidR="00C43F3E" w:rsidRPr="0078562D">
        <w:rPr>
          <w:rFonts w:asciiTheme="majorHAnsi" w:hAnsiTheme="majorHAnsi" w:cstheme="majorHAnsi"/>
          <w:b/>
          <w:bCs/>
          <w:sz w:val="20"/>
          <w:szCs w:val="20"/>
          <w:lang w:val="es-CO"/>
        </w:rPr>
        <w:t>[20]</w:t>
      </w:r>
      <w:r w:rsidR="00C43F3E" w:rsidRPr="0078562D">
        <w:rPr>
          <w:rFonts w:asciiTheme="majorHAnsi" w:hAnsiTheme="majorHAnsi" w:cstheme="majorHAnsi"/>
          <w:sz w:val="20"/>
          <w:szCs w:val="20"/>
          <w:lang w:val="es-CO"/>
        </w:rPr>
        <w:t>.</w:t>
      </w:r>
      <w:r w:rsidR="00217560" w:rsidRPr="0078562D">
        <w:rPr>
          <w:rFonts w:asciiTheme="majorHAnsi" w:hAnsiTheme="majorHAnsi" w:cstheme="majorHAnsi"/>
          <w:sz w:val="20"/>
          <w:szCs w:val="20"/>
          <w:lang w:val="es-CO"/>
        </w:rPr>
        <w:t xml:space="preserve"> </w:t>
      </w:r>
      <w:r w:rsidRPr="0078562D">
        <w:rPr>
          <w:rFonts w:asciiTheme="majorHAnsi" w:hAnsiTheme="majorHAnsi" w:cstheme="majorHAnsi"/>
          <w:sz w:val="20"/>
          <w:szCs w:val="20"/>
        </w:rPr>
        <w:t>En consecuencia, su aplicación se restringe principalmente a la estimación de propiedades elásticas globales bajo condiciones de carga simples.</w:t>
      </w:r>
    </w:p>
    <w:p w14:paraId="4B08C796" w14:textId="77777777" w:rsidR="00AE472B" w:rsidRPr="0078562D" w:rsidRDefault="00AE472B" w:rsidP="00A833EB">
      <w:pPr>
        <w:jc w:val="both"/>
        <w:rPr>
          <w:rFonts w:asciiTheme="majorHAnsi" w:hAnsiTheme="majorHAnsi" w:cstheme="majorHAnsi"/>
          <w:sz w:val="20"/>
          <w:szCs w:val="20"/>
          <w:lang w:val="es-CO"/>
        </w:rPr>
      </w:pPr>
    </w:p>
    <w:p w14:paraId="132E2BB7" w14:textId="77777777" w:rsidR="00A833EB" w:rsidRPr="0078562D" w:rsidRDefault="00401C99" w:rsidP="000F4E32">
      <w:pPr>
        <w:pStyle w:val="Prrafodelista"/>
        <w:numPr>
          <w:ilvl w:val="0"/>
          <w:numId w:val="10"/>
        </w:num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Elementos finitos: </w:t>
      </w:r>
    </w:p>
    <w:p w14:paraId="6D4FBD75" w14:textId="77777777" w:rsidR="00A833EB" w:rsidRPr="0078562D" w:rsidRDefault="00A833EB" w:rsidP="00A833EB">
      <w:pPr>
        <w:jc w:val="both"/>
        <w:rPr>
          <w:rFonts w:asciiTheme="majorHAnsi" w:hAnsiTheme="majorHAnsi" w:cstheme="majorHAnsi"/>
          <w:sz w:val="20"/>
          <w:szCs w:val="20"/>
          <w:lang w:val="es-CO"/>
        </w:rPr>
      </w:pPr>
    </w:p>
    <w:p w14:paraId="3922359B" w14:textId="77777777" w:rsidR="001820E6" w:rsidRPr="0078562D" w:rsidRDefault="00401C99" w:rsidP="00A833EB">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El análisis de elementos finitos es un método numérico prevalente utilizado para predecir el comportamiento mecánico de los materiales compuestos bajo diversas condiciones de carga. Las simulaciones permiten el modelado detallado de la microestructura del material compuesto, incluida la disposición de las fibras y las propiedades de la matriz</w:t>
      </w:r>
      <w:r w:rsidR="00C43F3E" w:rsidRPr="0078562D">
        <w:rPr>
          <w:rFonts w:asciiTheme="majorHAnsi" w:hAnsiTheme="majorHAnsi" w:cstheme="majorHAnsi"/>
          <w:sz w:val="20"/>
          <w:szCs w:val="20"/>
          <w:lang w:val="es-CO"/>
        </w:rPr>
        <w:t xml:space="preserve"> </w:t>
      </w:r>
      <w:r w:rsidR="00C43F3E" w:rsidRPr="0078562D">
        <w:rPr>
          <w:rFonts w:asciiTheme="majorHAnsi" w:hAnsiTheme="majorHAnsi" w:cstheme="majorHAnsi"/>
          <w:b/>
          <w:bCs/>
          <w:sz w:val="20"/>
          <w:szCs w:val="20"/>
          <w:lang w:val="es-CO"/>
        </w:rPr>
        <w:fldChar w:fldCharType="begin"/>
      </w:r>
      <w:r w:rsidR="00C43F3E" w:rsidRPr="0078562D">
        <w:rPr>
          <w:rFonts w:asciiTheme="majorHAnsi" w:hAnsiTheme="majorHAnsi" w:cstheme="majorHAnsi"/>
          <w:b/>
          <w:bCs/>
          <w:sz w:val="20"/>
          <w:szCs w:val="20"/>
          <w:lang w:val="es-CO"/>
        </w:rPr>
        <w:instrText xml:space="preserve"> ADDIN ZOTERO_ITEM CSL_CITATION {"citationID":"3OaU9BQm","properties":{"formattedCitation":"[21]","plainCitation":"[21]","noteIndex":0},"citationItems":[{"id":350,"uris":["http://zotero.org/users/8837669/items/DK3TRQBJ"],"itemData":{"id":350,"type":"article-journal","abstract":"Carbon/carbon (C/C) composite materials are widely used in aerospace structures operating in high temperature environments based on their high performance thermal and mechanical properties. The C/C composite material has a yarn architecture in which ﬁber bundles in different directions cross each other, and it is also divided into architecture types, such as 3-D orthogonal, 4-D in-plane, and 4-D diagonal, according to the arrangement of the ﬁber bundles. The thermomechanical performance of the carbon/carbon composite material may vary depending on the yarn architecture, and the material properties are also tailored according to constituent materials, such as ﬁber and matrix, and manufacturing parameters, such as yarn size, yarn spacing, and ﬁber volume fraction. In this paper, three types of geometric models are deﬁned for repeating unit cells (RUCs), according to the yarn architecture of the C/C composite material, and the effective stiffness was predicted by applying the iso-strain assumption and stress averaging technique. In addition, the thermo-mechanical characteristics according to the yarn architecture and ﬁber volume fraction of RUC were compared and evaluated.","container-title":"Aerospace","DOI":"10.3390/aerospace9080461","ISSN":"2226-4310","issue":"8","journalAbbreviation":"Aerospace","language":"en","license":"https://creativecommons.org/licenses/by/4.0/","page":"461","source":"DOI.org (Crossref)","title":"A Thermo-Mechanical Properties Evaluation of Multi-Directional Carbon/Carbon Composite Materials in Aerospace Applications","volume":"9","author":[{"family":"Kim","given":"Myungjun"},{"family":"Kim","given":"Yongha"}],"issued":{"date-parts":[["2022",8,20]]}}}],"schema":"https://github.com/citation-style-language/schema/raw/master/csl-citation.json"} </w:instrText>
      </w:r>
      <w:r w:rsidR="00C43F3E" w:rsidRPr="0078562D">
        <w:rPr>
          <w:rFonts w:asciiTheme="majorHAnsi" w:hAnsiTheme="majorHAnsi" w:cstheme="majorHAnsi"/>
          <w:b/>
          <w:bCs/>
          <w:sz w:val="20"/>
          <w:szCs w:val="20"/>
          <w:lang w:val="es-CO"/>
        </w:rPr>
        <w:fldChar w:fldCharType="separate"/>
      </w:r>
      <w:r w:rsidR="00C43F3E" w:rsidRPr="0078562D">
        <w:rPr>
          <w:rFonts w:asciiTheme="majorHAnsi" w:hAnsiTheme="majorHAnsi" w:cstheme="majorHAnsi"/>
          <w:b/>
          <w:bCs/>
          <w:sz w:val="20"/>
          <w:szCs w:val="20"/>
          <w:lang w:val="es-CO"/>
        </w:rPr>
        <w:t>[21]</w:t>
      </w:r>
      <w:r w:rsidR="00C43F3E" w:rsidRPr="0078562D">
        <w:rPr>
          <w:rFonts w:asciiTheme="majorHAnsi" w:hAnsiTheme="majorHAnsi" w:cstheme="majorHAnsi"/>
          <w:b/>
          <w:bCs/>
          <w:sz w:val="20"/>
          <w:szCs w:val="20"/>
          <w:lang w:val="es-CO"/>
        </w:rPr>
        <w:fldChar w:fldCharType="end"/>
      </w:r>
      <w:r w:rsidRPr="0078562D">
        <w:rPr>
          <w:rFonts w:asciiTheme="majorHAnsi" w:hAnsiTheme="majorHAnsi" w:cstheme="majorHAnsi"/>
          <w:sz w:val="20"/>
          <w:szCs w:val="20"/>
          <w:lang w:val="es-CO"/>
        </w:rPr>
        <w:t xml:space="preserve">. </w:t>
      </w:r>
      <w:bookmarkStart w:id="9" w:name="_Hlk214442352"/>
      <w:r w:rsidRPr="0078562D">
        <w:rPr>
          <w:rFonts w:asciiTheme="majorHAnsi" w:hAnsiTheme="majorHAnsi" w:cstheme="majorHAnsi"/>
          <w:sz w:val="20"/>
          <w:szCs w:val="20"/>
          <w:lang w:val="es-CO"/>
        </w:rPr>
        <w:t xml:space="preserve">Este método </w:t>
      </w:r>
      <w:r w:rsidR="00100B50" w:rsidRPr="0078562D">
        <w:rPr>
          <w:rFonts w:asciiTheme="majorHAnsi" w:hAnsiTheme="majorHAnsi" w:cstheme="majorHAnsi"/>
          <w:sz w:val="20"/>
          <w:szCs w:val="20"/>
          <w:lang w:val="es-CO"/>
        </w:rPr>
        <w:t xml:space="preserve">permite </w:t>
      </w:r>
      <w:r w:rsidR="00100B50" w:rsidRPr="0078562D">
        <w:rPr>
          <w:rFonts w:asciiTheme="majorHAnsi" w:hAnsiTheme="majorHAnsi" w:cstheme="majorHAnsi"/>
          <w:sz w:val="20"/>
          <w:szCs w:val="20"/>
        </w:rPr>
        <w:t xml:space="preserve">reproducir </w:t>
      </w:r>
      <w:r w:rsidRPr="0078562D">
        <w:rPr>
          <w:rFonts w:asciiTheme="majorHAnsi" w:hAnsiTheme="majorHAnsi" w:cstheme="majorHAnsi"/>
          <w:sz w:val="20"/>
          <w:szCs w:val="20"/>
          <w:lang w:val="es-CO"/>
        </w:rPr>
        <w:t>los efectos de geometrías complejas y escenarios de carga, lo que lo hace muy valioso para aplicaciones de ingeniería.</w:t>
      </w:r>
      <w:bookmarkEnd w:id="9"/>
      <w:r w:rsidRPr="0078562D">
        <w:rPr>
          <w:rFonts w:asciiTheme="majorHAnsi" w:hAnsiTheme="majorHAnsi" w:cstheme="majorHAnsi"/>
          <w:sz w:val="20"/>
          <w:szCs w:val="20"/>
          <w:lang w:val="es-CO"/>
        </w:rPr>
        <w:t xml:space="preserve"> </w:t>
      </w:r>
    </w:p>
    <w:p w14:paraId="766DCF27" w14:textId="77777777" w:rsidR="001820E6" w:rsidRPr="0078562D" w:rsidRDefault="001820E6" w:rsidP="00A833EB">
      <w:pPr>
        <w:jc w:val="both"/>
        <w:rPr>
          <w:rFonts w:asciiTheme="majorHAnsi" w:hAnsiTheme="majorHAnsi" w:cstheme="majorHAnsi"/>
          <w:sz w:val="20"/>
          <w:szCs w:val="20"/>
          <w:lang w:val="es-CO"/>
        </w:rPr>
      </w:pPr>
    </w:p>
    <w:p w14:paraId="27241144" w14:textId="706F3C6B" w:rsidR="00401C99" w:rsidRPr="0078562D" w:rsidRDefault="00401C99" w:rsidP="00A833EB">
      <w:pPr>
        <w:jc w:val="both"/>
        <w:rPr>
          <w:rFonts w:asciiTheme="majorHAnsi" w:hAnsiTheme="majorHAnsi" w:cstheme="majorHAnsi"/>
          <w:sz w:val="20"/>
          <w:szCs w:val="20"/>
        </w:rPr>
      </w:pPr>
      <w:r w:rsidRPr="0078562D">
        <w:rPr>
          <w:rFonts w:asciiTheme="majorHAnsi" w:hAnsiTheme="majorHAnsi" w:cstheme="majorHAnsi"/>
          <w:sz w:val="20"/>
          <w:szCs w:val="20"/>
          <w:lang w:val="es-CO"/>
        </w:rPr>
        <w:t xml:space="preserve">Además, se han desarrollado técnicas de modelado </w:t>
      </w:r>
      <w:proofErr w:type="spellStart"/>
      <w:r w:rsidRPr="0078562D">
        <w:rPr>
          <w:rFonts w:asciiTheme="majorHAnsi" w:hAnsiTheme="majorHAnsi" w:cstheme="majorHAnsi"/>
          <w:sz w:val="20"/>
          <w:szCs w:val="20"/>
          <w:lang w:val="es-CO"/>
        </w:rPr>
        <w:t>mesomecánico</w:t>
      </w:r>
      <w:proofErr w:type="spellEnd"/>
      <w:r w:rsidRPr="0078562D">
        <w:rPr>
          <w:rFonts w:asciiTheme="majorHAnsi" w:hAnsiTheme="majorHAnsi" w:cstheme="majorHAnsi"/>
          <w:sz w:val="20"/>
          <w:szCs w:val="20"/>
          <w:lang w:val="es-CO"/>
        </w:rPr>
        <w:t xml:space="preserve"> para analizar las características mecánicas de los materiales compuestos tejidos y textiles, considerando los hilos como estructuras homogéneas </w:t>
      </w:r>
      <w:r w:rsidR="00C43F3E" w:rsidRPr="0078562D">
        <w:rPr>
          <w:rFonts w:asciiTheme="majorHAnsi" w:hAnsiTheme="majorHAnsi" w:cstheme="majorHAnsi"/>
          <w:b/>
          <w:bCs/>
          <w:sz w:val="20"/>
          <w:szCs w:val="20"/>
          <w:lang w:val="es-CO"/>
        </w:rPr>
        <w:fldChar w:fldCharType="begin"/>
      </w:r>
      <w:r w:rsidR="00C43F3E" w:rsidRPr="0078562D">
        <w:rPr>
          <w:rFonts w:asciiTheme="majorHAnsi" w:hAnsiTheme="majorHAnsi" w:cstheme="majorHAnsi"/>
          <w:b/>
          <w:bCs/>
          <w:sz w:val="20"/>
          <w:szCs w:val="20"/>
          <w:lang w:val="es-CO"/>
        </w:rPr>
        <w:instrText xml:space="preserve"> ADDIN ZOTERO_ITEM CSL_CITATION {"citationID":"5iEbyTKZ","properties":{"formattedCitation":"[22]","plainCitation":"[22]","noteIndex":0},"citationItems":[{"id":349,"uris":["http://zotero.org/users/8837669/items/ZL2SDFKS"],"itemData":{"id":349,"type":"article-journal","abstract":"A range of nonlinear factors were investigated based on a novel unit cell model with a reduced domain to characterize the mechanical nonlinearity exhibited by braided composites in this study. These factors include geometric nonlinearity, nonlinear shear behaviour, plasticity within the matrix and transverse fibre direction, as well as failure and damage evolution. This novel size-reduced unit cell for braided composites, based on nonorthogonal translational symmetry principles, has been developed to streamline the analysis and tackle convergence challenges. This novel size-reduced unit cell is formulated by leveraging geometric features, as well as the symmetry and anti-symmetry of relative displacement boundary conditions. In order to evaluate the ef­ ficacy of these unit cells in characterizing elastic and strength properties, a benchmark study was conducted. The results demonstrate that the novel size-reduced unit cell has the ability to reliably predict the stiffness and strength responses of the 2D3A braided composite at the mesoscale. The unit cell’s predictions, which include nonlinear stress–strain curves, modulus, and strength, exhibit a robust analytical performance and a satisfactory agreement with experimental results.","container-title":"Composite Structures","DOI":"10.1016/j.compstruct.2025.119234","ISSN":"02638223","journalAbbreviation":"Composite Structures","language":"en","page":"119234","source":"DOI.org (Crossref)","title":"Efficient characterization of mechanical nonlinearity in triaxially braided composites by a novel unit cell","volume":"366","author":[{"family":"Xie","given":"Yachen"},{"family":"Huang","given":"Guangyan"},{"family":"Zhang","given":"Hong"},{"family":"Xu","given":"Mingming"},{"family":"Sitnikova","given":"Elena"},{"family":"Li","given":"Shuguang"}],"issued":{"date-parts":[["2025",8]]}}}],"schema":"https://github.com/citation-style-language/schema/raw/master/csl-citation.json"} </w:instrText>
      </w:r>
      <w:r w:rsidR="00C43F3E" w:rsidRPr="0078562D">
        <w:rPr>
          <w:rFonts w:asciiTheme="majorHAnsi" w:hAnsiTheme="majorHAnsi" w:cstheme="majorHAnsi"/>
          <w:b/>
          <w:bCs/>
          <w:sz w:val="20"/>
          <w:szCs w:val="20"/>
          <w:lang w:val="es-CO"/>
        </w:rPr>
        <w:fldChar w:fldCharType="separate"/>
      </w:r>
      <w:r w:rsidR="00C43F3E" w:rsidRPr="0078562D">
        <w:rPr>
          <w:rFonts w:asciiTheme="majorHAnsi" w:hAnsiTheme="majorHAnsi" w:cstheme="majorHAnsi"/>
          <w:b/>
          <w:bCs/>
          <w:sz w:val="20"/>
          <w:szCs w:val="20"/>
          <w:lang w:val="es-CO"/>
        </w:rPr>
        <w:t>[22]</w:t>
      </w:r>
      <w:r w:rsidR="00C43F3E" w:rsidRPr="0078562D">
        <w:rPr>
          <w:rFonts w:asciiTheme="majorHAnsi" w:hAnsiTheme="majorHAnsi" w:cstheme="majorHAnsi"/>
          <w:b/>
          <w:bCs/>
          <w:sz w:val="20"/>
          <w:szCs w:val="20"/>
          <w:lang w:val="es-CO"/>
        </w:rPr>
        <w:fldChar w:fldCharType="end"/>
      </w:r>
      <w:r w:rsidRPr="0078562D">
        <w:rPr>
          <w:rFonts w:asciiTheme="majorHAnsi" w:hAnsiTheme="majorHAnsi" w:cstheme="majorHAnsi"/>
          <w:sz w:val="20"/>
          <w:szCs w:val="20"/>
          <w:lang w:val="es-CO"/>
        </w:rPr>
        <w:t xml:space="preserve">. </w:t>
      </w:r>
      <w:bookmarkStart w:id="10" w:name="_Hlk214442455"/>
      <w:r w:rsidR="00A47F98" w:rsidRPr="0078562D">
        <w:rPr>
          <w:rFonts w:asciiTheme="majorHAnsi" w:hAnsiTheme="majorHAnsi" w:cstheme="majorHAnsi"/>
          <w:sz w:val="20"/>
          <w:szCs w:val="20"/>
        </w:rPr>
        <w:t>Estos enfoques permiten vincular la arquitectura interna del material con su respuesta mecánica global, integrando las interacciones locales en el análisis del componente final.</w:t>
      </w:r>
      <w:bookmarkEnd w:id="10"/>
    </w:p>
    <w:p w14:paraId="2AC79B14" w14:textId="77777777" w:rsidR="00C43F3E" w:rsidRPr="0078562D" w:rsidRDefault="00C43F3E" w:rsidP="00A833EB">
      <w:pPr>
        <w:jc w:val="both"/>
        <w:rPr>
          <w:rFonts w:asciiTheme="majorHAnsi" w:hAnsiTheme="majorHAnsi" w:cstheme="majorHAnsi"/>
          <w:sz w:val="20"/>
          <w:szCs w:val="20"/>
        </w:rPr>
      </w:pPr>
    </w:p>
    <w:p w14:paraId="0101473C" w14:textId="7EE52A76" w:rsidR="00C43F3E" w:rsidRPr="0078562D" w:rsidRDefault="00C43F3E" w:rsidP="00C43F3E">
      <w:pPr>
        <w:jc w:val="both"/>
        <w:rPr>
          <w:rFonts w:asciiTheme="majorHAnsi" w:hAnsiTheme="majorHAnsi" w:cstheme="majorHAnsi"/>
          <w:sz w:val="20"/>
          <w:szCs w:val="20"/>
        </w:rPr>
      </w:pPr>
      <w:r w:rsidRPr="0078562D">
        <w:rPr>
          <w:rFonts w:asciiTheme="majorHAnsi" w:hAnsiTheme="majorHAnsi" w:cstheme="majorHAnsi"/>
          <w:sz w:val="20"/>
          <w:szCs w:val="20"/>
        </w:rPr>
        <w:t xml:space="preserve">Sin embargo, la aplicación rigurosa del Método de Elementos Finitos a materiales compuestos exige una profundización en las metodologías constitutivas. La capacidad de modelar la microestructura se ejecuta mediante la Micromecánica Computacional, que emplea el MEF para analizar un Elemento de Volumen Representativo (RVE) bajo condiciones de frontera periódicas. Este enfoque es fundamental para el proceso de homogeneización, ya que permite determinar las propiedades mecánicas efectivas macroscópicas y anisotrópicas </w:t>
      </w:r>
      <w:r w:rsidRPr="0078562D">
        <w:rPr>
          <w:rFonts w:asciiTheme="majorHAnsi" w:hAnsiTheme="majorHAnsi" w:cstheme="majorHAnsi"/>
          <w:b/>
          <w:bCs/>
          <w:sz w:val="20"/>
          <w:szCs w:val="20"/>
        </w:rPr>
        <w:t>[23]</w:t>
      </w:r>
      <w:r w:rsidR="00134D08" w:rsidRPr="0078562D">
        <w:rPr>
          <w:rFonts w:asciiTheme="majorHAnsi" w:hAnsiTheme="majorHAnsi" w:cstheme="majorHAnsi"/>
          <w:sz w:val="20"/>
          <w:szCs w:val="20"/>
        </w:rPr>
        <w:t>.</w:t>
      </w:r>
    </w:p>
    <w:p w14:paraId="2916874A" w14:textId="77777777" w:rsidR="00C43F3E" w:rsidRPr="0078562D" w:rsidRDefault="00C43F3E" w:rsidP="00C43F3E">
      <w:pPr>
        <w:jc w:val="both"/>
        <w:rPr>
          <w:rFonts w:asciiTheme="majorHAnsi" w:hAnsiTheme="majorHAnsi" w:cstheme="majorHAnsi"/>
          <w:sz w:val="20"/>
          <w:szCs w:val="20"/>
        </w:rPr>
      </w:pPr>
    </w:p>
    <w:p w14:paraId="6050E817" w14:textId="6DCE57DD" w:rsidR="00C43F3E" w:rsidRPr="0078562D" w:rsidRDefault="00C43F3E" w:rsidP="00C43F3E">
      <w:pPr>
        <w:jc w:val="both"/>
        <w:rPr>
          <w:rFonts w:asciiTheme="majorHAnsi" w:hAnsiTheme="majorHAnsi" w:cstheme="majorHAnsi"/>
          <w:sz w:val="20"/>
          <w:szCs w:val="20"/>
        </w:rPr>
      </w:pPr>
      <w:r w:rsidRPr="0078562D">
        <w:rPr>
          <w:rFonts w:asciiTheme="majorHAnsi" w:hAnsiTheme="majorHAnsi" w:cstheme="majorHAnsi"/>
          <w:sz w:val="20"/>
          <w:szCs w:val="20"/>
        </w:rPr>
        <w:t xml:space="preserve">Para la predicción precisa del comportamiento no lineal y el fallo, las simulaciones por MEF deben integrar modelos constitutivos avanzados. Estos incluyen los Modelos de Daño Progresivo Continuo </w:t>
      </w:r>
      <w:r w:rsidRPr="0078562D">
        <w:rPr>
          <w:rFonts w:asciiTheme="majorHAnsi" w:hAnsiTheme="majorHAnsi" w:cstheme="majorHAnsi"/>
          <w:sz w:val="20"/>
          <w:szCs w:val="20"/>
        </w:rPr>
        <w:lastRenderedPageBreak/>
        <w:t>(CDM), que utilizan variables internas para degradar la rigidez de la fibra o la matriz a medida que se acumula el daño</w:t>
      </w:r>
      <w:r w:rsidR="00217560" w:rsidRPr="0078562D">
        <w:rPr>
          <w:rFonts w:asciiTheme="majorHAnsi" w:hAnsiTheme="majorHAnsi" w:cstheme="majorHAnsi"/>
          <w:sz w:val="20"/>
          <w:szCs w:val="20"/>
        </w:rPr>
        <w:t xml:space="preserve"> </w:t>
      </w:r>
      <w:r w:rsidRPr="0078562D">
        <w:rPr>
          <w:rFonts w:asciiTheme="majorHAnsi" w:hAnsiTheme="majorHAnsi" w:cstheme="majorHAnsi"/>
          <w:b/>
          <w:bCs/>
          <w:sz w:val="20"/>
          <w:szCs w:val="20"/>
        </w:rPr>
        <w:t>[24]</w:t>
      </w:r>
      <w:r w:rsidRPr="0078562D">
        <w:rPr>
          <w:rFonts w:asciiTheme="majorHAnsi" w:hAnsiTheme="majorHAnsi" w:cstheme="majorHAnsi"/>
          <w:sz w:val="20"/>
          <w:szCs w:val="20"/>
        </w:rPr>
        <w:t xml:space="preserve">. También se emplean los </w:t>
      </w:r>
      <w:r w:rsidR="001820E6" w:rsidRPr="0078562D">
        <w:rPr>
          <w:rFonts w:asciiTheme="majorHAnsi" w:hAnsiTheme="majorHAnsi" w:cstheme="majorHAnsi"/>
          <w:sz w:val="20"/>
          <w:szCs w:val="20"/>
        </w:rPr>
        <w:t>Modelos de Zona Cohesiva</w:t>
      </w:r>
      <w:r w:rsidRPr="0078562D">
        <w:rPr>
          <w:rFonts w:asciiTheme="majorHAnsi" w:hAnsiTheme="majorHAnsi" w:cstheme="majorHAnsi"/>
          <w:sz w:val="20"/>
          <w:szCs w:val="20"/>
        </w:rPr>
        <w:t xml:space="preserve"> (CZM), los cuales son críticos para simular la delaminación en laminados al definir la relación tensión-apertura en las interfaces interlaminares y permitir la predicción de la iniciación y propagación de grietas. En este contexto, la implementación de las leyes de tracción-</w:t>
      </w:r>
      <w:r w:rsidR="00134D08" w:rsidRPr="0078562D">
        <w:rPr>
          <w:rFonts w:asciiTheme="majorHAnsi" w:hAnsiTheme="majorHAnsi" w:cstheme="majorHAnsi"/>
          <w:sz w:val="20"/>
          <w:szCs w:val="20"/>
        </w:rPr>
        <w:t>separación entre</w:t>
      </w:r>
      <w:r w:rsidRPr="0078562D">
        <w:rPr>
          <w:rFonts w:asciiTheme="majorHAnsi" w:hAnsiTheme="majorHAnsi" w:cstheme="majorHAnsi"/>
          <w:sz w:val="20"/>
          <w:szCs w:val="20"/>
        </w:rPr>
        <w:t xml:space="preserve"> la fibra y la matriz es crucial para modelar la separación a microescala, promoviendo la delaminación en la respuesta estructural del material homogenizado </w:t>
      </w:r>
      <w:r w:rsidRPr="0078562D">
        <w:rPr>
          <w:rFonts w:asciiTheme="majorHAnsi" w:hAnsiTheme="majorHAnsi" w:cstheme="majorHAnsi"/>
          <w:b/>
          <w:bCs/>
          <w:sz w:val="20"/>
          <w:szCs w:val="20"/>
        </w:rPr>
        <w:t>[25]</w:t>
      </w:r>
      <w:r w:rsidR="00426BC9" w:rsidRPr="0078562D">
        <w:rPr>
          <w:rFonts w:asciiTheme="majorHAnsi" w:hAnsiTheme="majorHAnsi" w:cstheme="majorHAnsi"/>
          <w:sz w:val="20"/>
          <w:szCs w:val="20"/>
        </w:rPr>
        <w:t>.</w:t>
      </w:r>
    </w:p>
    <w:p w14:paraId="1AE4A744" w14:textId="77777777" w:rsidR="00C43F3E" w:rsidRPr="0078562D" w:rsidRDefault="00C43F3E" w:rsidP="00C43F3E">
      <w:pPr>
        <w:jc w:val="both"/>
        <w:rPr>
          <w:rFonts w:asciiTheme="majorHAnsi" w:hAnsiTheme="majorHAnsi" w:cstheme="majorHAnsi"/>
          <w:sz w:val="20"/>
          <w:szCs w:val="20"/>
        </w:rPr>
      </w:pPr>
    </w:p>
    <w:p w14:paraId="619837D8" w14:textId="592DACC5" w:rsidR="00C43F3E" w:rsidRPr="0078562D" w:rsidRDefault="00C43F3E" w:rsidP="00C43F3E">
      <w:pPr>
        <w:jc w:val="both"/>
        <w:rPr>
          <w:rFonts w:asciiTheme="majorHAnsi" w:hAnsiTheme="majorHAnsi" w:cstheme="majorHAnsi"/>
          <w:b/>
          <w:bCs/>
          <w:sz w:val="20"/>
          <w:szCs w:val="20"/>
        </w:rPr>
      </w:pPr>
      <w:r w:rsidRPr="0078562D">
        <w:rPr>
          <w:rFonts w:asciiTheme="majorHAnsi" w:hAnsiTheme="majorHAnsi" w:cstheme="majorHAnsi"/>
          <w:sz w:val="20"/>
          <w:szCs w:val="20"/>
        </w:rPr>
        <w:t xml:space="preserve">Es imperativo reconocer los desafíos técnicos del método. El modelado de </w:t>
      </w:r>
      <w:proofErr w:type="spellStart"/>
      <w:r w:rsidRPr="0078562D">
        <w:rPr>
          <w:rFonts w:asciiTheme="majorHAnsi" w:hAnsiTheme="majorHAnsi" w:cstheme="majorHAnsi"/>
          <w:sz w:val="20"/>
          <w:szCs w:val="20"/>
        </w:rPr>
        <w:t>RVEs</w:t>
      </w:r>
      <w:proofErr w:type="spellEnd"/>
      <w:r w:rsidR="00426BC9" w:rsidRPr="0078562D">
        <w:rPr>
          <w:rFonts w:asciiTheme="majorHAnsi" w:hAnsiTheme="majorHAnsi" w:cstheme="majorHAnsi"/>
          <w:sz w:val="20"/>
          <w:szCs w:val="20"/>
        </w:rPr>
        <w:t xml:space="preserve"> </w:t>
      </w:r>
      <w:r w:rsidRPr="0078562D">
        <w:rPr>
          <w:rFonts w:asciiTheme="majorHAnsi" w:hAnsiTheme="majorHAnsi" w:cstheme="majorHAnsi"/>
          <w:sz w:val="20"/>
          <w:szCs w:val="20"/>
        </w:rPr>
        <w:t xml:space="preserve">con el detalle necesario para la interfaz fibra-matriz resulta en un alto coste computacional. Para abordar esto, las estrategias de vanguardia en ingeniería computacional incluyen el uso de técnicas </w:t>
      </w:r>
      <w:proofErr w:type="spellStart"/>
      <w:r w:rsidRPr="0078562D">
        <w:rPr>
          <w:rFonts w:asciiTheme="majorHAnsi" w:hAnsiTheme="majorHAnsi" w:cstheme="majorHAnsi"/>
          <w:sz w:val="20"/>
          <w:szCs w:val="20"/>
        </w:rPr>
        <w:t>multiescala</w:t>
      </w:r>
      <w:proofErr w:type="spellEnd"/>
      <w:r w:rsidRPr="0078562D">
        <w:rPr>
          <w:rFonts w:asciiTheme="majorHAnsi" w:hAnsiTheme="majorHAnsi" w:cstheme="majorHAnsi"/>
          <w:sz w:val="20"/>
          <w:szCs w:val="20"/>
        </w:rPr>
        <w:t>,</w:t>
      </w:r>
      <w:r w:rsidR="00426BC9" w:rsidRPr="0078562D">
        <w:rPr>
          <w:rFonts w:asciiTheme="majorHAnsi" w:hAnsiTheme="majorHAnsi" w:cstheme="majorHAnsi"/>
          <w:sz w:val="20"/>
          <w:szCs w:val="20"/>
        </w:rPr>
        <w:t xml:space="preserve"> </w:t>
      </w:r>
      <w:r w:rsidRPr="0078562D">
        <w:rPr>
          <w:rFonts w:asciiTheme="majorHAnsi" w:hAnsiTheme="majorHAnsi" w:cstheme="majorHAnsi"/>
          <w:sz w:val="20"/>
          <w:szCs w:val="20"/>
        </w:rPr>
        <w:t xml:space="preserve">donde las propiedades microestructurales se calculan y se utilizan solo en las regiones del modelo macroscópico que experimentan altos gradientes de tensión, optimizando significativamente los recursos computacionales </w:t>
      </w:r>
      <w:r w:rsidRPr="0078562D">
        <w:rPr>
          <w:rFonts w:asciiTheme="majorHAnsi" w:hAnsiTheme="majorHAnsi" w:cstheme="majorHAnsi"/>
          <w:b/>
          <w:bCs/>
          <w:sz w:val="20"/>
          <w:szCs w:val="20"/>
        </w:rPr>
        <w:t>[23]</w:t>
      </w:r>
      <w:r w:rsidRPr="0078562D">
        <w:rPr>
          <w:rFonts w:asciiTheme="majorHAnsi" w:hAnsiTheme="majorHAnsi" w:cstheme="majorHAnsi"/>
          <w:sz w:val="20"/>
          <w:szCs w:val="20"/>
        </w:rPr>
        <w:t xml:space="preserve">. Esta aproximación es especialmente relevante en el análisis de estructuras sometidas a cargas extremas, como explosiones, donde la captura precisa de fenómenos de perforación sigue siendo un reto importante </w:t>
      </w:r>
      <w:r w:rsidRPr="0078562D">
        <w:rPr>
          <w:rFonts w:asciiTheme="majorHAnsi" w:hAnsiTheme="majorHAnsi" w:cstheme="majorHAnsi"/>
          <w:b/>
          <w:bCs/>
          <w:sz w:val="20"/>
          <w:szCs w:val="20"/>
        </w:rPr>
        <w:t>[24]</w:t>
      </w:r>
      <w:r w:rsidR="00426BC9" w:rsidRPr="0078562D">
        <w:rPr>
          <w:rFonts w:asciiTheme="majorHAnsi" w:hAnsiTheme="majorHAnsi" w:cstheme="majorHAnsi"/>
          <w:sz w:val="20"/>
          <w:szCs w:val="20"/>
        </w:rPr>
        <w:t>.</w:t>
      </w:r>
    </w:p>
    <w:p w14:paraId="391A5C4B" w14:textId="77777777" w:rsidR="00A22960" w:rsidRPr="0078562D" w:rsidRDefault="00A22960" w:rsidP="00C43F3E">
      <w:pPr>
        <w:jc w:val="both"/>
        <w:rPr>
          <w:rFonts w:asciiTheme="majorHAnsi" w:hAnsiTheme="majorHAnsi" w:cstheme="majorHAnsi"/>
          <w:sz w:val="20"/>
          <w:szCs w:val="20"/>
        </w:rPr>
      </w:pPr>
    </w:p>
    <w:p w14:paraId="63E9DA12" w14:textId="77777777" w:rsidR="00A833EB" w:rsidRPr="0078562D" w:rsidRDefault="00401C99" w:rsidP="00A833EB">
      <w:pPr>
        <w:pStyle w:val="Prrafodelista"/>
        <w:numPr>
          <w:ilvl w:val="0"/>
          <w:numId w:val="10"/>
        </w:num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Técnicas de </w:t>
      </w:r>
      <w:r w:rsidR="00A833EB" w:rsidRPr="0078562D">
        <w:rPr>
          <w:rFonts w:asciiTheme="majorHAnsi" w:hAnsiTheme="majorHAnsi" w:cstheme="majorHAnsi"/>
          <w:sz w:val="20"/>
          <w:szCs w:val="20"/>
          <w:lang w:val="es-CO"/>
        </w:rPr>
        <w:t>inteligencia artificial</w:t>
      </w:r>
      <w:r w:rsidRPr="0078562D">
        <w:rPr>
          <w:rFonts w:asciiTheme="majorHAnsi" w:hAnsiTheme="majorHAnsi" w:cstheme="majorHAnsi"/>
          <w:sz w:val="20"/>
          <w:szCs w:val="20"/>
          <w:lang w:val="es-CO"/>
        </w:rPr>
        <w:t xml:space="preserve">: </w:t>
      </w:r>
    </w:p>
    <w:p w14:paraId="1D5FC81F" w14:textId="77777777" w:rsidR="00A833EB" w:rsidRPr="0078562D" w:rsidRDefault="00A833EB" w:rsidP="00A833EB">
      <w:pPr>
        <w:jc w:val="both"/>
        <w:rPr>
          <w:rFonts w:asciiTheme="majorHAnsi" w:hAnsiTheme="majorHAnsi" w:cstheme="majorHAnsi"/>
          <w:sz w:val="20"/>
          <w:szCs w:val="20"/>
          <w:lang w:val="es-CO"/>
        </w:rPr>
      </w:pPr>
    </w:p>
    <w:p w14:paraId="120B5F01" w14:textId="77777777" w:rsidR="00AE472B" w:rsidRPr="0078562D" w:rsidRDefault="00426BC9" w:rsidP="00426BC9">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En los últimos años, el aprendizaje automático ha surgido como una poderosa herramienta para predecir las propiedades mecánicas de los materiales compuestos. Se han empleado técnicas como las redes neuronales artificiales y el aprendizaje profundo para analizar grandes conjuntos de datos e identificar patrones que se correlacionan con el rendimiento mecánico </w:t>
      </w:r>
      <w:r w:rsidRPr="0078562D">
        <w:rPr>
          <w:rFonts w:asciiTheme="majorHAnsi" w:hAnsiTheme="majorHAnsi" w:cstheme="majorHAnsi"/>
          <w:b/>
          <w:bCs/>
          <w:sz w:val="20"/>
          <w:szCs w:val="20"/>
          <w:lang w:val="es-CO"/>
        </w:rPr>
        <w:t>[26]</w:t>
      </w:r>
      <w:r w:rsidRPr="0078562D">
        <w:rPr>
          <w:rFonts w:asciiTheme="majorHAnsi" w:hAnsiTheme="majorHAnsi" w:cstheme="majorHAnsi"/>
          <w:sz w:val="20"/>
          <w:szCs w:val="20"/>
          <w:lang w:val="es-CO"/>
        </w:rPr>
        <w:t xml:space="preserve">. </w:t>
      </w:r>
    </w:p>
    <w:p w14:paraId="490A2B2C" w14:textId="77777777" w:rsidR="00AE472B" w:rsidRPr="0078562D" w:rsidRDefault="00AE472B" w:rsidP="00426BC9">
      <w:pPr>
        <w:jc w:val="both"/>
        <w:rPr>
          <w:rFonts w:asciiTheme="majorHAnsi" w:hAnsiTheme="majorHAnsi" w:cstheme="majorHAnsi"/>
          <w:sz w:val="20"/>
          <w:szCs w:val="20"/>
          <w:lang w:val="es-CO"/>
        </w:rPr>
      </w:pPr>
    </w:p>
    <w:p w14:paraId="135F11D4" w14:textId="594862FB" w:rsidR="00426BC9" w:rsidRPr="0078562D" w:rsidRDefault="00426BC9" w:rsidP="00426BC9">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Estos métodos pueden manejar las complejidades de las microestructuras de materiales compuestos y han demostrado ser prometedores para mejorar la precisión de la predicción en comparación con los modelos tradicionales. Por ejemplo, se han utilizado algoritmos de aprendizaje automático para predecir las propiedades de los nanocompuestos, en los que las interacciones a </w:t>
      </w:r>
      <w:proofErr w:type="spellStart"/>
      <w:r w:rsidRPr="0078562D">
        <w:rPr>
          <w:rFonts w:asciiTheme="majorHAnsi" w:hAnsiTheme="majorHAnsi" w:cstheme="majorHAnsi"/>
          <w:sz w:val="20"/>
          <w:szCs w:val="20"/>
          <w:lang w:val="es-CO"/>
        </w:rPr>
        <w:t>nanoescala</w:t>
      </w:r>
      <w:proofErr w:type="spellEnd"/>
      <w:r w:rsidRPr="0078562D">
        <w:rPr>
          <w:rFonts w:asciiTheme="majorHAnsi" w:hAnsiTheme="majorHAnsi" w:cstheme="majorHAnsi"/>
          <w:sz w:val="20"/>
          <w:szCs w:val="20"/>
          <w:lang w:val="es-CO"/>
        </w:rPr>
        <w:t xml:space="preserve"> influyen significativamente en el comportamiento mecánico global </w:t>
      </w:r>
      <w:r w:rsidRPr="0078562D">
        <w:rPr>
          <w:rFonts w:asciiTheme="majorHAnsi" w:hAnsiTheme="majorHAnsi" w:cstheme="majorHAnsi"/>
          <w:b/>
          <w:bCs/>
          <w:sz w:val="20"/>
          <w:szCs w:val="20"/>
          <w:lang w:val="es-CO"/>
        </w:rPr>
        <w:t>[27]</w:t>
      </w:r>
      <w:r w:rsidRPr="0078562D">
        <w:rPr>
          <w:rFonts w:asciiTheme="majorHAnsi" w:hAnsiTheme="majorHAnsi" w:cstheme="majorHAnsi"/>
          <w:sz w:val="20"/>
          <w:szCs w:val="20"/>
          <w:lang w:val="es-CO"/>
        </w:rPr>
        <w:t xml:space="preserve">. La integración del aprendizaje automático con los enfoques de modelado tradicionales está allanando el camino para la </w:t>
      </w:r>
      <w:r w:rsidRPr="0078562D">
        <w:rPr>
          <w:rFonts w:asciiTheme="majorHAnsi" w:hAnsiTheme="majorHAnsi" w:cstheme="majorHAnsi"/>
          <w:sz w:val="20"/>
          <w:szCs w:val="20"/>
          <w:lang w:val="es-CO"/>
        </w:rPr>
        <w:t>creación de marcos de predicción más robustos que puedan adaptarse a nuevos materiales y configuraciones.</w:t>
      </w:r>
    </w:p>
    <w:p w14:paraId="413BB23B" w14:textId="77777777" w:rsidR="00426BC9" w:rsidRPr="0078562D" w:rsidRDefault="00426BC9" w:rsidP="00426BC9">
      <w:pPr>
        <w:jc w:val="both"/>
        <w:rPr>
          <w:rFonts w:asciiTheme="majorHAnsi" w:hAnsiTheme="majorHAnsi" w:cstheme="majorHAnsi"/>
          <w:sz w:val="20"/>
          <w:szCs w:val="20"/>
          <w:lang w:val="es-CO"/>
        </w:rPr>
      </w:pPr>
    </w:p>
    <w:p w14:paraId="2A314E76" w14:textId="6D6CC412" w:rsidR="00426BC9" w:rsidRPr="0078562D" w:rsidRDefault="00426BC9" w:rsidP="00426BC9">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En complemento a las técnicas generales descritas, la literatura reciente ha incorporado algoritmos de inteligencia artificial (IA) que mejoran significativamente la predicción de propiedades en materiales compuestos. Modelos supervisados como</w:t>
      </w:r>
      <w:r w:rsidR="00D156DB">
        <w:rPr>
          <w:rFonts w:asciiTheme="majorHAnsi" w:hAnsiTheme="majorHAnsi" w:cstheme="majorHAnsi"/>
          <w:sz w:val="20"/>
          <w:szCs w:val="20"/>
          <w:lang w:val="es-CO"/>
        </w:rPr>
        <w:t xml:space="preserve"> </w:t>
      </w:r>
      <w:proofErr w:type="spellStart"/>
      <w:r w:rsidRPr="0078562D">
        <w:rPr>
          <w:rFonts w:asciiTheme="majorHAnsi" w:hAnsiTheme="majorHAnsi" w:cstheme="majorHAnsi"/>
          <w:sz w:val="20"/>
          <w:szCs w:val="20"/>
          <w:lang w:val="es-CO"/>
        </w:rPr>
        <w:t>Random</w:t>
      </w:r>
      <w:proofErr w:type="spellEnd"/>
      <w:r w:rsidRPr="0078562D">
        <w:rPr>
          <w:rFonts w:asciiTheme="majorHAnsi" w:hAnsiTheme="majorHAnsi" w:cstheme="majorHAnsi"/>
          <w:sz w:val="20"/>
          <w:szCs w:val="20"/>
          <w:lang w:val="es-CO"/>
        </w:rPr>
        <w:t xml:space="preserve"> Forest y </w:t>
      </w:r>
      <w:proofErr w:type="spellStart"/>
      <w:r w:rsidRPr="0078562D">
        <w:rPr>
          <w:rFonts w:asciiTheme="majorHAnsi" w:hAnsiTheme="majorHAnsi" w:cstheme="majorHAnsi"/>
          <w:sz w:val="20"/>
          <w:szCs w:val="20"/>
          <w:lang w:val="es-CO"/>
        </w:rPr>
        <w:t>XGBoost</w:t>
      </w:r>
      <w:proofErr w:type="spellEnd"/>
      <w:r w:rsidRPr="0078562D">
        <w:rPr>
          <w:rFonts w:asciiTheme="majorHAnsi" w:hAnsiTheme="majorHAnsi" w:cstheme="majorHAnsi"/>
          <w:sz w:val="20"/>
          <w:szCs w:val="20"/>
          <w:lang w:val="es-CO"/>
        </w:rPr>
        <w:t xml:space="preserve"> son particularmente efectivos para predecir propiedades mecánicas (módulo de elasticidad, resistencia) a partir de datos experimentales limitados o con alta variabilidad, superando en estabilidad a las redes neuronales tradicionales en estos escenarios </w:t>
      </w:r>
      <w:r w:rsidR="00741422" w:rsidRPr="0078562D">
        <w:rPr>
          <w:rFonts w:asciiTheme="majorHAnsi" w:hAnsiTheme="majorHAnsi" w:cstheme="majorHAnsi"/>
          <w:b/>
          <w:bCs/>
          <w:sz w:val="20"/>
          <w:szCs w:val="20"/>
          <w:lang w:val="es-CO"/>
        </w:rPr>
        <w:t>[26]</w:t>
      </w:r>
      <w:r w:rsidR="00741422" w:rsidRPr="0078562D">
        <w:rPr>
          <w:rFonts w:asciiTheme="majorHAnsi" w:hAnsiTheme="majorHAnsi" w:cstheme="majorHAnsi"/>
          <w:sz w:val="20"/>
          <w:szCs w:val="20"/>
          <w:lang w:val="es-CO"/>
        </w:rPr>
        <w:t>.</w:t>
      </w:r>
      <w:r w:rsidRPr="0078562D">
        <w:rPr>
          <w:rFonts w:asciiTheme="majorHAnsi" w:hAnsiTheme="majorHAnsi" w:cstheme="majorHAnsi"/>
          <w:sz w:val="20"/>
          <w:szCs w:val="20"/>
          <w:lang w:val="es-CO"/>
        </w:rPr>
        <w:t xml:space="preserve"> </w:t>
      </w:r>
    </w:p>
    <w:p w14:paraId="6C754751" w14:textId="77777777" w:rsidR="005909D3" w:rsidRPr="0078562D" w:rsidRDefault="005909D3" w:rsidP="00426BC9">
      <w:pPr>
        <w:jc w:val="both"/>
        <w:rPr>
          <w:rFonts w:asciiTheme="majorHAnsi" w:hAnsiTheme="majorHAnsi" w:cstheme="majorHAnsi"/>
          <w:sz w:val="20"/>
          <w:szCs w:val="20"/>
          <w:lang w:val="es-CO"/>
        </w:rPr>
      </w:pPr>
    </w:p>
    <w:p w14:paraId="35292988" w14:textId="10194398" w:rsidR="00426BC9" w:rsidRPr="0078562D" w:rsidRDefault="00426BC9" w:rsidP="00426BC9">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Para datos de imagen, las Redes Neuronales Convolucionales (CNN) han demostrado un rendimiento excepcional. Pueden predecir directamente campos de esfuerzo y deformación a partir de micrografías (SEM, tomografía) sin necesidad de modelado físico explícito. Por ejemplo, una CNN entrenada con imágenes segmentadas de microestructuras de polímeros reforzados logró predecir el campo de esfuerzos con una precisión del 99% respecto a simulaciones FEM, reduciendo el tiempo de cálculo de 92.5 horas a segundos </w:t>
      </w:r>
      <w:r w:rsidRPr="0078562D">
        <w:rPr>
          <w:rFonts w:asciiTheme="majorHAnsi" w:hAnsiTheme="majorHAnsi" w:cstheme="majorHAnsi"/>
          <w:b/>
          <w:bCs/>
          <w:sz w:val="20"/>
          <w:szCs w:val="20"/>
          <w:lang w:val="es-CO"/>
        </w:rPr>
        <w:t>[2</w:t>
      </w:r>
      <w:r w:rsidR="00741422" w:rsidRPr="0078562D">
        <w:rPr>
          <w:rFonts w:asciiTheme="majorHAnsi" w:hAnsiTheme="majorHAnsi" w:cstheme="majorHAnsi"/>
          <w:b/>
          <w:bCs/>
          <w:sz w:val="20"/>
          <w:szCs w:val="20"/>
          <w:lang w:val="es-CO"/>
        </w:rPr>
        <w:t>8</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 Esta capacidad permite identificar zonas de alto esfuerzo, potenciales puntos de fallo o daño incipiente, directamente desde la imagen de la microestructura.</w:t>
      </w:r>
    </w:p>
    <w:p w14:paraId="072B214C" w14:textId="77777777" w:rsidR="00426BC9" w:rsidRPr="0078562D" w:rsidRDefault="00426BC9" w:rsidP="00426BC9">
      <w:pPr>
        <w:jc w:val="both"/>
        <w:rPr>
          <w:rFonts w:asciiTheme="majorHAnsi" w:hAnsiTheme="majorHAnsi" w:cstheme="majorHAnsi"/>
          <w:sz w:val="20"/>
          <w:szCs w:val="20"/>
          <w:lang w:val="es-CO"/>
        </w:rPr>
      </w:pPr>
    </w:p>
    <w:p w14:paraId="1CA920C0" w14:textId="48FF0FCD" w:rsidR="00426BC9" w:rsidRPr="0078562D" w:rsidRDefault="00426BC9" w:rsidP="00426BC9">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Modelos más recientes, como las Redes Neuronales de Grafos (GNN), modelan la microestructura como un grafo capturando con mayor fidelidad la relación entre la arquitectura interna y la respuesta mecánica global </w:t>
      </w:r>
      <w:r w:rsidRPr="0078562D">
        <w:rPr>
          <w:rFonts w:asciiTheme="majorHAnsi" w:hAnsiTheme="majorHAnsi" w:cstheme="majorHAnsi"/>
          <w:b/>
          <w:bCs/>
          <w:sz w:val="20"/>
          <w:szCs w:val="20"/>
          <w:lang w:val="es-CO"/>
        </w:rPr>
        <w:t>[</w:t>
      </w:r>
      <w:r w:rsidR="00741422" w:rsidRPr="0078562D">
        <w:rPr>
          <w:rFonts w:asciiTheme="majorHAnsi" w:hAnsiTheme="majorHAnsi" w:cstheme="majorHAnsi"/>
          <w:b/>
          <w:bCs/>
          <w:sz w:val="20"/>
          <w:szCs w:val="20"/>
          <w:lang w:val="es-CO"/>
        </w:rPr>
        <w:t>29</w:t>
      </w:r>
      <w:r w:rsidRPr="0078562D">
        <w:rPr>
          <w:rFonts w:asciiTheme="majorHAnsi" w:hAnsiTheme="majorHAnsi" w:cstheme="majorHAnsi"/>
          <w:b/>
          <w:bCs/>
          <w:sz w:val="20"/>
          <w:szCs w:val="20"/>
          <w:lang w:val="es-CO"/>
        </w:rPr>
        <w:t>]</w:t>
      </w:r>
      <w:r w:rsidR="00741422" w:rsidRPr="0078562D">
        <w:rPr>
          <w:rFonts w:asciiTheme="majorHAnsi" w:hAnsiTheme="majorHAnsi" w:cstheme="majorHAnsi"/>
          <w:sz w:val="20"/>
          <w:szCs w:val="20"/>
          <w:lang w:val="es-CO"/>
        </w:rPr>
        <w:t>.</w:t>
      </w:r>
      <w:r w:rsidRPr="0078562D">
        <w:rPr>
          <w:rFonts w:asciiTheme="majorHAnsi" w:hAnsiTheme="majorHAnsi" w:cstheme="majorHAnsi"/>
          <w:sz w:val="20"/>
          <w:szCs w:val="20"/>
          <w:lang w:val="es-CO"/>
        </w:rPr>
        <w:t xml:space="preserve">  </w:t>
      </w:r>
    </w:p>
    <w:p w14:paraId="1F5A2BCF" w14:textId="77777777" w:rsidR="00426BC9" w:rsidRPr="0078562D" w:rsidRDefault="00426BC9" w:rsidP="00426BC9">
      <w:pPr>
        <w:jc w:val="both"/>
        <w:rPr>
          <w:rFonts w:asciiTheme="majorHAnsi" w:hAnsiTheme="majorHAnsi" w:cstheme="majorHAnsi"/>
          <w:sz w:val="20"/>
          <w:szCs w:val="20"/>
          <w:lang w:val="es-CO"/>
        </w:rPr>
      </w:pPr>
    </w:p>
    <w:p w14:paraId="17F0D489" w14:textId="0C954CE7" w:rsidR="000613C1" w:rsidRPr="0078562D" w:rsidRDefault="00426BC9" w:rsidP="00426BC9">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A pesar de sus ventajas, estos enfoques enfrentan desafíos críticos. La calidad y cantidad de datos siguen siendo el cuello de botella: conjuntos pequeños, ruido experimental y falta de estandarización llevan fácilmente a sobreajuste. La interpretabilidad también es una limitación importante, muchos modelos siguen siendo "cajas negras", dificultando la comprensión física de las relaciones aprendidas </w:t>
      </w:r>
      <w:r w:rsidRPr="0078562D">
        <w:rPr>
          <w:rFonts w:asciiTheme="majorHAnsi" w:hAnsiTheme="majorHAnsi" w:cstheme="majorHAnsi"/>
          <w:b/>
          <w:bCs/>
          <w:sz w:val="20"/>
          <w:szCs w:val="20"/>
          <w:lang w:val="es-CO"/>
        </w:rPr>
        <w:t>[3</w:t>
      </w:r>
      <w:r w:rsidR="00741422" w:rsidRPr="0078562D">
        <w:rPr>
          <w:rFonts w:asciiTheme="majorHAnsi" w:hAnsiTheme="majorHAnsi" w:cstheme="majorHAnsi"/>
          <w:b/>
          <w:bCs/>
          <w:sz w:val="20"/>
          <w:szCs w:val="20"/>
          <w:lang w:val="es-CO"/>
        </w:rPr>
        <w:t>0</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 xml:space="preserve">. </w:t>
      </w:r>
    </w:p>
    <w:p w14:paraId="47D4E8D4" w14:textId="77777777" w:rsidR="00426BC9" w:rsidRPr="0078562D" w:rsidRDefault="00426BC9" w:rsidP="00426BC9">
      <w:pPr>
        <w:jc w:val="both"/>
        <w:rPr>
          <w:rFonts w:asciiTheme="majorHAnsi" w:hAnsiTheme="majorHAnsi" w:cstheme="majorHAnsi"/>
          <w:sz w:val="20"/>
          <w:szCs w:val="20"/>
          <w:lang w:val="es-CO"/>
        </w:rPr>
      </w:pPr>
    </w:p>
    <w:p w14:paraId="0D165401" w14:textId="77777777" w:rsidR="00A833EB" w:rsidRPr="0078562D" w:rsidRDefault="00401C99" w:rsidP="000F4E32">
      <w:pPr>
        <w:pStyle w:val="Prrafodelista"/>
        <w:numPr>
          <w:ilvl w:val="0"/>
          <w:numId w:val="10"/>
        </w:num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Pruebas experimentales:</w:t>
      </w:r>
      <w:r w:rsidR="000F4E32" w:rsidRPr="0078562D">
        <w:rPr>
          <w:rFonts w:asciiTheme="majorHAnsi" w:hAnsiTheme="majorHAnsi" w:cstheme="majorHAnsi"/>
          <w:sz w:val="20"/>
          <w:szCs w:val="20"/>
          <w:lang w:val="es-CO"/>
        </w:rPr>
        <w:t xml:space="preserve"> </w:t>
      </w:r>
    </w:p>
    <w:p w14:paraId="2CA161BD" w14:textId="77777777" w:rsidR="00A833EB" w:rsidRPr="0078562D" w:rsidRDefault="00A833EB" w:rsidP="00A833EB">
      <w:pPr>
        <w:jc w:val="both"/>
        <w:rPr>
          <w:rFonts w:asciiTheme="majorHAnsi" w:hAnsiTheme="majorHAnsi" w:cstheme="majorHAnsi"/>
          <w:sz w:val="20"/>
          <w:szCs w:val="20"/>
          <w:lang w:val="es-CO"/>
        </w:rPr>
      </w:pPr>
    </w:p>
    <w:p w14:paraId="7556ED55" w14:textId="138705E1" w:rsidR="00426BC9" w:rsidRPr="0078562D" w:rsidRDefault="00426BC9" w:rsidP="00426BC9">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La predicción de las propiedades mecánicas de los materiales compuestos a partir de pruebas experimentales es un proceso integral que combina observaciones empíricas con fundamentos teóricos. </w:t>
      </w:r>
      <w:r w:rsidRPr="0078562D">
        <w:rPr>
          <w:rFonts w:asciiTheme="majorHAnsi" w:hAnsiTheme="majorHAnsi" w:cstheme="majorHAnsi"/>
          <w:sz w:val="20"/>
          <w:szCs w:val="20"/>
          <w:lang w:val="es-CO"/>
        </w:rPr>
        <w:lastRenderedPageBreak/>
        <w:t xml:space="preserve">En estos materiales, el comportamiento mecánico está condicionado por múltiples variables, entre ellas la naturaleza de los refuerzos (como fibras naturales o sintéticas), la matriz (polimérica, metálicas o cerámica), la calidad de la interfaz fibra-matriz, las técnicas de procesamiento empleadas y las condiciones de carga a las que serán sometidos </w:t>
      </w:r>
      <w:r w:rsidRPr="0078562D">
        <w:rPr>
          <w:rFonts w:asciiTheme="majorHAnsi" w:hAnsiTheme="majorHAnsi" w:cstheme="majorHAnsi"/>
          <w:b/>
          <w:bCs/>
          <w:sz w:val="20"/>
          <w:szCs w:val="20"/>
          <w:lang w:val="es-CO"/>
        </w:rPr>
        <w:t>[3</w:t>
      </w:r>
      <w:r w:rsidR="00741422" w:rsidRPr="0078562D">
        <w:rPr>
          <w:rFonts w:asciiTheme="majorHAnsi" w:hAnsiTheme="majorHAnsi" w:cstheme="majorHAnsi"/>
          <w:b/>
          <w:bCs/>
          <w:sz w:val="20"/>
          <w:szCs w:val="20"/>
          <w:lang w:val="es-CO"/>
        </w:rPr>
        <w:t>1</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w:t>
      </w:r>
    </w:p>
    <w:p w14:paraId="68AAE0EE" w14:textId="77777777" w:rsidR="00426BC9" w:rsidRPr="0078562D" w:rsidRDefault="00426BC9" w:rsidP="00426BC9">
      <w:pPr>
        <w:jc w:val="both"/>
        <w:rPr>
          <w:rFonts w:asciiTheme="majorHAnsi" w:hAnsiTheme="majorHAnsi" w:cstheme="majorHAnsi"/>
          <w:sz w:val="20"/>
          <w:szCs w:val="20"/>
          <w:lang w:val="es-CO"/>
        </w:rPr>
      </w:pPr>
    </w:p>
    <w:p w14:paraId="65AE0103" w14:textId="211432CA" w:rsidR="00426BC9" w:rsidRPr="0078562D" w:rsidRDefault="00426BC9" w:rsidP="00426BC9">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Uno de los objetivos centrales de esta evaluación es establecer relaciones cuantificables entre la microestructura interna del compuesto y su respuesta mecánica global. Para ello, se recurre a ensayos estandarizados como tracción, compresión, flexión o impacto, los cuales permiten caracterizar propiedades clave como el módulo de elasticidad, la resistencia última, la deformación a ruptura y la tenacidad </w:t>
      </w:r>
      <w:r w:rsidRPr="0078562D">
        <w:rPr>
          <w:rFonts w:asciiTheme="majorHAnsi" w:hAnsiTheme="majorHAnsi" w:cstheme="majorHAnsi"/>
          <w:b/>
          <w:bCs/>
          <w:sz w:val="20"/>
          <w:szCs w:val="20"/>
          <w:lang w:val="es-CO"/>
        </w:rPr>
        <w:t>[3</w:t>
      </w:r>
      <w:r w:rsidR="00741422" w:rsidRPr="0078562D">
        <w:rPr>
          <w:rFonts w:asciiTheme="majorHAnsi" w:hAnsiTheme="majorHAnsi" w:cstheme="majorHAnsi"/>
          <w:b/>
          <w:bCs/>
          <w:sz w:val="20"/>
          <w:szCs w:val="20"/>
          <w:lang w:val="es-CO"/>
        </w:rPr>
        <w:t>2</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w:t>
      </w:r>
    </w:p>
    <w:p w14:paraId="5F69CA12" w14:textId="77777777" w:rsidR="00426BC9" w:rsidRPr="0078562D" w:rsidRDefault="00426BC9" w:rsidP="00426BC9">
      <w:pPr>
        <w:jc w:val="both"/>
        <w:rPr>
          <w:rFonts w:asciiTheme="majorHAnsi" w:hAnsiTheme="majorHAnsi" w:cstheme="majorHAnsi"/>
          <w:sz w:val="20"/>
          <w:szCs w:val="20"/>
          <w:lang w:val="es-CO"/>
        </w:rPr>
      </w:pPr>
    </w:p>
    <w:p w14:paraId="462F4C0D" w14:textId="0A9E60C1" w:rsidR="00401C99" w:rsidRPr="0078562D" w:rsidRDefault="00426BC9" w:rsidP="00426BC9">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Estos ensayos no solo permiten comparar composiciones o métodos de fabricación, sino que también sirven como base para alimentar modelos predictivos y validar simulaciones numéricas. La información obtenida es crucial para optimizar el diseño de compuestos y garantizar su desempeño en aplicaciones estructurales exigentes </w:t>
      </w:r>
      <w:r w:rsidRPr="0078562D">
        <w:rPr>
          <w:rFonts w:asciiTheme="majorHAnsi" w:hAnsiTheme="majorHAnsi" w:cstheme="majorHAnsi"/>
          <w:b/>
          <w:bCs/>
          <w:sz w:val="20"/>
          <w:szCs w:val="20"/>
          <w:lang w:val="es-CO"/>
        </w:rPr>
        <w:t>[3</w:t>
      </w:r>
      <w:r w:rsidR="00741422" w:rsidRPr="0078562D">
        <w:rPr>
          <w:rFonts w:asciiTheme="majorHAnsi" w:hAnsiTheme="majorHAnsi" w:cstheme="majorHAnsi"/>
          <w:b/>
          <w:bCs/>
          <w:sz w:val="20"/>
          <w:szCs w:val="20"/>
          <w:lang w:val="es-CO"/>
        </w:rPr>
        <w:t>3</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w:t>
      </w:r>
    </w:p>
    <w:p w14:paraId="1F857800" w14:textId="77777777" w:rsidR="00401C99" w:rsidRPr="0078562D" w:rsidRDefault="00401C99" w:rsidP="00401C99">
      <w:pPr>
        <w:jc w:val="both"/>
        <w:rPr>
          <w:rFonts w:asciiTheme="majorHAnsi" w:hAnsiTheme="majorHAnsi" w:cstheme="majorHAnsi"/>
          <w:sz w:val="20"/>
          <w:szCs w:val="20"/>
        </w:rPr>
      </w:pPr>
    </w:p>
    <w:p w14:paraId="5E595357" w14:textId="77777777" w:rsidR="00A833EB" w:rsidRPr="0078562D" w:rsidRDefault="00A833EB" w:rsidP="00A833EB">
      <w:pPr>
        <w:pStyle w:val="Prrafodelista"/>
        <w:numPr>
          <w:ilvl w:val="0"/>
          <w:numId w:val="9"/>
        </w:numPr>
        <w:rPr>
          <w:rFonts w:asciiTheme="majorHAnsi" w:hAnsiTheme="majorHAnsi" w:cstheme="majorHAnsi"/>
          <w:sz w:val="20"/>
          <w:szCs w:val="20"/>
        </w:rPr>
      </w:pPr>
      <w:r w:rsidRPr="0078562D">
        <w:rPr>
          <w:rFonts w:asciiTheme="majorHAnsi" w:hAnsiTheme="majorHAnsi" w:cstheme="majorHAnsi"/>
          <w:sz w:val="20"/>
          <w:szCs w:val="20"/>
        </w:rPr>
        <w:t>Análisis de beneficios y limitaciones</w:t>
      </w:r>
    </w:p>
    <w:p w14:paraId="23DF2B6A" w14:textId="77777777" w:rsidR="00401C99" w:rsidRPr="0078562D" w:rsidRDefault="00401C99" w:rsidP="00401C99">
      <w:pPr>
        <w:jc w:val="both"/>
        <w:rPr>
          <w:rFonts w:asciiTheme="majorHAnsi" w:hAnsiTheme="majorHAnsi" w:cstheme="majorHAnsi"/>
          <w:sz w:val="20"/>
          <w:szCs w:val="20"/>
        </w:rPr>
      </w:pPr>
    </w:p>
    <w:p w14:paraId="4391502F" w14:textId="77777777" w:rsidR="00401C99" w:rsidRPr="0078562D" w:rsidRDefault="00A833EB" w:rsidP="00A833EB">
      <w:pPr>
        <w:jc w:val="both"/>
        <w:rPr>
          <w:rFonts w:asciiTheme="majorHAnsi" w:hAnsiTheme="majorHAnsi" w:cstheme="majorHAnsi"/>
          <w:sz w:val="20"/>
          <w:szCs w:val="20"/>
        </w:rPr>
      </w:pPr>
      <w:r w:rsidRPr="0078562D">
        <w:rPr>
          <w:rFonts w:asciiTheme="majorHAnsi" w:hAnsiTheme="majorHAnsi" w:cstheme="majorHAnsi"/>
          <w:sz w:val="20"/>
          <w:szCs w:val="20"/>
        </w:rPr>
        <w:t>A continuación, se relacionan los beneficios y limitaciones de cada una de las metodologías utilizadas para la predicción de propiedades de los materiales compuestos</w:t>
      </w:r>
    </w:p>
    <w:p w14:paraId="38BDEA46" w14:textId="77777777" w:rsidR="00401C99" w:rsidRPr="0078562D" w:rsidRDefault="00401C99" w:rsidP="00401C99">
      <w:pPr>
        <w:jc w:val="both"/>
        <w:rPr>
          <w:rFonts w:asciiTheme="majorHAnsi" w:hAnsiTheme="majorHAnsi" w:cstheme="majorHAnsi"/>
          <w:sz w:val="20"/>
          <w:szCs w:val="20"/>
        </w:rPr>
      </w:pPr>
    </w:p>
    <w:p w14:paraId="68D1590B" w14:textId="77777777" w:rsidR="00A833EB" w:rsidRPr="0078562D" w:rsidRDefault="00A833EB" w:rsidP="00A833EB">
      <w:pPr>
        <w:pStyle w:val="Prrafodelista"/>
        <w:numPr>
          <w:ilvl w:val="0"/>
          <w:numId w:val="11"/>
        </w:num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Pruebas experimentales: </w:t>
      </w:r>
    </w:p>
    <w:p w14:paraId="4251DE20" w14:textId="77777777" w:rsidR="00A833EB" w:rsidRPr="0078562D" w:rsidRDefault="00A833EB" w:rsidP="00A833EB">
      <w:pPr>
        <w:jc w:val="both"/>
        <w:rPr>
          <w:rFonts w:asciiTheme="majorHAnsi" w:hAnsiTheme="majorHAnsi" w:cstheme="majorHAnsi"/>
          <w:sz w:val="20"/>
          <w:szCs w:val="20"/>
          <w:lang w:val="es-CO"/>
        </w:rPr>
      </w:pPr>
    </w:p>
    <w:p w14:paraId="59C6A6B0" w14:textId="07EDAE5D" w:rsidR="00F862C1" w:rsidRPr="0078562D" w:rsidRDefault="00F862C1" w:rsidP="00F862C1">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Una de las principales ventajas de las pruebas experimentales es la obtención de datos empíricos confiables, ya que permiten medir directamente propiedades como la resistencia a la tracción, proporcionando datos esenciales para aplicaciones industriales, Además, los datos experimentales son fundamentales para la validación de modelos analíticos, aumentando la confiabilidad de las predicciones sobre el comportamiento de los materiales. Esta validación también se extiende a modelos computacionales y simulaciones, lo que garantiza que reflejen con precisión el comportamiento de los materiales reales y mejora la eficiencia en el diseño de nuevos compuestos </w:t>
      </w:r>
      <w:r w:rsidRPr="0078562D">
        <w:rPr>
          <w:rFonts w:asciiTheme="majorHAnsi" w:hAnsiTheme="majorHAnsi" w:cstheme="majorHAnsi"/>
          <w:b/>
          <w:bCs/>
          <w:sz w:val="20"/>
          <w:szCs w:val="20"/>
          <w:lang w:val="es-CO"/>
        </w:rPr>
        <w:t>[3</w:t>
      </w:r>
      <w:r w:rsidR="00741422" w:rsidRPr="0078562D">
        <w:rPr>
          <w:rFonts w:asciiTheme="majorHAnsi" w:hAnsiTheme="majorHAnsi" w:cstheme="majorHAnsi"/>
          <w:b/>
          <w:bCs/>
          <w:sz w:val="20"/>
          <w:szCs w:val="20"/>
          <w:lang w:val="es-CO"/>
        </w:rPr>
        <w:t>4</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w:t>
      </w:r>
    </w:p>
    <w:p w14:paraId="3A04909D" w14:textId="77777777" w:rsidR="00F862C1" w:rsidRPr="0078562D" w:rsidRDefault="00F862C1" w:rsidP="00F862C1">
      <w:pPr>
        <w:jc w:val="both"/>
        <w:rPr>
          <w:rFonts w:asciiTheme="majorHAnsi" w:hAnsiTheme="majorHAnsi" w:cstheme="majorHAnsi"/>
          <w:sz w:val="20"/>
          <w:szCs w:val="20"/>
          <w:lang w:val="es-CO"/>
        </w:rPr>
      </w:pPr>
    </w:p>
    <w:p w14:paraId="34F5926B" w14:textId="49057C43" w:rsidR="00F862C1" w:rsidRPr="0078562D" w:rsidRDefault="00F862C1" w:rsidP="00F862C1">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Otra ventaja significativa es la posibilidad de explorar nuevas formulaciones, como combinaciones innovadoras de refuerzos híbridos </w:t>
      </w:r>
      <w:r w:rsidRPr="0078562D">
        <w:rPr>
          <w:rFonts w:asciiTheme="majorHAnsi" w:hAnsiTheme="majorHAnsi" w:cstheme="majorHAnsi"/>
          <w:sz w:val="20"/>
          <w:szCs w:val="20"/>
          <w:lang w:val="es-CO"/>
        </w:rPr>
        <w:t xml:space="preserve">(vidrio-carbono), optimizando las propiedades de los materiales </w:t>
      </w:r>
      <w:r w:rsidRPr="0078562D">
        <w:rPr>
          <w:rFonts w:asciiTheme="majorHAnsi" w:hAnsiTheme="majorHAnsi" w:cstheme="majorHAnsi"/>
          <w:b/>
          <w:bCs/>
          <w:sz w:val="20"/>
          <w:szCs w:val="20"/>
          <w:lang w:val="es-CO"/>
        </w:rPr>
        <w:t>[3</w:t>
      </w:r>
      <w:r w:rsidR="00741422" w:rsidRPr="0078562D">
        <w:rPr>
          <w:rFonts w:asciiTheme="majorHAnsi" w:hAnsiTheme="majorHAnsi" w:cstheme="majorHAnsi"/>
          <w:b/>
          <w:bCs/>
          <w:sz w:val="20"/>
          <w:szCs w:val="20"/>
          <w:lang w:val="es-CO"/>
        </w:rPr>
        <w:t>5</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 xml:space="preserve">. Asimismo, estas pruebas permiten estudiar parámetros específicos, como la orientación de las fibras, la composición de la matriz y las condiciones ambientales, para comprender su influencia en el rendimiento mecánico </w:t>
      </w:r>
      <w:r w:rsidRPr="0078562D">
        <w:rPr>
          <w:rFonts w:asciiTheme="majorHAnsi" w:hAnsiTheme="majorHAnsi" w:cstheme="majorHAnsi"/>
          <w:b/>
          <w:bCs/>
          <w:sz w:val="20"/>
          <w:szCs w:val="20"/>
          <w:lang w:val="es-CO"/>
        </w:rPr>
        <w:t>[3</w:t>
      </w:r>
      <w:r w:rsidR="00741422" w:rsidRPr="0078562D">
        <w:rPr>
          <w:rFonts w:asciiTheme="majorHAnsi" w:hAnsiTheme="majorHAnsi" w:cstheme="majorHAnsi"/>
          <w:b/>
          <w:bCs/>
          <w:sz w:val="20"/>
          <w:szCs w:val="20"/>
          <w:lang w:val="es-CO"/>
        </w:rPr>
        <w:t>6</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 xml:space="preserve">. adicionalmente, los ensayos experimentales facilitan la identificación de mecanismos de falla, proporcionando información crucial para aplicaciones de alta seguridad en la ingeniería aeroespacial, automotriz y civil </w:t>
      </w:r>
      <w:r w:rsidRPr="0078562D">
        <w:rPr>
          <w:rFonts w:asciiTheme="majorHAnsi" w:hAnsiTheme="majorHAnsi" w:cstheme="majorHAnsi"/>
          <w:b/>
          <w:bCs/>
          <w:sz w:val="20"/>
          <w:szCs w:val="20"/>
          <w:lang w:val="es-CO"/>
        </w:rPr>
        <w:t>[3</w:t>
      </w:r>
      <w:r w:rsidR="00741422" w:rsidRPr="0078562D">
        <w:rPr>
          <w:rFonts w:asciiTheme="majorHAnsi" w:hAnsiTheme="majorHAnsi" w:cstheme="majorHAnsi"/>
          <w:b/>
          <w:bCs/>
          <w:sz w:val="20"/>
          <w:szCs w:val="20"/>
          <w:lang w:val="es-CO"/>
        </w:rPr>
        <w:t>7</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w:t>
      </w:r>
    </w:p>
    <w:p w14:paraId="37BB87DE" w14:textId="77777777" w:rsidR="00F862C1" w:rsidRPr="0078562D" w:rsidRDefault="00F862C1" w:rsidP="00F862C1">
      <w:pPr>
        <w:jc w:val="both"/>
        <w:rPr>
          <w:rFonts w:asciiTheme="majorHAnsi" w:hAnsiTheme="majorHAnsi" w:cstheme="majorHAnsi"/>
          <w:sz w:val="20"/>
          <w:szCs w:val="20"/>
          <w:lang w:val="es-CO"/>
        </w:rPr>
      </w:pPr>
    </w:p>
    <w:p w14:paraId="4BFEDC9A" w14:textId="76DFF6D9" w:rsidR="00F862C1" w:rsidRPr="0078562D" w:rsidRDefault="00F862C1" w:rsidP="00F862C1">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Por otro lado, estas pruebas presentan desventajas significativas. Una de las principales es el alto costo asociado con los equipos especializados, el personal capacitado y los protocolos de prueba extensivos, lo que representa un reto económico, especialmente en proyectos con recursos limitados </w:t>
      </w:r>
      <w:r w:rsidRPr="0078562D">
        <w:rPr>
          <w:rFonts w:asciiTheme="majorHAnsi" w:hAnsiTheme="majorHAnsi" w:cstheme="majorHAnsi"/>
          <w:b/>
          <w:bCs/>
          <w:sz w:val="20"/>
          <w:szCs w:val="20"/>
          <w:lang w:val="es-CO"/>
        </w:rPr>
        <w:t>[3</w:t>
      </w:r>
      <w:r w:rsidR="00741422" w:rsidRPr="0078562D">
        <w:rPr>
          <w:rFonts w:asciiTheme="majorHAnsi" w:hAnsiTheme="majorHAnsi" w:cstheme="majorHAnsi"/>
          <w:b/>
          <w:bCs/>
          <w:sz w:val="20"/>
          <w:szCs w:val="20"/>
          <w:lang w:val="es-CO"/>
        </w:rPr>
        <w:t>8</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 xml:space="preserve">. Además, la variabilidad inherente en los materiales, debido al proceso de fabricación y las condiciones ambientales, puede dificultar la interpretación de los resultados y la generalización de los hallazgos </w:t>
      </w:r>
      <w:r w:rsidRPr="0078562D">
        <w:rPr>
          <w:rFonts w:asciiTheme="majorHAnsi" w:hAnsiTheme="majorHAnsi" w:cstheme="majorHAnsi"/>
          <w:b/>
          <w:bCs/>
          <w:sz w:val="20"/>
          <w:szCs w:val="20"/>
          <w:lang w:val="es-CO"/>
        </w:rPr>
        <w:t>[</w:t>
      </w:r>
      <w:r w:rsidR="00741422" w:rsidRPr="0078562D">
        <w:rPr>
          <w:rFonts w:asciiTheme="majorHAnsi" w:hAnsiTheme="majorHAnsi" w:cstheme="majorHAnsi"/>
          <w:b/>
          <w:bCs/>
          <w:sz w:val="20"/>
          <w:szCs w:val="20"/>
          <w:lang w:val="es-CO"/>
        </w:rPr>
        <w:t>39</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w:t>
      </w:r>
    </w:p>
    <w:p w14:paraId="42DD3F54" w14:textId="77777777" w:rsidR="00F862C1" w:rsidRPr="0078562D" w:rsidRDefault="00F862C1" w:rsidP="00F862C1">
      <w:pPr>
        <w:jc w:val="both"/>
        <w:rPr>
          <w:rFonts w:asciiTheme="majorHAnsi" w:hAnsiTheme="majorHAnsi" w:cstheme="majorHAnsi"/>
          <w:sz w:val="20"/>
          <w:szCs w:val="20"/>
          <w:lang w:val="es-CO"/>
        </w:rPr>
      </w:pPr>
    </w:p>
    <w:p w14:paraId="0B61CF99" w14:textId="72E2F800" w:rsidR="00F862C1" w:rsidRPr="0078562D" w:rsidRDefault="00F862C1" w:rsidP="00F862C1">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Otra limitación es que las pruebas de laboratorio no siempre logran simular las complejas condiciones operativas, como cambios de temperatura, absorción de humedad y cargas de fatiga, lo que puede reducir la aplicabilidad de los resultados </w:t>
      </w:r>
      <w:r w:rsidRPr="0078562D">
        <w:rPr>
          <w:rFonts w:asciiTheme="majorHAnsi" w:hAnsiTheme="majorHAnsi" w:cstheme="majorHAnsi"/>
          <w:b/>
          <w:bCs/>
          <w:sz w:val="20"/>
          <w:szCs w:val="20"/>
          <w:lang w:val="es-CO"/>
        </w:rPr>
        <w:t>[4</w:t>
      </w:r>
      <w:r w:rsidR="00741422" w:rsidRPr="0078562D">
        <w:rPr>
          <w:rFonts w:asciiTheme="majorHAnsi" w:hAnsiTheme="majorHAnsi" w:cstheme="majorHAnsi"/>
          <w:b/>
          <w:bCs/>
          <w:sz w:val="20"/>
          <w:szCs w:val="20"/>
          <w:lang w:val="es-CO"/>
        </w:rPr>
        <w:t>0</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w:t>
      </w:r>
    </w:p>
    <w:p w14:paraId="14902072" w14:textId="77777777" w:rsidR="00F862C1" w:rsidRPr="0078562D" w:rsidRDefault="00F862C1" w:rsidP="00F862C1">
      <w:pPr>
        <w:jc w:val="both"/>
        <w:rPr>
          <w:rFonts w:asciiTheme="majorHAnsi" w:hAnsiTheme="majorHAnsi" w:cstheme="majorHAnsi"/>
          <w:sz w:val="20"/>
          <w:szCs w:val="20"/>
          <w:lang w:val="es-CO"/>
        </w:rPr>
      </w:pPr>
    </w:p>
    <w:p w14:paraId="7F474FF3" w14:textId="26D5DA33" w:rsidR="00F862C1" w:rsidRPr="0078562D" w:rsidRDefault="00F862C1" w:rsidP="00F862C1">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Además, la incorporación de partículas o nanopartículas en una matriz polimérica representa un desafío significativo debido a las marcadas diferencias en las propiedades fisicoquímicas entre ambas fases como la polaridad, la energía de superficie y la compatibilidad interfacial lo que favorece la aglomeración, dificulta la transferencia eficaz de carga y debilita la adherencia en la interfaz, comprometiendo así la homogeneidad del compuesto y reduciendo la eficacia del refuerzo </w:t>
      </w:r>
      <w:r w:rsidRPr="0078562D">
        <w:rPr>
          <w:rFonts w:asciiTheme="majorHAnsi" w:hAnsiTheme="majorHAnsi" w:cstheme="majorHAnsi"/>
          <w:b/>
          <w:bCs/>
          <w:sz w:val="20"/>
          <w:szCs w:val="20"/>
          <w:lang w:val="es-CO"/>
        </w:rPr>
        <w:t>[4</w:t>
      </w:r>
      <w:r w:rsidR="00741422" w:rsidRPr="0078562D">
        <w:rPr>
          <w:rFonts w:asciiTheme="majorHAnsi" w:hAnsiTheme="majorHAnsi" w:cstheme="majorHAnsi"/>
          <w:b/>
          <w:bCs/>
          <w:sz w:val="20"/>
          <w:szCs w:val="20"/>
          <w:lang w:val="es-CO"/>
        </w:rPr>
        <w:t>1</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 xml:space="preserve">. </w:t>
      </w:r>
    </w:p>
    <w:p w14:paraId="58833965" w14:textId="77777777" w:rsidR="00F862C1" w:rsidRPr="0078562D" w:rsidRDefault="00F862C1" w:rsidP="00F862C1">
      <w:pPr>
        <w:jc w:val="both"/>
        <w:rPr>
          <w:rFonts w:asciiTheme="majorHAnsi" w:hAnsiTheme="majorHAnsi" w:cstheme="majorHAnsi"/>
          <w:sz w:val="20"/>
          <w:szCs w:val="20"/>
          <w:lang w:val="es-CO"/>
        </w:rPr>
      </w:pPr>
    </w:p>
    <w:p w14:paraId="4265D748" w14:textId="0C9CA182" w:rsidR="00F862C1" w:rsidRPr="0078562D" w:rsidRDefault="00F862C1" w:rsidP="00F862C1">
      <w:p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Esta incompatibilidad se agrava por la necesidad de tratamientos superficiales precisos, condiciones de dispersión controladas y un estricto seguimiento de parámetros de procesamiento como la temperatura, el tiempo de mezcla y la velocidad de agitación, lo que incrementa considerablemente la complejidad técnica, el tiempo de desarrollo y los costos de producción, limitando la escalabilidad de estos materiales en aplicaciones industriales </w:t>
      </w:r>
      <w:r w:rsidRPr="0078562D">
        <w:rPr>
          <w:rFonts w:asciiTheme="majorHAnsi" w:hAnsiTheme="majorHAnsi" w:cstheme="majorHAnsi"/>
          <w:b/>
          <w:bCs/>
          <w:sz w:val="20"/>
          <w:szCs w:val="20"/>
          <w:lang w:val="es-CO"/>
        </w:rPr>
        <w:t>[4</w:t>
      </w:r>
      <w:r w:rsidR="00741422" w:rsidRPr="0078562D">
        <w:rPr>
          <w:rFonts w:asciiTheme="majorHAnsi" w:hAnsiTheme="majorHAnsi" w:cstheme="majorHAnsi"/>
          <w:b/>
          <w:bCs/>
          <w:sz w:val="20"/>
          <w:szCs w:val="20"/>
          <w:lang w:val="es-CO"/>
        </w:rPr>
        <w:t>2</w:t>
      </w:r>
      <w:r w:rsidRPr="0078562D">
        <w:rPr>
          <w:rFonts w:asciiTheme="majorHAnsi" w:hAnsiTheme="majorHAnsi" w:cstheme="majorHAnsi"/>
          <w:b/>
          <w:bCs/>
          <w:sz w:val="20"/>
          <w:szCs w:val="20"/>
          <w:lang w:val="es-CO"/>
        </w:rPr>
        <w:t>]</w:t>
      </w:r>
      <w:r w:rsidR="00741422" w:rsidRPr="0078562D">
        <w:rPr>
          <w:rFonts w:asciiTheme="majorHAnsi" w:hAnsiTheme="majorHAnsi" w:cstheme="majorHAnsi"/>
          <w:sz w:val="20"/>
          <w:szCs w:val="20"/>
          <w:lang w:val="es-CO"/>
        </w:rPr>
        <w:t>.</w:t>
      </w:r>
    </w:p>
    <w:p w14:paraId="01F609E9" w14:textId="77777777" w:rsidR="00F862C1" w:rsidRPr="0078562D" w:rsidRDefault="00F862C1" w:rsidP="00F862C1">
      <w:pPr>
        <w:jc w:val="both"/>
        <w:rPr>
          <w:rFonts w:asciiTheme="majorHAnsi" w:hAnsiTheme="majorHAnsi" w:cstheme="majorHAnsi"/>
          <w:sz w:val="20"/>
          <w:szCs w:val="20"/>
          <w:lang w:val="es-CO"/>
        </w:rPr>
      </w:pPr>
    </w:p>
    <w:p w14:paraId="657A666A" w14:textId="62811201" w:rsidR="00A833EB"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lang w:val="es-CO"/>
        </w:rPr>
        <w:t xml:space="preserve">La necesidad de realizar múltiples tipos de ensayos, como tracción, compresión y corte, para obtener una </w:t>
      </w:r>
      <w:r w:rsidRPr="0078562D">
        <w:rPr>
          <w:rFonts w:asciiTheme="majorHAnsi" w:hAnsiTheme="majorHAnsi" w:cstheme="majorHAnsi"/>
          <w:sz w:val="20"/>
          <w:szCs w:val="20"/>
          <w:lang w:val="es-CO"/>
        </w:rPr>
        <w:lastRenderedPageBreak/>
        <w:t xml:space="preserve">visión completa de las propiedades mecánicas también incrementa los costos y el tiempo necesario </w:t>
      </w:r>
      <w:r w:rsidRPr="0078562D">
        <w:rPr>
          <w:rFonts w:asciiTheme="majorHAnsi" w:hAnsiTheme="majorHAnsi" w:cstheme="majorHAnsi"/>
          <w:b/>
          <w:bCs/>
          <w:sz w:val="20"/>
          <w:szCs w:val="20"/>
          <w:lang w:val="es-CO"/>
        </w:rPr>
        <w:t>[4</w:t>
      </w:r>
      <w:r w:rsidR="00741422" w:rsidRPr="0078562D">
        <w:rPr>
          <w:rFonts w:asciiTheme="majorHAnsi" w:hAnsiTheme="majorHAnsi" w:cstheme="majorHAnsi"/>
          <w:b/>
          <w:bCs/>
          <w:sz w:val="20"/>
          <w:szCs w:val="20"/>
          <w:lang w:val="es-CO"/>
        </w:rPr>
        <w:t>3</w:t>
      </w:r>
      <w:r w:rsidRPr="0078562D">
        <w:rPr>
          <w:rFonts w:asciiTheme="majorHAnsi" w:hAnsiTheme="majorHAnsi" w:cstheme="majorHAnsi"/>
          <w:b/>
          <w:bCs/>
          <w:sz w:val="20"/>
          <w:szCs w:val="20"/>
          <w:lang w:val="es-CO"/>
        </w:rPr>
        <w:t>]</w:t>
      </w:r>
      <w:r w:rsidRPr="0078562D">
        <w:rPr>
          <w:rFonts w:asciiTheme="majorHAnsi" w:hAnsiTheme="majorHAnsi" w:cstheme="majorHAnsi"/>
          <w:sz w:val="20"/>
          <w:szCs w:val="20"/>
          <w:lang w:val="es-CO"/>
        </w:rPr>
        <w:t xml:space="preserve">. Además, los efectos de escala en los ensayos pueden generar discrepancias, ya que las pruebas en especímenes pequeños no siempre representan el comportamiento de componentes o estructuras más grandes </w:t>
      </w:r>
      <w:r w:rsidRPr="0078562D">
        <w:rPr>
          <w:rFonts w:asciiTheme="majorHAnsi" w:hAnsiTheme="majorHAnsi" w:cstheme="majorHAnsi"/>
          <w:b/>
          <w:bCs/>
          <w:sz w:val="20"/>
          <w:szCs w:val="20"/>
          <w:lang w:val="es-CO"/>
        </w:rPr>
        <w:t>[4</w:t>
      </w:r>
      <w:r w:rsidR="00741422" w:rsidRPr="0078562D">
        <w:rPr>
          <w:rFonts w:asciiTheme="majorHAnsi" w:hAnsiTheme="majorHAnsi" w:cstheme="majorHAnsi"/>
          <w:b/>
          <w:bCs/>
          <w:sz w:val="20"/>
          <w:szCs w:val="20"/>
          <w:lang w:val="es-CO"/>
        </w:rPr>
        <w:t>4</w:t>
      </w:r>
      <w:r w:rsidRPr="0078562D">
        <w:rPr>
          <w:rFonts w:asciiTheme="majorHAnsi" w:hAnsiTheme="majorHAnsi" w:cstheme="majorHAnsi"/>
          <w:b/>
          <w:bCs/>
          <w:sz w:val="20"/>
          <w:szCs w:val="20"/>
          <w:lang w:val="es-CO"/>
        </w:rPr>
        <w:t>]</w:t>
      </w:r>
      <w:r w:rsidR="00741422" w:rsidRPr="0078562D">
        <w:rPr>
          <w:rFonts w:asciiTheme="majorHAnsi" w:hAnsiTheme="majorHAnsi" w:cstheme="majorHAnsi"/>
          <w:sz w:val="20"/>
          <w:szCs w:val="20"/>
          <w:lang w:val="es-CO"/>
        </w:rPr>
        <w:t>.</w:t>
      </w:r>
    </w:p>
    <w:p w14:paraId="23B7D450" w14:textId="77777777" w:rsidR="00A833EB" w:rsidRPr="0078562D" w:rsidRDefault="00A833EB" w:rsidP="00401C99">
      <w:pPr>
        <w:jc w:val="both"/>
        <w:rPr>
          <w:rFonts w:asciiTheme="majorHAnsi" w:hAnsiTheme="majorHAnsi" w:cstheme="majorHAnsi"/>
          <w:sz w:val="20"/>
          <w:szCs w:val="20"/>
        </w:rPr>
      </w:pPr>
    </w:p>
    <w:p w14:paraId="5E58D8CD" w14:textId="77777777" w:rsidR="00A833EB" w:rsidRPr="0078562D" w:rsidRDefault="00A833EB" w:rsidP="00A833EB">
      <w:pPr>
        <w:pStyle w:val="Prrafodelista"/>
        <w:numPr>
          <w:ilvl w:val="0"/>
          <w:numId w:val="11"/>
        </w:numPr>
        <w:jc w:val="both"/>
        <w:rPr>
          <w:rFonts w:asciiTheme="majorHAnsi" w:hAnsiTheme="majorHAnsi" w:cstheme="majorHAnsi"/>
          <w:sz w:val="20"/>
          <w:szCs w:val="20"/>
        </w:rPr>
      </w:pPr>
      <w:r w:rsidRPr="0078562D">
        <w:rPr>
          <w:rFonts w:asciiTheme="majorHAnsi" w:hAnsiTheme="majorHAnsi" w:cstheme="majorHAnsi"/>
          <w:sz w:val="20"/>
          <w:szCs w:val="20"/>
        </w:rPr>
        <w:t>Modelos analíticos:</w:t>
      </w:r>
    </w:p>
    <w:p w14:paraId="11822537" w14:textId="77777777" w:rsidR="00A833EB" w:rsidRPr="0078562D" w:rsidRDefault="00A833EB" w:rsidP="00A833EB">
      <w:pPr>
        <w:jc w:val="both"/>
        <w:rPr>
          <w:rFonts w:asciiTheme="majorHAnsi" w:hAnsiTheme="majorHAnsi" w:cstheme="majorHAnsi"/>
          <w:sz w:val="20"/>
          <w:szCs w:val="20"/>
        </w:rPr>
      </w:pPr>
    </w:p>
    <w:p w14:paraId="41FF3D1A" w14:textId="24D9C362" w:rsidR="00F862C1" w:rsidRPr="0078562D" w:rsidRDefault="00F862C1" w:rsidP="00F862C1">
      <w:pPr>
        <w:jc w:val="both"/>
        <w:rPr>
          <w:rFonts w:asciiTheme="majorHAnsi" w:hAnsiTheme="majorHAnsi" w:cstheme="majorHAnsi"/>
          <w:b/>
          <w:bCs/>
          <w:sz w:val="20"/>
          <w:szCs w:val="20"/>
        </w:rPr>
      </w:pPr>
      <w:r w:rsidRPr="0078562D">
        <w:rPr>
          <w:rFonts w:asciiTheme="majorHAnsi" w:hAnsiTheme="majorHAnsi" w:cstheme="majorHAnsi"/>
          <w:sz w:val="20"/>
          <w:szCs w:val="20"/>
        </w:rPr>
        <w:t xml:space="preserve">Los modelos analíticos ofrecen una herramienta eficiente para predecir propiedades mecánicas de materiales compuestos, gracias a su simplicidad matemática y bajo requerimiento computacional. Permiten estimar parámetros como los módulos de elasticidad (longitudinal y transversal), módulos de corte y coeficientes de Poisson de forma rápida, reduciendo significativamente la dependencia de ensayos experimentales y simulaciones avanzadas </w:t>
      </w:r>
      <w:r w:rsidRPr="0078562D">
        <w:rPr>
          <w:rFonts w:asciiTheme="majorHAnsi" w:hAnsiTheme="majorHAnsi" w:cstheme="majorHAnsi"/>
          <w:b/>
          <w:bCs/>
          <w:sz w:val="20"/>
          <w:szCs w:val="20"/>
        </w:rPr>
        <w:t>[4</w:t>
      </w:r>
      <w:r w:rsidR="00741422" w:rsidRPr="0078562D">
        <w:rPr>
          <w:rFonts w:asciiTheme="majorHAnsi" w:hAnsiTheme="majorHAnsi" w:cstheme="majorHAnsi"/>
          <w:b/>
          <w:bCs/>
          <w:sz w:val="20"/>
          <w:szCs w:val="20"/>
        </w:rPr>
        <w:t>5</w:t>
      </w:r>
      <w:r w:rsidR="00217560" w:rsidRPr="0078562D">
        <w:rPr>
          <w:rFonts w:asciiTheme="majorHAnsi" w:hAnsiTheme="majorHAnsi" w:cstheme="majorHAnsi"/>
          <w:b/>
          <w:bCs/>
          <w:sz w:val="20"/>
          <w:szCs w:val="20"/>
        </w:rPr>
        <w:t>], [</w:t>
      </w:r>
      <w:r w:rsidRPr="0078562D">
        <w:rPr>
          <w:rFonts w:asciiTheme="majorHAnsi" w:hAnsiTheme="majorHAnsi" w:cstheme="majorHAnsi"/>
          <w:b/>
          <w:bCs/>
          <w:sz w:val="20"/>
          <w:szCs w:val="20"/>
        </w:rPr>
        <w:t>4</w:t>
      </w:r>
      <w:r w:rsidR="00741422" w:rsidRPr="0078562D">
        <w:rPr>
          <w:rFonts w:asciiTheme="majorHAnsi" w:hAnsiTheme="majorHAnsi" w:cstheme="majorHAnsi"/>
          <w:b/>
          <w:bCs/>
          <w:sz w:val="20"/>
          <w:szCs w:val="20"/>
        </w:rPr>
        <w:t>6</w:t>
      </w:r>
      <w:r w:rsidRPr="0078562D">
        <w:rPr>
          <w:rFonts w:asciiTheme="majorHAnsi" w:hAnsiTheme="majorHAnsi" w:cstheme="majorHAnsi"/>
          <w:b/>
          <w:bCs/>
          <w:sz w:val="20"/>
          <w:szCs w:val="20"/>
        </w:rPr>
        <w:t>].</w:t>
      </w:r>
    </w:p>
    <w:p w14:paraId="51AA9399" w14:textId="77777777" w:rsidR="00E969A3" w:rsidRPr="0078562D" w:rsidRDefault="00E969A3" w:rsidP="00F862C1">
      <w:pPr>
        <w:jc w:val="both"/>
        <w:rPr>
          <w:rFonts w:asciiTheme="majorHAnsi" w:hAnsiTheme="majorHAnsi" w:cstheme="majorHAnsi"/>
          <w:sz w:val="20"/>
          <w:szCs w:val="20"/>
        </w:rPr>
      </w:pPr>
    </w:p>
    <w:p w14:paraId="77D7DDB7" w14:textId="671C17B2"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Una de sus principales fortalezas es la optimización de recursos, tanto en tiempo como en costos. Al disminuir la necesidad de pruebas físicas prolongadas y cálculos complejos, estos modelos agilizan el diseño y desarrollo de nuevos materiales, lo que se traduce en procesos más económicos y eficientes </w:t>
      </w:r>
      <w:r w:rsidRPr="0078562D">
        <w:rPr>
          <w:rFonts w:asciiTheme="majorHAnsi" w:hAnsiTheme="majorHAnsi" w:cstheme="majorHAnsi"/>
          <w:b/>
          <w:bCs/>
          <w:sz w:val="20"/>
          <w:szCs w:val="20"/>
        </w:rPr>
        <w:t>[4</w:t>
      </w:r>
      <w:r w:rsidR="00741422" w:rsidRPr="0078562D">
        <w:rPr>
          <w:rFonts w:asciiTheme="majorHAnsi" w:hAnsiTheme="majorHAnsi" w:cstheme="majorHAnsi"/>
          <w:b/>
          <w:bCs/>
          <w:sz w:val="20"/>
          <w:szCs w:val="20"/>
        </w:rPr>
        <w:t>7</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29CE4826" w14:textId="77777777" w:rsidR="00AC19C1" w:rsidRPr="0078562D" w:rsidRDefault="00AC19C1" w:rsidP="00F862C1">
      <w:pPr>
        <w:jc w:val="both"/>
        <w:rPr>
          <w:rFonts w:asciiTheme="majorHAnsi" w:hAnsiTheme="majorHAnsi" w:cstheme="majorHAnsi"/>
          <w:sz w:val="20"/>
          <w:szCs w:val="20"/>
        </w:rPr>
      </w:pPr>
    </w:p>
    <w:p w14:paraId="2F61BC6D" w14:textId="35A1B2E9"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Asimismo, destacan por su capacidad predictiva. Al incorporar variables microestructurales como el contenido y orientación de fibras, o la presencia de defectos, permiten anticipar el comportamiento del material compuesto antes de su fabricación. Modelos como el de Halpin-Tsai ejemplifican este enfoque al facilitar la optimización de propiedades como la durabilidad y la vida útil </w:t>
      </w:r>
      <w:r w:rsidRPr="0078562D">
        <w:rPr>
          <w:rFonts w:asciiTheme="majorHAnsi" w:hAnsiTheme="majorHAnsi" w:cstheme="majorHAnsi"/>
          <w:b/>
          <w:bCs/>
          <w:sz w:val="20"/>
          <w:szCs w:val="20"/>
        </w:rPr>
        <w:t>[4</w:t>
      </w:r>
      <w:r w:rsidR="00741422" w:rsidRPr="0078562D">
        <w:rPr>
          <w:rFonts w:asciiTheme="majorHAnsi" w:hAnsiTheme="majorHAnsi" w:cstheme="majorHAnsi"/>
          <w:b/>
          <w:bCs/>
          <w:sz w:val="20"/>
          <w:szCs w:val="20"/>
        </w:rPr>
        <w:t>8</w:t>
      </w:r>
      <w:r w:rsidRPr="0078562D">
        <w:rPr>
          <w:rFonts w:asciiTheme="majorHAnsi" w:hAnsiTheme="majorHAnsi" w:cstheme="majorHAnsi"/>
          <w:b/>
          <w:bCs/>
          <w:sz w:val="20"/>
          <w:szCs w:val="20"/>
        </w:rPr>
        <w:t>]</w:t>
      </w:r>
      <w:r w:rsidRPr="0078562D">
        <w:rPr>
          <w:rFonts w:asciiTheme="majorHAnsi" w:hAnsiTheme="majorHAnsi" w:cstheme="majorHAnsi"/>
          <w:sz w:val="20"/>
          <w:szCs w:val="20"/>
        </w:rPr>
        <w:t xml:space="preserve">. </w:t>
      </w:r>
    </w:p>
    <w:p w14:paraId="065241C0" w14:textId="77777777" w:rsidR="00AC19C1" w:rsidRPr="0078562D" w:rsidRDefault="00AC19C1" w:rsidP="00F862C1">
      <w:pPr>
        <w:jc w:val="both"/>
        <w:rPr>
          <w:rFonts w:asciiTheme="majorHAnsi" w:hAnsiTheme="majorHAnsi" w:cstheme="majorHAnsi"/>
          <w:sz w:val="20"/>
          <w:szCs w:val="20"/>
        </w:rPr>
      </w:pPr>
    </w:p>
    <w:p w14:paraId="538680AE" w14:textId="6208BA40"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Su versatilidad y facilidad de implementación amplían su aplicabilidad en múltiples sectores, desde la ingeniería civil hasta el desarrollo de compuestos híbridos sostenibles. Su formulación simple permite una integración directa en herramientas computacionales y los convierte en un complemento valioso para simulaciones por elementos finitos durante las fases iniciales del diseño </w:t>
      </w:r>
      <w:r w:rsidRPr="0078562D">
        <w:rPr>
          <w:rFonts w:asciiTheme="majorHAnsi" w:hAnsiTheme="majorHAnsi" w:cstheme="majorHAnsi"/>
          <w:b/>
          <w:bCs/>
          <w:sz w:val="20"/>
          <w:szCs w:val="20"/>
        </w:rPr>
        <w:t>[</w:t>
      </w:r>
      <w:r w:rsidR="00741422" w:rsidRPr="0078562D">
        <w:rPr>
          <w:rFonts w:asciiTheme="majorHAnsi" w:hAnsiTheme="majorHAnsi" w:cstheme="majorHAnsi"/>
          <w:b/>
          <w:bCs/>
          <w:sz w:val="20"/>
          <w:szCs w:val="20"/>
        </w:rPr>
        <w:t>18</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4E21FE19" w14:textId="77777777" w:rsidR="00AC19C1" w:rsidRPr="0078562D" w:rsidRDefault="00AC19C1" w:rsidP="00F862C1">
      <w:pPr>
        <w:jc w:val="both"/>
        <w:rPr>
          <w:rFonts w:asciiTheme="majorHAnsi" w:hAnsiTheme="majorHAnsi" w:cstheme="majorHAnsi"/>
          <w:sz w:val="20"/>
          <w:szCs w:val="20"/>
        </w:rPr>
      </w:pPr>
    </w:p>
    <w:p w14:paraId="6A03804E" w14:textId="77777777" w:rsidR="00F862C1" w:rsidRPr="0078562D" w:rsidRDefault="00F862C1" w:rsidP="00F862C1">
      <w:pPr>
        <w:jc w:val="both"/>
        <w:rPr>
          <w:rFonts w:asciiTheme="majorHAnsi" w:hAnsiTheme="majorHAnsi" w:cstheme="majorHAnsi"/>
          <w:b/>
          <w:bCs/>
          <w:sz w:val="20"/>
          <w:szCs w:val="20"/>
        </w:rPr>
      </w:pPr>
      <w:r w:rsidRPr="0078562D">
        <w:rPr>
          <w:rFonts w:asciiTheme="majorHAnsi" w:hAnsiTheme="majorHAnsi" w:cstheme="majorHAnsi"/>
          <w:sz w:val="20"/>
          <w:szCs w:val="20"/>
        </w:rPr>
        <w:t xml:space="preserve">Sin embargo, los modelos </w:t>
      </w:r>
      <w:proofErr w:type="spellStart"/>
      <w:r w:rsidRPr="0078562D">
        <w:rPr>
          <w:rFonts w:asciiTheme="majorHAnsi" w:hAnsiTheme="majorHAnsi" w:cstheme="majorHAnsi"/>
          <w:sz w:val="20"/>
          <w:szCs w:val="20"/>
        </w:rPr>
        <w:t>micromecánicos</w:t>
      </w:r>
      <w:proofErr w:type="spellEnd"/>
      <w:r w:rsidRPr="0078562D">
        <w:rPr>
          <w:rFonts w:asciiTheme="majorHAnsi" w:hAnsiTheme="majorHAnsi" w:cstheme="majorHAnsi"/>
          <w:sz w:val="20"/>
          <w:szCs w:val="20"/>
        </w:rPr>
        <w:t xml:space="preserve"> analíticos presentan diversas limitaciones. Una de las principales es su dependencia de suposiciones simplificadoras, como la homogeneidad, isotropía, elasticidad lineal, geometrías idealizadas y una perfecta adherencia entre la matriz y el refuerzo, las </w:t>
      </w:r>
      <w:r w:rsidRPr="0078562D">
        <w:rPr>
          <w:rFonts w:asciiTheme="majorHAnsi" w:hAnsiTheme="majorHAnsi" w:cstheme="majorHAnsi"/>
          <w:sz w:val="20"/>
          <w:szCs w:val="20"/>
        </w:rPr>
        <w:t xml:space="preserve">cuales no siempre representan adecuadamente la complejidad de los materiales compuestos reales </w:t>
      </w:r>
      <w:r w:rsidRPr="0078562D">
        <w:rPr>
          <w:rFonts w:asciiTheme="majorHAnsi" w:hAnsiTheme="majorHAnsi" w:cstheme="majorHAnsi"/>
          <w:b/>
          <w:bCs/>
          <w:sz w:val="20"/>
          <w:szCs w:val="20"/>
        </w:rPr>
        <w:t>[2]</w:t>
      </w:r>
      <w:r w:rsidRPr="0078562D">
        <w:rPr>
          <w:rFonts w:asciiTheme="majorHAnsi" w:hAnsiTheme="majorHAnsi" w:cstheme="majorHAnsi"/>
          <w:sz w:val="20"/>
          <w:szCs w:val="20"/>
        </w:rPr>
        <w:t>.</w:t>
      </w:r>
    </w:p>
    <w:p w14:paraId="235E1C29" w14:textId="77777777" w:rsidR="00F862C1" w:rsidRPr="0078562D" w:rsidRDefault="00F862C1" w:rsidP="00F862C1">
      <w:pPr>
        <w:jc w:val="both"/>
        <w:rPr>
          <w:rFonts w:asciiTheme="majorHAnsi" w:hAnsiTheme="majorHAnsi" w:cstheme="majorHAnsi"/>
          <w:sz w:val="20"/>
          <w:szCs w:val="20"/>
        </w:rPr>
      </w:pPr>
    </w:p>
    <w:p w14:paraId="6C6B12FB" w14:textId="10C15B7F"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Otra limitación importante es su aplicabilidad restringida a configuraciones específicas, como refuerzos unidireccionales o distribuciones regulares de fibras. Estos modelos no son adecuados para arquitecturas complejas, como tejidos tridimensionales o compuestos trenzados, lo que limita su utilidad en diseños más avanzados </w:t>
      </w:r>
      <w:r w:rsidRPr="0078562D">
        <w:rPr>
          <w:rFonts w:asciiTheme="majorHAnsi" w:hAnsiTheme="majorHAnsi" w:cstheme="majorHAnsi"/>
          <w:b/>
          <w:bCs/>
          <w:sz w:val="20"/>
          <w:szCs w:val="20"/>
        </w:rPr>
        <w:t>[</w:t>
      </w:r>
      <w:r w:rsidR="00741422" w:rsidRPr="0078562D">
        <w:rPr>
          <w:rFonts w:asciiTheme="majorHAnsi" w:hAnsiTheme="majorHAnsi" w:cstheme="majorHAnsi"/>
          <w:b/>
          <w:bCs/>
          <w:sz w:val="20"/>
          <w:szCs w:val="20"/>
        </w:rPr>
        <w:t>49</w:t>
      </w:r>
      <w:r w:rsidRPr="0078562D">
        <w:rPr>
          <w:rFonts w:asciiTheme="majorHAnsi" w:hAnsiTheme="majorHAnsi" w:cstheme="majorHAnsi"/>
          <w:b/>
          <w:bCs/>
          <w:sz w:val="20"/>
          <w:szCs w:val="20"/>
        </w:rPr>
        <w:t>]</w:t>
      </w:r>
      <w:r w:rsidRPr="0078562D">
        <w:rPr>
          <w:rFonts w:asciiTheme="majorHAnsi" w:hAnsiTheme="majorHAnsi" w:cstheme="majorHAnsi"/>
          <w:sz w:val="20"/>
          <w:szCs w:val="20"/>
        </w:rPr>
        <w:t xml:space="preserve">. </w:t>
      </w:r>
    </w:p>
    <w:p w14:paraId="62C408F7" w14:textId="77777777" w:rsidR="00F862C1" w:rsidRPr="0078562D" w:rsidRDefault="00F862C1" w:rsidP="00F862C1">
      <w:pPr>
        <w:jc w:val="both"/>
        <w:rPr>
          <w:rFonts w:asciiTheme="majorHAnsi" w:hAnsiTheme="majorHAnsi" w:cstheme="majorHAnsi"/>
          <w:sz w:val="20"/>
          <w:szCs w:val="20"/>
        </w:rPr>
      </w:pPr>
    </w:p>
    <w:p w14:paraId="1598C739" w14:textId="7A1EC72D"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Además, la precisión de sus predicciones depende en gran medida de la calidad de los parámetros de entrada, como propiedades mecánicas de los componentes, fracciones volumétricas y geometrías internas. Estos parámetros son altamente sensibles a las variaciones microestructurales, lo que puede generar discrepancias significativas entre el modelo y el comportamiento real del material </w:t>
      </w:r>
      <w:r w:rsidRPr="0078562D">
        <w:rPr>
          <w:rFonts w:asciiTheme="majorHAnsi" w:hAnsiTheme="majorHAnsi" w:cstheme="majorHAnsi"/>
          <w:b/>
          <w:bCs/>
          <w:sz w:val="20"/>
          <w:szCs w:val="20"/>
        </w:rPr>
        <w:t>[5</w:t>
      </w:r>
      <w:r w:rsidR="00741422" w:rsidRPr="0078562D">
        <w:rPr>
          <w:rFonts w:asciiTheme="majorHAnsi" w:hAnsiTheme="majorHAnsi" w:cstheme="majorHAnsi"/>
          <w:b/>
          <w:bCs/>
          <w:sz w:val="20"/>
          <w:szCs w:val="20"/>
        </w:rPr>
        <w:t>0</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211F80DE" w14:textId="77777777" w:rsidR="00F862C1" w:rsidRPr="0078562D" w:rsidRDefault="00F862C1" w:rsidP="00F862C1">
      <w:pPr>
        <w:jc w:val="both"/>
        <w:rPr>
          <w:rFonts w:asciiTheme="majorHAnsi" w:hAnsiTheme="majorHAnsi" w:cstheme="majorHAnsi"/>
          <w:sz w:val="20"/>
          <w:szCs w:val="20"/>
        </w:rPr>
      </w:pPr>
    </w:p>
    <w:p w14:paraId="31371E14" w14:textId="72412748" w:rsidR="00A833EB"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Estos modelos suelen omitir los efectos ambientales, como la temperatura y la humedad, lo que compromete su precisión en condiciones de servicio variables. Además, aunque se basan en formulaciones teóricas, requieren validación experimental para garantizar su confiabilidad, lo cual implica inversiones adicionales en tiempo y recursos </w:t>
      </w:r>
      <w:r w:rsidRPr="0078562D">
        <w:rPr>
          <w:rFonts w:asciiTheme="majorHAnsi" w:hAnsiTheme="majorHAnsi" w:cstheme="majorHAnsi"/>
          <w:b/>
          <w:bCs/>
          <w:sz w:val="20"/>
          <w:szCs w:val="20"/>
        </w:rPr>
        <w:t>[5</w:t>
      </w:r>
      <w:r w:rsidR="00741422" w:rsidRPr="0078562D">
        <w:rPr>
          <w:rFonts w:asciiTheme="majorHAnsi" w:hAnsiTheme="majorHAnsi" w:cstheme="majorHAnsi"/>
          <w:b/>
          <w:bCs/>
          <w:sz w:val="20"/>
          <w:szCs w:val="20"/>
        </w:rPr>
        <w:t>1</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78E776E6" w14:textId="77777777" w:rsidR="00F862C1" w:rsidRPr="0078562D" w:rsidRDefault="00F862C1" w:rsidP="00F862C1">
      <w:pPr>
        <w:jc w:val="both"/>
        <w:rPr>
          <w:rFonts w:asciiTheme="majorHAnsi" w:hAnsiTheme="majorHAnsi" w:cstheme="majorHAnsi"/>
          <w:sz w:val="20"/>
          <w:szCs w:val="20"/>
        </w:rPr>
      </w:pPr>
    </w:p>
    <w:p w14:paraId="2A89B691" w14:textId="77777777" w:rsidR="00A833EB" w:rsidRPr="0078562D" w:rsidRDefault="00A833EB" w:rsidP="00A833EB">
      <w:pPr>
        <w:pStyle w:val="Prrafodelista"/>
        <w:numPr>
          <w:ilvl w:val="0"/>
          <w:numId w:val="11"/>
        </w:numPr>
        <w:jc w:val="both"/>
        <w:rPr>
          <w:rFonts w:asciiTheme="majorHAnsi" w:hAnsiTheme="majorHAnsi" w:cstheme="majorHAnsi"/>
          <w:sz w:val="20"/>
          <w:szCs w:val="20"/>
        </w:rPr>
      </w:pPr>
      <w:r w:rsidRPr="0078562D">
        <w:rPr>
          <w:rFonts w:asciiTheme="majorHAnsi" w:hAnsiTheme="majorHAnsi" w:cstheme="majorHAnsi"/>
          <w:sz w:val="20"/>
          <w:szCs w:val="20"/>
        </w:rPr>
        <w:t>Elementos finitos:</w:t>
      </w:r>
    </w:p>
    <w:p w14:paraId="002D8F3A" w14:textId="77777777" w:rsidR="00A833EB" w:rsidRPr="0078562D" w:rsidRDefault="00A833EB" w:rsidP="00A833EB">
      <w:pPr>
        <w:jc w:val="both"/>
        <w:rPr>
          <w:rFonts w:asciiTheme="majorHAnsi" w:hAnsiTheme="majorHAnsi" w:cstheme="majorHAnsi"/>
          <w:sz w:val="20"/>
          <w:szCs w:val="20"/>
        </w:rPr>
      </w:pPr>
    </w:p>
    <w:p w14:paraId="78EA8D9C" w14:textId="17ED4128"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Una de las principales ventajas del FEM es su capacidad para modelar geometrías complejas y materiales heterogéneos. Este método permite discretizar estructuras compuestas en elementos finitos, representando diferentes fases del material y sus interacciones. Además, el FEM tiene la capacidad de analizar escenarios tanto estáticos como dinámicos, lo que permite explorar mecanismos de daño en la matriz y las fibras de compuestos bajo diversas condiciones de carga </w:t>
      </w:r>
      <w:r w:rsidRPr="0078562D">
        <w:rPr>
          <w:rFonts w:asciiTheme="majorHAnsi" w:hAnsiTheme="majorHAnsi" w:cstheme="majorHAnsi"/>
          <w:b/>
          <w:bCs/>
          <w:sz w:val="20"/>
          <w:szCs w:val="20"/>
        </w:rPr>
        <w:t>[5</w:t>
      </w:r>
      <w:r w:rsidR="00741422" w:rsidRPr="0078562D">
        <w:rPr>
          <w:rFonts w:asciiTheme="majorHAnsi" w:hAnsiTheme="majorHAnsi" w:cstheme="majorHAnsi"/>
          <w:b/>
          <w:bCs/>
          <w:sz w:val="20"/>
          <w:szCs w:val="20"/>
        </w:rPr>
        <w:t>2</w:t>
      </w:r>
      <w:r w:rsidRPr="0078562D">
        <w:rPr>
          <w:rFonts w:asciiTheme="majorHAnsi" w:hAnsiTheme="majorHAnsi" w:cstheme="majorHAnsi"/>
          <w:b/>
          <w:bCs/>
          <w:sz w:val="20"/>
          <w:szCs w:val="20"/>
        </w:rPr>
        <w:t>]</w:t>
      </w:r>
      <w:r w:rsidR="00E969A3" w:rsidRPr="0078562D">
        <w:rPr>
          <w:rFonts w:asciiTheme="majorHAnsi" w:hAnsiTheme="majorHAnsi" w:cstheme="majorHAnsi"/>
          <w:sz w:val="20"/>
          <w:szCs w:val="20"/>
        </w:rPr>
        <w:t>.</w:t>
      </w:r>
    </w:p>
    <w:p w14:paraId="4E358472" w14:textId="77777777" w:rsidR="00F862C1" w:rsidRPr="0078562D" w:rsidRDefault="00F862C1" w:rsidP="00F862C1">
      <w:pPr>
        <w:jc w:val="both"/>
        <w:rPr>
          <w:rFonts w:asciiTheme="majorHAnsi" w:hAnsiTheme="majorHAnsi" w:cstheme="majorHAnsi"/>
          <w:sz w:val="20"/>
          <w:szCs w:val="20"/>
        </w:rPr>
      </w:pPr>
    </w:p>
    <w:p w14:paraId="59478AF6" w14:textId="2317C5DD" w:rsidR="00F862C1" w:rsidRPr="0078562D" w:rsidRDefault="00F862C1" w:rsidP="00F862C1">
      <w:pPr>
        <w:jc w:val="both"/>
        <w:rPr>
          <w:rFonts w:asciiTheme="majorHAnsi" w:hAnsiTheme="majorHAnsi" w:cstheme="majorHAnsi"/>
          <w:b/>
          <w:bCs/>
          <w:sz w:val="20"/>
          <w:szCs w:val="20"/>
        </w:rPr>
      </w:pPr>
      <w:r w:rsidRPr="0078562D">
        <w:rPr>
          <w:rFonts w:asciiTheme="majorHAnsi" w:hAnsiTheme="majorHAnsi" w:cstheme="majorHAnsi"/>
          <w:sz w:val="20"/>
          <w:szCs w:val="20"/>
        </w:rPr>
        <w:t xml:space="preserve">Otra ventaja importante es la incorporación de modelos avanzados de materiales. El FEM permite modelar comportamientos únicos, como anisotropía y viscoelasticidad, que son esenciales para caracterizar materiales compuestos </w:t>
      </w:r>
      <w:r w:rsidRPr="0078562D">
        <w:rPr>
          <w:rFonts w:asciiTheme="majorHAnsi" w:hAnsiTheme="majorHAnsi" w:cstheme="majorHAnsi"/>
          <w:b/>
          <w:bCs/>
          <w:sz w:val="20"/>
          <w:szCs w:val="20"/>
        </w:rPr>
        <w:t>[5</w:t>
      </w:r>
      <w:r w:rsidR="00741422" w:rsidRPr="0078562D">
        <w:rPr>
          <w:rFonts w:asciiTheme="majorHAnsi" w:hAnsiTheme="majorHAnsi" w:cstheme="majorHAnsi"/>
          <w:b/>
          <w:bCs/>
          <w:sz w:val="20"/>
          <w:szCs w:val="20"/>
        </w:rPr>
        <w:t>3</w:t>
      </w:r>
      <w:r w:rsidRPr="0078562D">
        <w:rPr>
          <w:rFonts w:asciiTheme="majorHAnsi" w:hAnsiTheme="majorHAnsi" w:cstheme="majorHAnsi"/>
          <w:b/>
          <w:bCs/>
          <w:sz w:val="20"/>
          <w:szCs w:val="20"/>
        </w:rPr>
        <w:t>]</w:t>
      </w:r>
      <w:r w:rsidRPr="0078562D">
        <w:rPr>
          <w:rFonts w:asciiTheme="majorHAnsi" w:hAnsiTheme="majorHAnsi" w:cstheme="majorHAnsi"/>
          <w:sz w:val="20"/>
          <w:szCs w:val="20"/>
        </w:rPr>
        <w:t xml:space="preserve">. Asimismo, ofrece una mayor precisión en comparación con los métodos analíticos tradicionales, que a menudo simplifican en exceso el comportamiento de los materiales. El FEM proporciona un nivel de detalle </w:t>
      </w:r>
      <w:r w:rsidRPr="0078562D">
        <w:rPr>
          <w:rFonts w:asciiTheme="majorHAnsi" w:hAnsiTheme="majorHAnsi" w:cstheme="majorHAnsi"/>
          <w:sz w:val="20"/>
          <w:szCs w:val="20"/>
        </w:rPr>
        <w:lastRenderedPageBreak/>
        <w:t xml:space="preserve">superior para reflejar la realidad de los compuestos </w:t>
      </w:r>
      <w:r w:rsidRPr="0078562D">
        <w:rPr>
          <w:rFonts w:asciiTheme="majorHAnsi" w:hAnsiTheme="majorHAnsi" w:cstheme="majorHAnsi"/>
          <w:b/>
          <w:bCs/>
          <w:sz w:val="20"/>
          <w:szCs w:val="20"/>
        </w:rPr>
        <w:t>[5</w:t>
      </w:r>
      <w:r w:rsidR="00741422" w:rsidRPr="0078562D">
        <w:rPr>
          <w:rFonts w:asciiTheme="majorHAnsi" w:hAnsiTheme="majorHAnsi" w:cstheme="majorHAnsi"/>
          <w:b/>
          <w:bCs/>
          <w:sz w:val="20"/>
          <w:szCs w:val="20"/>
        </w:rPr>
        <w:t>4</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4B25BA97" w14:textId="77777777" w:rsidR="00F862C1" w:rsidRPr="0078562D" w:rsidRDefault="00F862C1" w:rsidP="00F862C1">
      <w:pPr>
        <w:jc w:val="both"/>
        <w:rPr>
          <w:rFonts w:asciiTheme="majorHAnsi" w:hAnsiTheme="majorHAnsi" w:cstheme="majorHAnsi"/>
          <w:sz w:val="20"/>
          <w:szCs w:val="20"/>
        </w:rPr>
      </w:pPr>
    </w:p>
    <w:p w14:paraId="28AAF1C9" w14:textId="5F372A42"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El FEM también destaca por su capacidad para realizar estudios paramétricos y optimizar diseños. Permite variar parámetros de diseño, como la orientación de las fibras, la secuencia de apilamiento y las propiedades materiales, con el fin de identificar configuraciones óptimas que ofrezcan un rendimiento mecánico deseado </w:t>
      </w:r>
      <w:r w:rsidRPr="0078562D">
        <w:rPr>
          <w:rFonts w:asciiTheme="majorHAnsi" w:hAnsiTheme="majorHAnsi" w:cstheme="majorHAnsi"/>
          <w:b/>
          <w:bCs/>
          <w:sz w:val="20"/>
          <w:szCs w:val="20"/>
        </w:rPr>
        <w:t>[5</w:t>
      </w:r>
      <w:r w:rsidR="00741422" w:rsidRPr="0078562D">
        <w:rPr>
          <w:rFonts w:asciiTheme="majorHAnsi" w:hAnsiTheme="majorHAnsi" w:cstheme="majorHAnsi"/>
          <w:b/>
          <w:bCs/>
          <w:sz w:val="20"/>
          <w:szCs w:val="20"/>
        </w:rPr>
        <w:t>5</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5B4323E8" w14:textId="77777777" w:rsidR="00F862C1" w:rsidRPr="0078562D" w:rsidRDefault="00F862C1" w:rsidP="00F862C1">
      <w:pPr>
        <w:jc w:val="both"/>
        <w:rPr>
          <w:rFonts w:asciiTheme="majorHAnsi" w:hAnsiTheme="majorHAnsi" w:cstheme="majorHAnsi"/>
          <w:sz w:val="20"/>
          <w:szCs w:val="20"/>
        </w:rPr>
      </w:pPr>
    </w:p>
    <w:p w14:paraId="410A6D82" w14:textId="77777777"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Sin embargo, el FEM presenta también desventajas importantes. Una de ellas es la complejidad en la creación de modelos. El proceso de mallado puede ser laborioso y requiere precisión para representar adecuadamente la geometría y las propiedades del material. Los materiales compuestos, al ser heterogéneos y contener múltiples fases con propiedades mecánicas distintas, exigen modelos detallados que aumentan significativamente los costos computacionales y el tiempo requerido </w:t>
      </w:r>
      <w:r w:rsidRPr="0078562D">
        <w:rPr>
          <w:rFonts w:asciiTheme="majorHAnsi" w:hAnsiTheme="majorHAnsi" w:cstheme="majorHAnsi"/>
          <w:b/>
          <w:bCs/>
          <w:sz w:val="20"/>
          <w:szCs w:val="20"/>
        </w:rPr>
        <w:t>[15]</w:t>
      </w:r>
      <w:r w:rsidRPr="0078562D">
        <w:rPr>
          <w:rFonts w:asciiTheme="majorHAnsi" w:hAnsiTheme="majorHAnsi" w:cstheme="majorHAnsi"/>
          <w:sz w:val="20"/>
          <w:szCs w:val="20"/>
        </w:rPr>
        <w:t>.</w:t>
      </w:r>
    </w:p>
    <w:p w14:paraId="62036789" w14:textId="77777777" w:rsidR="00F862C1" w:rsidRPr="0078562D" w:rsidRDefault="00F862C1" w:rsidP="00F862C1">
      <w:pPr>
        <w:jc w:val="both"/>
        <w:rPr>
          <w:rFonts w:asciiTheme="majorHAnsi" w:hAnsiTheme="majorHAnsi" w:cstheme="majorHAnsi"/>
          <w:sz w:val="20"/>
          <w:szCs w:val="20"/>
        </w:rPr>
      </w:pPr>
    </w:p>
    <w:p w14:paraId="4817E4A0" w14:textId="25DA1A92"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Otra limitación significativa son las altas demandas computacionales. La discretización completa de todas las fases de un compuesto puede generar un alto número de elementos finitos, incrementando la complejidad y los tiempos de simulación. La generación de mallas detalladas para modelos a gran escala o geometrías complejas puede ser intensiva en tiempo y recursos computacionales, lo que limita su aplicabilidad en ciertas industrias </w:t>
      </w:r>
      <w:r w:rsidRPr="0078562D">
        <w:rPr>
          <w:rFonts w:asciiTheme="majorHAnsi" w:hAnsiTheme="majorHAnsi" w:cstheme="majorHAnsi"/>
          <w:b/>
          <w:bCs/>
          <w:sz w:val="20"/>
          <w:szCs w:val="20"/>
        </w:rPr>
        <w:t>[5</w:t>
      </w:r>
      <w:r w:rsidR="00741422" w:rsidRPr="0078562D">
        <w:rPr>
          <w:rFonts w:asciiTheme="majorHAnsi" w:hAnsiTheme="majorHAnsi" w:cstheme="majorHAnsi"/>
          <w:b/>
          <w:bCs/>
          <w:sz w:val="20"/>
          <w:szCs w:val="20"/>
        </w:rPr>
        <w:t>6</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66F8E127" w14:textId="77777777" w:rsidR="00F862C1" w:rsidRPr="0078562D" w:rsidRDefault="00F862C1" w:rsidP="00F862C1">
      <w:pPr>
        <w:jc w:val="both"/>
        <w:rPr>
          <w:rFonts w:asciiTheme="majorHAnsi" w:hAnsiTheme="majorHAnsi" w:cstheme="majorHAnsi"/>
          <w:sz w:val="20"/>
          <w:szCs w:val="20"/>
        </w:rPr>
      </w:pPr>
    </w:p>
    <w:p w14:paraId="57AAA424" w14:textId="41D5A58A"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El FEM también depende de la calidad de los datos de entrada. La precisión del método está estrechamente vinculada a la calidad de las propiedades del material y las condiciones de contorno, que pueden ser difíciles de obtener en compuestos heterogéneos. Además, los errores numéricos asociados al tamaño de la malla y al tipo de elemento pueden afectar la convergencia y la estabilidad de las soluciones </w:t>
      </w:r>
      <w:r w:rsidRPr="0078562D">
        <w:rPr>
          <w:rFonts w:asciiTheme="majorHAnsi" w:hAnsiTheme="majorHAnsi" w:cstheme="majorHAnsi"/>
          <w:b/>
          <w:bCs/>
          <w:sz w:val="20"/>
          <w:szCs w:val="20"/>
        </w:rPr>
        <w:t>[5</w:t>
      </w:r>
      <w:r w:rsidR="00741422" w:rsidRPr="0078562D">
        <w:rPr>
          <w:rFonts w:asciiTheme="majorHAnsi" w:hAnsiTheme="majorHAnsi" w:cstheme="majorHAnsi"/>
          <w:b/>
          <w:bCs/>
          <w:sz w:val="20"/>
          <w:szCs w:val="20"/>
        </w:rPr>
        <w:t>7</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3CA05FFD" w14:textId="77777777" w:rsidR="00F862C1" w:rsidRPr="0078562D" w:rsidRDefault="00F862C1" w:rsidP="00F862C1">
      <w:pPr>
        <w:jc w:val="both"/>
        <w:rPr>
          <w:rFonts w:asciiTheme="majorHAnsi" w:hAnsiTheme="majorHAnsi" w:cstheme="majorHAnsi"/>
          <w:sz w:val="20"/>
          <w:szCs w:val="20"/>
        </w:rPr>
      </w:pPr>
    </w:p>
    <w:p w14:paraId="00AAEC5F" w14:textId="44B47A8D" w:rsidR="002B4CFC"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Las simulaciones FEM requieren validación experimental para garantizar la precisión y evitar interpretaciones erróneas. Esto implica complementar el trabajo computacional con datos experimentales, lo que añade tiempo y esfuerzo al proceso </w:t>
      </w:r>
      <w:r w:rsidRPr="0078562D">
        <w:rPr>
          <w:rFonts w:asciiTheme="majorHAnsi" w:hAnsiTheme="majorHAnsi" w:cstheme="majorHAnsi"/>
          <w:b/>
          <w:bCs/>
          <w:sz w:val="20"/>
          <w:szCs w:val="20"/>
        </w:rPr>
        <w:t>[</w:t>
      </w:r>
      <w:r w:rsidR="00741422" w:rsidRPr="0078562D">
        <w:rPr>
          <w:rFonts w:asciiTheme="majorHAnsi" w:hAnsiTheme="majorHAnsi" w:cstheme="majorHAnsi"/>
          <w:b/>
          <w:bCs/>
          <w:sz w:val="20"/>
          <w:szCs w:val="20"/>
        </w:rPr>
        <w:t>58</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3C1C8115" w14:textId="77777777" w:rsidR="00F862C1" w:rsidRPr="0078562D" w:rsidRDefault="00F862C1" w:rsidP="00F862C1">
      <w:pPr>
        <w:jc w:val="both"/>
        <w:rPr>
          <w:rFonts w:asciiTheme="majorHAnsi" w:hAnsiTheme="majorHAnsi" w:cstheme="majorHAnsi"/>
          <w:b/>
          <w:sz w:val="20"/>
          <w:szCs w:val="20"/>
        </w:rPr>
      </w:pPr>
    </w:p>
    <w:p w14:paraId="5E488046" w14:textId="77777777" w:rsidR="000F2E71" w:rsidRPr="0078562D" w:rsidRDefault="000F2E71" w:rsidP="000F2E71">
      <w:pPr>
        <w:pStyle w:val="Prrafodelista"/>
        <w:numPr>
          <w:ilvl w:val="0"/>
          <w:numId w:val="11"/>
        </w:numPr>
        <w:jc w:val="both"/>
        <w:rPr>
          <w:rFonts w:asciiTheme="majorHAnsi" w:hAnsiTheme="majorHAnsi" w:cstheme="majorHAnsi"/>
          <w:sz w:val="20"/>
          <w:szCs w:val="20"/>
          <w:lang w:val="es-CO"/>
        </w:rPr>
      </w:pPr>
      <w:r w:rsidRPr="0078562D">
        <w:rPr>
          <w:rFonts w:asciiTheme="majorHAnsi" w:hAnsiTheme="majorHAnsi" w:cstheme="majorHAnsi"/>
          <w:sz w:val="20"/>
          <w:szCs w:val="20"/>
          <w:lang w:val="es-CO"/>
        </w:rPr>
        <w:t xml:space="preserve">Técnicas de inteligencia artificial: </w:t>
      </w:r>
    </w:p>
    <w:p w14:paraId="1E6DD4E0" w14:textId="77777777" w:rsidR="000F2E71" w:rsidRPr="0078562D" w:rsidRDefault="000F2E71" w:rsidP="00A833EB">
      <w:pPr>
        <w:jc w:val="both"/>
        <w:rPr>
          <w:rFonts w:asciiTheme="majorHAnsi" w:hAnsiTheme="majorHAnsi" w:cstheme="majorHAnsi"/>
          <w:sz w:val="20"/>
          <w:szCs w:val="20"/>
          <w:lang w:val="es-CO"/>
        </w:rPr>
      </w:pPr>
    </w:p>
    <w:p w14:paraId="73762F06" w14:textId="25120213"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Una de las principales ventajas de la IA es su capacidad para analizar grandes volúmenes de datos y detectar patrones complejos. Por ejemplo, el </w:t>
      </w:r>
      <w:r w:rsidRPr="0078562D">
        <w:rPr>
          <w:rFonts w:asciiTheme="majorHAnsi" w:hAnsiTheme="majorHAnsi" w:cstheme="majorHAnsi"/>
          <w:sz w:val="20"/>
          <w:szCs w:val="20"/>
        </w:rPr>
        <w:t xml:space="preserve">aprendizaje automático permite identificar relaciones en conjuntos de datos masivos que son difíciles de detectar con métodos tradicionales, facilitando el diseño de materiales con propiedades específicas superiores </w:t>
      </w:r>
      <w:r w:rsidRPr="0078562D">
        <w:rPr>
          <w:rFonts w:asciiTheme="majorHAnsi" w:hAnsiTheme="majorHAnsi" w:cstheme="majorHAnsi"/>
          <w:b/>
          <w:bCs/>
          <w:sz w:val="20"/>
          <w:szCs w:val="20"/>
        </w:rPr>
        <w:t>[</w:t>
      </w:r>
      <w:r w:rsidR="00741422" w:rsidRPr="0078562D">
        <w:rPr>
          <w:rFonts w:asciiTheme="majorHAnsi" w:hAnsiTheme="majorHAnsi" w:cstheme="majorHAnsi"/>
          <w:b/>
          <w:bCs/>
          <w:sz w:val="20"/>
          <w:szCs w:val="20"/>
        </w:rPr>
        <w:t>59</w:t>
      </w:r>
      <w:r w:rsidRPr="0078562D">
        <w:rPr>
          <w:rFonts w:asciiTheme="majorHAnsi" w:hAnsiTheme="majorHAnsi" w:cstheme="majorHAnsi"/>
          <w:b/>
          <w:bCs/>
          <w:sz w:val="20"/>
          <w:szCs w:val="20"/>
        </w:rPr>
        <w:t>]</w:t>
      </w:r>
      <w:r w:rsidRPr="0078562D">
        <w:rPr>
          <w:rFonts w:asciiTheme="majorHAnsi" w:hAnsiTheme="majorHAnsi" w:cstheme="majorHAnsi"/>
          <w:sz w:val="20"/>
          <w:szCs w:val="20"/>
        </w:rPr>
        <w:t xml:space="preserve">. </w:t>
      </w:r>
    </w:p>
    <w:p w14:paraId="16C39609" w14:textId="77777777" w:rsidR="00F862C1" w:rsidRPr="0078562D" w:rsidRDefault="00F862C1" w:rsidP="00F862C1">
      <w:pPr>
        <w:jc w:val="both"/>
        <w:rPr>
          <w:rFonts w:asciiTheme="majorHAnsi" w:hAnsiTheme="majorHAnsi" w:cstheme="majorHAnsi"/>
          <w:sz w:val="20"/>
          <w:szCs w:val="20"/>
        </w:rPr>
      </w:pPr>
    </w:p>
    <w:p w14:paraId="17F7017A" w14:textId="77777777"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Otra ventaja es la reducción de costos y tiempo en pruebas experimentales, ya que la IA puede utilizar datos existentes para realizar predicciones, acelerando significativamente el desarrollo de nuevos materiales </w:t>
      </w:r>
      <w:r w:rsidRPr="0078562D">
        <w:rPr>
          <w:rFonts w:asciiTheme="majorHAnsi" w:hAnsiTheme="majorHAnsi" w:cstheme="majorHAnsi"/>
          <w:b/>
          <w:bCs/>
          <w:sz w:val="20"/>
          <w:szCs w:val="20"/>
        </w:rPr>
        <w:t>[26]</w:t>
      </w:r>
      <w:r w:rsidRPr="0078562D">
        <w:rPr>
          <w:rFonts w:asciiTheme="majorHAnsi" w:hAnsiTheme="majorHAnsi" w:cstheme="majorHAnsi"/>
          <w:sz w:val="20"/>
          <w:szCs w:val="20"/>
        </w:rPr>
        <w:t xml:space="preserve">. </w:t>
      </w:r>
    </w:p>
    <w:p w14:paraId="351E0A44" w14:textId="77777777" w:rsidR="00F862C1" w:rsidRPr="0078562D" w:rsidRDefault="00F862C1" w:rsidP="00F862C1">
      <w:pPr>
        <w:jc w:val="both"/>
        <w:rPr>
          <w:rFonts w:asciiTheme="majorHAnsi" w:hAnsiTheme="majorHAnsi" w:cstheme="majorHAnsi"/>
          <w:sz w:val="20"/>
          <w:szCs w:val="20"/>
        </w:rPr>
      </w:pPr>
    </w:p>
    <w:p w14:paraId="7A006861" w14:textId="434EAE1D"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La inteligencia artificial destaca por su adaptabilidad a nuevos materiales y condiciones, una ventaja clave en el dinámico campo de los materiales compuestos. Además, los algoritmos de aprendizaje automático mejoran continuamente sus predicciones al aprender de los datos, descubriendo relaciones ocultas entre estructura y propiedades </w:t>
      </w:r>
      <w:r w:rsidRPr="0078562D">
        <w:rPr>
          <w:rFonts w:asciiTheme="majorHAnsi" w:hAnsiTheme="majorHAnsi" w:cstheme="majorHAnsi"/>
          <w:b/>
          <w:bCs/>
          <w:sz w:val="20"/>
          <w:szCs w:val="20"/>
        </w:rPr>
        <w:t>[</w:t>
      </w:r>
      <w:r w:rsidR="00741422" w:rsidRPr="0078562D">
        <w:rPr>
          <w:rFonts w:asciiTheme="majorHAnsi" w:hAnsiTheme="majorHAnsi" w:cstheme="majorHAnsi"/>
          <w:b/>
          <w:bCs/>
          <w:sz w:val="20"/>
          <w:szCs w:val="20"/>
        </w:rPr>
        <w:t>27</w:t>
      </w:r>
      <w:r w:rsidRPr="0078562D">
        <w:rPr>
          <w:rFonts w:asciiTheme="majorHAnsi" w:hAnsiTheme="majorHAnsi" w:cstheme="majorHAnsi"/>
          <w:b/>
          <w:bCs/>
          <w:sz w:val="20"/>
          <w:szCs w:val="20"/>
        </w:rPr>
        <w:t>]</w:t>
      </w:r>
      <w:r w:rsidRPr="0078562D">
        <w:rPr>
          <w:rFonts w:asciiTheme="majorHAnsi" w:hAnsiTheme="majorHAnsi" w:cstheme="majorHAnsi"/>
          <w:sz w:val="20"/>
          <w:szCs w:val="20"/>
        </w:rPr>
        <w:t xml:space="preserve">. </w:t>
      </w:r>
    </w:p>
    <w:p w14:paraId="3422771F" w14:textId="77777777" w:rsidR="00F862C1" w:rsidRPr="0078562D" w:rsidRDefault="00F862C1" w:rsidP="00F862C1">
      <w:pPr>
        <w:jc w:val="both"/>
        <w:rPr>
          <w:rFonts w:asciiTheme="majorHAnsi" w:hAnsiTheme="majorHAnsi" w:cstheme="majorHAnsi"/>
          <w:sz w:val="20"/>
          <w:szCs w:val="20"/>
        </w:rPr>
      </w:pPr>
    </w:p>
    <w:p w14:paraId="7CB140E1" w14:textId="16308151"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A pesar de sus ventajas, la inteligencia artificial enfrenta desafíos importantes, como la necesidad de datos de alta calidad. La falta de datos representativos puede generar predicciones erróneas, y el uso de conjuntos pequeños aumenta el riesgo de sobreajuste, afectando su capacidad de </w:t>
      </w:r>
      <w:r w:rsidR="00B35219" w:rsidRPr="0078562D">
        <w:rPr>
          <w:rFonts w:asciiTheme="majorHAnsi" w:hAnsiTheme="majorHAnsi" w:cstheme="majorHAnsi"/>
          <w:sz w:val="20"/>
          <w:szCs w:val="20"/>
        </w:rPr>
        <w:t xml:space="preserve">generalización </w:t>
      </w:r>
      <w:r w:rsidR="00B35219" w:rsidRPr="0078562D">
        <w:rPr>
          <w:rFonts w:asciiTheme="majorHAnsi" w:hAnsiTheme="majorHAnsi" w:cstheme="majorHAnsi"/>
          <w:b/>
          <w:bCs/>
          <w:sz w:val="20"/>
          <w:szCs w:val="20"/>
        </w:rPr>
        <w:t>[</w:t>
      </w:r>
      <w:r w:rsidRPr="0078562D">
        <w:rPr>
          <w:rFonts w:asciiTheme="majorHAnsi" w:hAnsiTheme="majorHAnsi" w:cstheme="majorHAnsi"/>
          <w:b/>
          <w:bCs/>
          <w:sz w:val="20"/>
          <w:szCs w:val="20"/>
        </w:rPr>
        <w:t>6</w:t>
      </w:r>
      <w:r w:rsidR="00741422" w:rsidRPr="0078562D">
        <w:rPr>
          <w:rFonts w:asciiTheme="majorHAnsi" w:hAnsiTheme="majorHAnsi" w:cstheme="majorHAnsi"/>
          <w:b/>
          <w:bCs/>
          <w:sz w:val="20"/>
          <w:szCs w:val="20"/>
        </w:rPr>
        <w:t>0</w:t>
      </w:r>
      <w:r w:rsidRPr="0078562D">
        <w:rPr>
          <w:rFonts w:asciiTheme="majorHAnsi" w:hAnsiTheme="majorHAnsi" w:cstheme="majorHAnsi"/>
          <w:b/>
          <w:bCs/>
          <w:sz w:val="20"/>
          <w:szCs w:val="20"/>
        </w:rPr>
        <w:t>],</w:t>
      </w:r>
      <w:r w:rsidR="00941DA7" w:rsidRPr="0078562D">
        <w:rPr>
          <w:rFonts w:asciiTheme="majorHAnsi" w:hAnsiTheme="majorHAnsi" w:cstheme="majorHAnsi"/>
          <w:b/>
          <w:bCs/>
          <w:sz w:val="20"/>
          <w:szCs w:val="20"/>
        </w:rPr>
        <w:t xml:space="preserve"> </w:t>
      </w:r>
      <w:r w:rsidRPr="0078562D">
        <w:rPr>
          <w:rFonts w:asciiTheme="majorHAnsi" w:hAnsiTheme="majorHAnsi" w:cstheme="majorHAnsi"/>
          <w:b/>
          <w:bCs/>
          <w:sz w:val="20"/>
          <w:szCs w:val="20"/>
        </w:rPr>
        <w:t>[6</w:t>
      </w:r>
      <w:r w:rsidR="00741422" w:rsidRPr="0078562D">
        <w:rPr>
          <w:rFonts w:asciiTheme="majorHAnsi" w:hAnsiTheme="majorHAnsi" w:cstheme="majorHAnsi"/>
          <w:b/>
          <w:bCs/>
          <w:sz w:val="20"/>
          <w:szCs w:val="20"/>
        </w:rPr>
        <w:t>1</w:t>
      </w:r>
      <w:r w:rsidRPr="0078562D">
        <w:rPr>
          <w:rFonts w:asciiTheme="majorHAnsi" w:hAnsiTheme="majorHAnsi" w:cstheme="majorHAnsi"/>
          <w:b/>
          <w:bCs/>
          <w:sz w:val="20"/>
          <w:szCs w:val="20"/>
        </w:rPr>
        <w:t>]</w:t>
      </w:r>
      <w:r w:rsidR="00E969A3" w:rsidRPr="0078562D">
        <w:rPr>
          <w:rFonts w:asciiTheme="majorHAnsi" w:hAnsiTheme="majorHAnsi" w:cstheme="majorHAnsi"/>
          <w:b/>
          <w:bCs/>
          <w:sz w:val="20"/>
          <w:szCs w:val="20"/>
        </w:rPr>
        <w:t>.</w:t>
      </w:r>
      <w:r w:rsidRPr="0078562D">
        <w:rPr>
          <w:rFonts w:asciiTheme="majorHAnsi" w:hAnsiTheme="majorHAnsi" w:cstheme="majorHAnsi"/>
          <w:sz w:val="20"/>
          <w:szCs w:val="20"/>
        </w:rPr>
        <w:t xml:space="preserve"> </w:t>
      </w:r>
    </w:p>
    <w:p w14:paraId="2FAF7178" w14:textId="77777777" w:rsidR="00F862C1" w:rsidRPr="0078562D" w:rsidRDefault="00F862C1" w:rsidP="00F862C1">
      <w:pPr>
        <w:jc w:val="both"/>
        <w:rPr>
          <w:rFonts w:asciiTheme="majorHAnsi" w:hAnsiTheme="majorHAnsi" w:cstheme="majorHAnsi"/>
          <w:sz w:val="20"/>
          <w:szCs w:val="20"/>
        </w:rPr>
      </w:pPr>
    </w:p>
    <w:p w14:paraId="3712EA74" w14:textId="123938FE"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Otra desventaja, especialmente en el caso del aprendizaje profundo, es su limitada interpretabilidad, lo que dificulta comprender cómo se generan las predicciones y restringe su uso en contextos críticos. Asimismo, su desempeño es altamente sensible a la elección del algoritmo y de los </w:t>
      </w:r>
      <w:proofErr w:type="spellStart"/>
      <w:r w:rsidRPr="0078562D">
        <w:rPr>
          <w:rFonts w:asciiTheme="majorHAnsi" w:hAnsiTheme="majorHAnsi" w:cstheme="majorHAnsi"/>
          <w:sz w:val="20"/>
          <w:szCs w:val="20"/>
        </w:rPr>
        <w:t>hiperparámetros</w:t>
      </w:r>
      <w:proofErr w:type="spellEnd"/>
      <w:r w:rsidRPr="0078562D">
        <w:rPr>
          <w:rFonts w:asciiTheme="majorHAnsi" w:hAnsiTheme="majorHAnsi" w:cstheme="majorHAnsi"/>
          <w:sz w:val="20"/>
          <w:szCs w:val="20"/>
        </w:rPr>
        <w:t xml:space="preserve">, cuyo ajuste puede requerir un alto costo computacional y afectar significativamente los resultados </w:t>
      </w:r>
      <w:r w:rsidRPr="0078562D">
        <w:rPr>
          <w:rFonts w:asciiTheme="majorHAnsi" w:hAnsiTheme="majorHAnsi" w:cstheme="majorHAnsi"/>
          <w:b/>
          <w:bCs/>
          <w:sz w:val="20"/>
          <w:szCs w:val="20"/>
        </w:rPr>
        <w:t>[6</w:t>
      </w:r>
      <w:r w:rsidR="00741422" w:rsidRPr="0078562D">
        <w:rPr>
          <w:rFonts w:asciiTheme="majorHAnsi" w:hAnsiTheme="majorHAnsi" w:cstheme="majorHAnsi"/>
          <w:b/>
          <w:bCs/>
          <w:sz w:val="20"/>
          <w:szCs w:val="20"/>
        </w:rPr>
        <w:t>2</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6E1AFD83" w14:textId="1C7C8806" w:rsidR="0072408A" w:rsidRDefault="0072408A" w:rsidP="00F862C1">
      <w:pPr>
        <w:jc w:val="both"/>
        <w:rPr>
          <w:rFonts w:asciiTheme="majorHAnsi" w:hAnsiTheme="majorHAnsi" w:cstheme="majorHAnsi"/>
          <w:sz w:val="20"/>
          <w:szCs w:val="20"/>
        </w:rPr>
      </w:pPr>
    </w:p>
    <w:p w14:paraId="707B045A" w14:textId="77777777" w:rsidR="0072408A" w:rsidRPr="0078562D" w:rsidRDefault="0072408A" w:rsidP="00F862C1">
      <w:pPr>
        <w:jc w:val="both"/>
        <w:rPr>
          <w:rFonts w:asciiTheme="majorHAnsi" w:hAnsiTheme="majorHAnsi" w:cstheme="majorHAnsi"/>
          <w:sz w:val="20"/>
          <w:szCs w:val="20"/>
        </w:rPr>
      </w:pPr>
    </w:p>
    <w:p w14:paraId="7CE0C5FE" w14:textId="77777777" w:rsidR="0072408A" w:rsidRDefault="0072408A" w:rsidP="00F862C1">
      <w:pPr>
        <w:jc w:val="both"/>
        <w:rPr>
          <w:rFonts w:asciiTheme="majorHAnsi" w:hAnsiTheme="majorHAnsi" w:cstheme="majorHAnsi"/>
          <w:sz w:val="20"/>
          <w:szCs w:val="20"/>
        </w:rPr>
      </w:pPr>
    </w:p>
    <w:p w14:paraId="06965E13" w14:textId="2650C174" w:rsidR="0072408A" w:rsidRDefault="0072408A" w:rsidP="00F862C1">
      <w:pPr>
        <w:jc w:val="both"/>
        <w:rPr>
          <w:rFonts w:asciiTheme="majorHAnsi" w:hAnsiTheme="majorHAnsi" w:cstheme="majorHAnsi"/>
          <w:sz w:val="20"/>
          <w:szCs w:val="20"/>
        </w:rPr>
      </w:pPr>
    </w:p>
    <w:p w14:paraId="031A577C" w14:textId="249AE972" w:rsidR="004B516D" w:rsidRDefault="004B516D" w:rsidP="00F862C1">
      <w:pPr>
        <w:jc w:val="both"/>
        <w:rPr>
          <w:rFonts w:asciiTheme="majorHAnsi" w:hAnsiTheme="majorHAnsi" w:cstheme="majorHAnsi"/>
          <w:sz w:val="20"/>
          <w:szCs w:val="20"/>
        </w:rPr>
      </w:pPr>
    </w:p>
    <w:p w14:paraId="65FA7323" w14:textId="541FE373" w:rsidR="004B516D" w:rsidRDefault="004B516D" w:rsidP="00F862C1">
      <w:pPr>
        <w:jc w:val="both"/>
        <w:rPr>
          <w:rFonts w:asciiTheme="majorHAnsi" w:hAnsiTheme="majorHAnsi" w:cstheme="majorHAnsi"/>
          <w:sz w:val="20"/>
          <w:szCs w:val="20"/>
        </w:rPr>
      </w:pPr>
    </w:p>
    <w:p w14:paraId="66659588" w14:textId="62266BAE" w:rsidR="004B516D" w:rsidRDefault="004B516D" w:rsidP="00F862C1">
      <w:pPr>
        <w:jc w:val="both"/>
        <w:rPr>
          <w:rFonts w:asciiTheme="majorHAnsi" w:hAnsiTheme="majorHAnsi" w:cstheme="majorHAnsi"/>
          <w:sz w:val="20"/>
          <w:szCs w:val="20"/>
        </w:rPr>
      </w:pPr>
    </w:p>
    <w:p w14:paraId="76FDD3EA" w14:textId="02B7B2D2" w:rsidR="004B516D" w:rsidRDefault="004B516D" w:rsidP="00F862C1">
      <w:pPr>
        <w:jc w:val="both"/>
        <w:rPr>
          <w:rFonts w:asciiTheme="majorHAnsi" w:hAnsiTheme="majorHAnsi" w:cstheme="majorHAnsi"/>
          <w:sz w:val="20"/>
          <w:szCs w:val="20"/>
        </w:rPr>
      </w:pPr>
    </w:p>
    <w:p w14:paraId="5C53CAAD" w14:textId="15932505" w:rsidR="004B516D" w:rsidRDefault="004B516D" w:rsidP="00F862C1">
      <w:pPr>
        <w:jc w:val="both"/>
        <w:rPr>
          <w:rFonts w:asciiTheme="majorHAnsi" w:hAnsiTheme="majorHAnsi" w:cstheme="majorHAnsi"/>
          <w:sz w:val="20"/>
          <w:szCs w:val="20"/>
        </w:rPr>
      </w:pPr>
    </w:p>
    <w:p w14:paraId="48FFF6F3" w14:textId="1EB1A2B8" w:rsidR="004B516D" w:rsidRDefault="004B516D" w:rsidP="00F862C1">
      <w:pPr>
        <w:jc w:val="both"/>
        <w:rPr>
          <w:rFonts w:asciiTheme="majorHAnsi" w:hAnsiTheme="majorHAnsi" w:cstheme="majorHAnsi"/>
          <w:sz w:val="20"/>
          <w:szCs w:val="20"/>
        </w:rPr>
      </w:pPr>
    </w:p>
    <w:p w14:paraId="1FBC298A" w14:textId="10924B8F" w:rsidR="004B516D" w:rsidRDefault="004B516D" w:rsidP="00F862C1">
      <w:pPr>
        <w:jc w:val="both"/>
        <w:rPr>
          <w:rFonts w:asciiTheme="majorHAnsi" w:hAnsiTheme="majorHAnsi" w:cstheme="majorHAnsi"/>
          <w:sz w:val="20"/>
          <w:szCs w:val="20"/>
        </w:rPr>
      </w:pPr>
    </w:p>
    <w:p w14:paraId="576957CF" w14:textId="7F5A7623" w:rsidR="004B516D" w:rsidRDefault="004B516D" w:rsidP="00F862C1">
      <w:pPr>
        <w:jc w:val="both"/>
        <w:rPr>
          <w:rFonts w:asciiTheme="majorHAnsi" w:hAnsiTheme="majorHAnsi" w:cstheme="majorHAnsi"/>
          <w:sz w:val="20"/>
          <w:szCs w:val="20"/>
        </w:rPr>
      </w:pPr>
    </w:p>
    <w:p w14:paraId="4C732A07" w14:textId="79203E8F" w:rsidR="004B516D" w:rsidRDefault="004B516D" w:rsidP="00F862C1">
      <w:pPr>
        <w:jc w:val="both"/>
        <w:rPr>
          <w:rFonts w:asciiTheme="majorHAnsi" w:hAnsiTheme="majorHAnsi" w:cstheme="majorHAnsi"/>
          <w:sz w:val="20"/>
          <w:szCs w:val="20"/>
        </w:rPr>
      </w:pPr>
    </w:p>
    <w:p w14:paraId="650CE2FE" w14:textId="3A6D0B9B" w:rsidR="004B516D" w:rsidRDefault="004B516D" w:rsidP="00F862C1">
      <w:pPr>
        <w:jc w:val="both"/>
        <w:rPr>
          <w:rFonts w:asciiTheme="majorHAnsi" w:hAnsiTheme="majorHAnsi" w:cstheme="majorHAnsi"/>
          <w:sz w:val="20"/>
          <w:szCs w:val="20"/>
        </w:rPr>
      </w:pPr>
    </w:p>
    <w:p w14:paraId="04631147" w14:textId="679A8DB5" w:rsidR="004B516D" w:rsidRDefault="004B516D" w:rsidP="00F862C1">
      <w:pPr>
        <w:jc w:val="both"/>
        <w:rPr>
          <w:rFonts w:asciiTheme="majorHAnsi" w:hAnsiTheme="majorHAnsi" w:cstheme="majorHAnsi"/>
          <w:sz w:val="20"/>
          <w:szCs w:val="20"/>
        </w:rPr>
      </w:pPr>
    </w:p>
    <w:p w14:paraId="2F3B4C72" w14:textId="77777777" w:rsidR="004B516D" w:rsidRDefault="004B516D" w:rsidP="00F862C1">
      <w:pPr>
        <w:jc w:val="both"/>
        <w:rPr>
          <w:rFonts w:asciiTheme="majorHAnsi" w:hAnsiTheme="majorHAnsi" w:cstheme="majorHAnsi"/>
          <w:sz w:val="20"/>
          <w:szCs w:val="20"/>
        </w:rPr>
      </w:pPr>
    </w:p>
    <w:p w14:paraId="4F04DEBB" w14:textId="1D747652" w:rsidR="0072408A" w:rsidRPr="0078562D" w:rsidRDefault="0072408A" w:rsidP="0072408A">
      <w:pPr>
        <w:jc w:val="both"/>
        <w:rPr>
          <w:rFonts w:asciiTheme="majorHAnsi" w:hAnsiTheme="majorHAnsi" w:cstheme="majorHAnsi"/>
          <w:b/>
          <w:sz w:val="20"/>
          <w:szCs w:val="20"/>
        </w:rPr>
      </w:pPr>
      <w:r w:rsidRPr="0078562D">
        <w:rPr>
          <w:rFonts w:asciiTheme="majorHAnsi" w:hAnsiTheme="majorHAnsi" w:cstheme="majorHAnsi"/>
          <w:b/>
          <w:sz w:val="20"/>
          <w:szCs w:val="20"/>
        </w:rPr>
        <w:lastRenderedPageBreak/>
        <w:t xml:space="preserve">Tabla 1: </w:t>
      </w:r>
      <w:r w:rsidRPr="0078562D">
        <w:rPr>
          <w:rFonts w:asciiTheme="majorHAnsi" w:hAnsiTheme="majorHAnsi" w:cstheme="majorHAnsi"/>
          <w:sz w:val="20"/>
          <w:szCs w:val="20"/>
        </w:rPr>
        <w:t>Comparación de las metodologías</w:t>
      </w:r>
      <w:r w:rsidRPr="0078562D">
        <w:rPr>
          <w:rFonts w:asciiTheme="majorHAnsi" w:hAnsiTheme="majorHAnsi" w:cstheme="majorHAnsi"/>
          <w:b/>
          <w:sz w:val="20"/>
          <w:szCs w:val="20"/>
        </w:rPr>
        <w:t xml:space="preserve"> </w:t>
      </w:r>
    </w:p>
    <w:p w14:paraId="0E3039BC" w14:textId="77777777" w:rsidR="0072408A" w:rsidRDefault="0072408A" w:rsidP="00F862C1">
      <w:pPr>
        <w:jc w:val="both"/>
        <w:rPr>
          <w:rFonts w:asciiTheme="majorHAnsi" w:hAnsiTheme="majorHAnsi" w:cstheme="majorHAnsi"/>
          <w:sz w:val="20"/>
          <w:szCs w:val="20"/>
        </w:rPr>
      </w:pPr>
    </w:p>
    <w:p w14:paraId="6BB94193" w14:textId="51A3A650" w:rsidR="00F862C1"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Integrar la inteligencia artificial con metodologías tradicionales es un desafío porque combina enfoques empíricos con modelos basados en principios físicos. Por ejemplo, fusionar simulaciones de dinámica molecular con IA exige un conocimiento profundo de ambas técnicas </w:t>
      </w:r>
      <w:r w:rsidRPr="0078562D">
        <w:rPr>
          <w:rFonts w:asciiTheme="majorHAnsi" w:hAnsiTheme="majorHAnsi" w:cstheme="majorHAnsi"/>
          <w:b/>
          <w:bCs/>
          <w:sz w:val="20"/>
          <w:szCs w:val="20"/>
        </w:rPr>
        <w:t>[</w:t>
      </w:r>
      <w:r w:rsidR="00741422" w:rsidRPr="0078562D">
        <w:rPr>
          <w:rFonts w:asciiTheme="majorHAnsi" w:hAnsiTheme="majorHAnsi" w:cstheme="majorHAnsi"/>
          <w:b/>
          <w:bCs/>
          <w:sz w:val="20"/>
          <w:szCs w:val="20"/>
        </w:rPr>
        <w:t>27</w:t>
      </w:r>
      <w:r w:rsidR="00AC19C1" w:rsidRPr="0078562D">
        <w:rPr>
          <w:rFonts w:asciiTheme="majorHAnsi" w:hAnsiTheme="majorHAnsi" w:cstheme="majorHAnsi"/>
          <w:b/>
          <w:bCs/>
          <w:sz w:val="20"/>
          <w:szCs w:val="20"/>
        </w:rPr>
        <w:t>]</w:t>
      </w:r>
      <w:r w:rsidR="00AC19C1" w:rsidRPr="0078562D">
        <w:rPr>
          <w:rFonts w:asciiTheme="majorHAnsi" w:hAnsiTheme="majorHAnsi" w:cstheme="majorHAnsi"/>
          <w:sz w:val="20"/>
          <w:szCs w:val="20"/>
        </w:rPr>
        <w:t>.</w:t>
      </w:r>
      <w:r w:rsidRPr="0078562D">
        <w:rPr>
          <w:rFonts w:asciiTheme="majorHAnsi" w:hAnsiTheme="majorHAnsi" w:cstheme="majorHAnsi"/>
          <w:sz w:val="20"/>
          <w:szCs w:val="20"/>
        </w:rPr>
        <w:t xml:space="preserve"> Además, aunque la IA puede modelar relaciones complejas entre composición y propiedad, suele fallar al captar relaciones sistemáticas entre estructura y propiedad, fundamentales para predecir el comportamiento de los materiales </w:t>
      </w:r>
      <w:r w:rsidRPr="0078562D">
        <w:rPr>
          <w:rFonts w:asciiTheme="majorHAnsi" w:hAnsiTheme="majorHAnsi" w:cstheme="majorHAnsi"/>
          <w:b/>
          <w:bCs/>
          <w:sz w:val="20"/>
          <w:szCs w:val="20"/>
        </w:rPr>
        <w:t>[6</w:t>
      </w:r>
      <w:r w:rsidR="00741422" w:rsidRPr="0078562D">
        <w:rPr>
          <w:rFonts w:asciiTheme="majorHAnsi" w:hAnsiTheme="majorHAnsi" w:cstheme="majorHAnsi"/>
          <w:b/>
          <w:bCs/>
          <w:sz w:val="20"/>
          <w:szCs w:val="20"/>
        </w:rPr>
        <w:t>3</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6B57CD29" w14:textId="77777777" w:rsidR="00F862C1" w:rsidRPr="0078562D" w:rsidRDefault="00F862C1" w:rsidP="00F862C1">
      <w:pPr>
        <w:jc w:val="both"/>
        <w:rPr>
          <w:rFonts w:asciiTheme="majorHAnsi" w:hAnsiTheme="majorHAnsi" w:cstheme="majorHAnsi"/>
          <w:sz w:val="20"/>
          <w:szCs w:val="20"/>
        </w:rPr>
      </w:pPr>
    </w:p>
    <w:p w14:paraId="6DA318BE" w14:textId="3881A619" w:rsidR="00B96C83" w:rsidRPr="0078562D" w:rsidRDefault="00F862C1" w:rsidP="00F862C1">
      <w:pPr>
        <w:jc w:val="both"/>
        <w:rPr>
          <w:rFonts w:asciiTheme="majorHAnsi" w:hAnsiTheme="majorHAnsi" w:cstheme="majorHAnsi"/>
          <w:sz w:val="20"/>
          <w:szCs w:val="20"/>
        </w:rPr>
      </w:pPr>
      <w:r w:rsidRPr="0078562D">
        <w:rPr>
          <w:rFonts w:asciiTheme="majorHAnsi" w:hAnsiTheme="majorHAnsi" w:cstheme="majorHAnsi"/>
          <w:sz w:val="20"/>
          <w:szCs w:val="20"/>
        </w:rPr>
        <w:t xml:space="preserve">Los altos costos computacionales del entrenamiento de modelos de aprendizaje profundo son una barrera importante, especialmente para arquitecturas complejas que requieren recursos de alto rendimiento, lo que puede limitar su adopción </w:t>
      </w:r>
      <w:r w:rsidRPr="0078562D">
        <w:rPr>
          <w:rFonts w:asciiTheme="majorHAnsi" w:hAnsiTheme="majorHAnsi" w:cstheme="majorHAnsi"/>
          <w:b/>
          <w:bCs/>
          <w:sz w:val="20"/>
          <w:szCs w:val="20"/>
        </w:rPr>
        <w:t>[6</w:t>
      </w:r>
      <w:r w:rsidR="00741422" w:rsidRPr="0078562D">
        <w:rPr>
          <w:rFonts w:asciiTheme="majorHAnsi" w:hAnsiTheme="majorHAnsi" w:cstheme="majorHAnsi"/>
          <w:b/>
          <w:bCs/>
          <w:sz w:val="20"/>
          <w:szCs w:val="20"/>
        </w:rPr>
        <w:t>4</w:t>
      </w:r>
      <w:r w:rsidRPr="0078562D">
        <w:rPr>
          <w:rFonts w:asciiTheme="majorHAnsi" w:hAnsiTheme="majorHAnsi" w:cstheme="majorHAnsi"/>
          <w:b/>
          <w:bCs/>
          <w:sz w:val="20"/>
          <w:szCs w:val="20"/>
        </w:rPr>
        <w:t>]</w:t>
      </w:r>
      <w:r w:rsidRPr="0078562D">
        <w:rPr>
          <w:rFonts w:asciiTheme="majorHAnsi" w:hAnsiTheme="majorHAnsi" w:cstheme="majorHAnsi"/>
          <w:sz w:val="20"/>
          <w:szCs w:val="20"/>
        </w:rPr>
        <w:t>.</w:t>
      </w:r>
    </w:p>
    <w:p w14:paraId="3507891D" w14:textId="77777777" w:rsidR="00741422" w:rsidRPr="0078562D" w:rsidRDefault="00741422" w:rsidP="00741422">
      <w:pPr>
        <w:jc w:val="both"/>
        <w:rPr>
          <w:rFonts w:asciiTheme="majorHAnsi" w:hAnsiTheme="majorHAnsi" w:cstheme="majorHAnsi"/>
          <w:sz w:val="20"/>
          <w:szCs w:val="20"/>
        </w:rPr>
      </w:pPr>
    </w:p>
    <w:p w14:paraId="1C7D9B33" w14:textId="19B7A37C" w:rsidR="00741422" w:rsidRPr="0078562D" w:rsidRDefault="00741422" w:rsidP="00741422">
      <w:pPr>
        <w:jc w:val="both"/>
        <w:rPr>
          <w:rFonts w:asciiTheme="majorHAnsi" w:hAnsiTheme="majorHAnsi" w:cstheme="majorHAnsi"/>
          <w:sz w:val="20"/>
          <w:szCs w:val="20"/>
        </w:rPr>
      </w:pPr>
      <w:r w:rsidRPr="0078562D">
        <w:rPr>
          <w:rFonts w:asciiTheme="majorHAnsi" w:hAnsiTheme="majorHAnsi" w:cstheme="majorHAnsi"/>
          <w:sz w:val="20"/>
          <w:szCs w:val="20"/>
        </w:rPr>
        <w:t xml:space="preserve">En la tabla 1 se presenta una comparación de factores clave, como precisión, costo, tiempo, flexibilidad, requerimientos técnicos, repetibilidad y capacidad predictiva, entre los métodos experimental, modelos analíticos, elementos finitos e inteligencia artificial (IA). </w:t>
      </w:r>
    </w:p>
    <w:p w14:paraId="2DF7F4F8" w14:textId="77777777" w:rsidR="00741422" w:rsidRPr="0078562D" w:rsidRDefault="00741422" w:rsidP="00F862C1">
      <w:pPr>
        <w:jc w:val="both"/>
        <w:rPr>
          <w:rFonts w:asciiTheme="majorHAnsi" w:hAnsiTheme="majorHAnsi" w:cstheme="majorHAnsi"/>
          <w:sz w:val="20"/>
          <w:szCs w:val="20"/>
        </w:rPr>
      </w:pPr>
    </w:p>
    <w:p w14:paraId="1CD83618" w14:textId="77777777" w:rsidR="004B516D" w:rsidRDefault="00741422" w:rsidP="00741422">
      <w:pPr>
        <w:jc w:val="both"/>
        <w:rPr>
          <w:rFonts w:asciiTheme="majorHAnsi" w:hAnsiTheme="majorHAnsi" w:cstheme="majorHAnsi"/>
          <w:sz w:val="20"/>
          <w:szCs w:val="20"/>
        </w:rPr>
      </w:pPr>
      <w:bookmarkStart w:id="11" w:name="_Hlk214617712"/>
      <w:r w:rsidRPr="0078562D">
        <w:rPr>
          <w:rFonts w:asciiTheme="majorHAnsi" w:hAnsiTheme="majorHAnsi" w:cstheme="majorHAnsi"/>
          <w:sz w:val="20"/>
          <w:szCs w:val="20"/>
        </w:rPr>
        <w:t xml:space="preserve">Los valores asignados en la Tabla 1 se fundamentan en el análisis crítico de la literatura revisada y en las características inherentes a cada enfoque. </w:t>
      </w:r>
    </w:p>
    <w:p w14:paraId="50B00ED9" w14:textId="5F4F32D4" w:rsidR="0072408A" w:rsidRDefault="00741422" w:rsidP="00741422">
      <w:pPr>
        <w:jc w:val="both"/>
        <w:rPr>
          <w:rFonts w:asciiTheme="majorHAnsi" w:hAnsiTheme="majorHAnsi" w:cstheme="majorHAnsi"/>
          <w:sz w:val="20"/>
          <w:szCs w:val="20"/>
        </w:rPr>
      </w:pPr>
      <w:r w:rsidRPr="0078562D">
        <w:rPr>
          <w:rFonts w:asciiTheme="majorHAnsi" w:hAnsiTheme="majorHAnsi" w:cstheme="majorHAnsi"/>
          <w:sz w:val="20"/>
          <w:szCs w:val="20"/>
        </w:rPr>
        <w:t xml:space="preserve">Por ejemplo, la alta precisión atribuida a los métodos experimentales se justifica por su capacidad de </w:t>
      </w:r>
    </w:p>
    <w:p w14:paraId="185A4E06" w14:textId="77777777" w:rsidR="0072408A" w:rsidRDefault="0072408A" w:rsidP="00741422">
      <w:pPr>
        <w:jc w:val="both"/>
        <w:rPr>
          <w:rFonts w:asciiTheme="majorHAnsi" w:hAnsiTheme="majorHAnsi" w:cstheme="majorHAnsi"/>
          <w:sz w:val="20"/>
          <w:szCs w:val="20"/>
        </w:rPr>
      </w:pPr>
    </w:p>
    <w:p w14:paraId="578CAC25" w14:textId="4AB4E34E" w:rsidR="004B516D" w:rsidRDefault="00741422" w:rsidP="00A833EB">
      <w:pPr>
        <w:jc w:val="both"/>
        <w:rPr>
          <w:rFonts w:asciiTheme="majorHAnsi" w:hAnsiTheme="majorHAnsi" w:cstheme="majorHAnsi"/>
          <w:sz w:val="20"/>
          <w:szCs w:val="20"/>
        </w:rPr>
      </w:pPr>
      <w:r w:rsidRPr="0078562D">
        <w:rPr>
          <w:rFonts w:asciiTheme="majorHAnsi" w:hAnsiTheme="majorHAnsi" w:cstheme="majorHAnsi"/>
          <w:sz w:val="20"/>
          <w:szCs w:val="20"/>
        </w:rPr>
        <w:t xml:space="preserve">medir directamente el comportamiento real del material bajo condiciones controladas, tal como se observa en ensayos estandarizados de tracción o flexión </w:t>
      </w:r>
      <w:r w:rsidRPr="0078562D">
        <w:rPr>
          <w:rFonts w:asciiTheme="majorHAnsi" w:hAnsiTheme="majorHAnsi" w:cstheme="majorHAnsi"/>
          <w:b/>
          <w:bCs/>
          <w:sz w:val="20"/>
          <w:szCs w:val="20"/>
        </w:rPr>
        <w:t>[32]</w:t>
      </w:r>
      <w:r w:rsidRPr="0078562D">
        <w:rPr>
          <w:rFonts w:asciiTheme="majorHAnsi" w:hAnsiTheme="majorHAnsi" w:cstheme="majorHAnsi"/>
          <w:sz w:val="20"/>
          <w:szCs w:val="20"/>
        </w:rPr>
        <w:t xml:space="preserve">. En contraste, la precisión moderada de los modelos analíticos deriva de sus supuestos simplificadores, como la perfecta adherencia fibra-matriz o la distribución uniforme de refuerzos, lo cual puede desviarse significativamente del </w:t>
      </w:r>
    </w:p>
    <w:p w14:paraId="1880F557" w14:textId="77777777" w:rsidR="004B516D" w:rsidRDefault="004B516D" w:rsidP="00A833EB">
      <w:pPr>
        <w:jc w:val="both"/>
        <w:rPr>
          <w:rFonts w:asciiTheme="majorHAnsi" w:hAnsiTheme="majorHAnsi" w:cstheme="majorHAnsi"/>
          <w:sz w:val="20"/>
          <w:szCs w:val="20"/>
        </w:rPr>
      </w:pPr>
    </w:p>
    <w:p w14:paraId="037B56EF" w14:textId="0DB7999C" w:rsidR="00A52732" w:rsidRPr="0072408A" w:rsidRDefault="00741422" w:rsidP="00A833EB">
      <w:pPr>
        <w:jc w:val="both"/>
        <w:rPr>
          <w:rFonts w:asciiTheme="majorHAnsi" w:hAnsiTheme="majorHAnsi" w:cstheme="majorHAnsi"/>
          <w:sz w:val="20"/>
          <w:szCs w:val="20"/>
        </w:rPr>
      </w:pPr>
      <w:r w:rsidRPr="0078562D">
        <w:rPr>
          <w:rFonts w:asciiTheme="majorHAnsi" w:hAnsiTheme="majorHAnsi" w:cstheme="majorHAnsi"/>
          <w:sz w:val="20"/>
          <w:szCs w:val="20"/>
        </w:rPr>
        <w:t xml:space="preserve">comportamiento real en compuestos con arquitecturas complejas </w:t>
      </w:r>
      <w:r w:rsidRPr="0078562D">
        <w:rPr>
          <w:rFonts w:asciiTheme="majorHAnsi" w:hAnsiTheme="majorHAnsi" w:cstheme="majorHAnsi"/>
          <w:b/>
          <w:bCs/>
          <w:sz w:val="20"/>
          <w:szCs w:val="20"/>
        </w:rPr>
        <w:t>[10]</w:t>
      </w:r>
      <w:r w:rsidRPr="0078562D">
        <w:rPr>
          <w:rFonts w:asciiTheme="majorHAnsi" w:hAnsiTheme="majorHAnsi" w:cstheme="majorHAnsi"/>
          <w:sz w:val="20"/>
          <w:szCs w:val="20"/>
        </w:rPr>
        <w:t>.</w:t>
      </w:r>
      <w:bookmarkEnd w:id="11"/>
    </w:p>
    <w:tbl>
      <w:tblPr>
        <w:tblpPr w:leftFromText="141" w:rightFromText="141" w:vertAnchor="text" w:horzAnchor="margin" w:tblpXSpec="center" w:tblpYSpec="bottom"/>
        <w:tblOverlap w:val="never"/>
        <w:tblW w:w="9918" w:type="dxa"/>
        <w:tblCellMar>
          <w:left w:w="70" w:type="dxa"/>
          <w:right w:w="70" w:type="dxa"/>
        </w:tblCellMar>
        <w:tblLook w:val="04A0" w:firstRow="1" w:lastRow="0" w:firstColumn="1" w:lastColumn="0" w:noHBand="0" w:noVBand="1"/>
      </w:tblPr>
      <w:tblGrid>
        <w:gridCol w:w="1408"/>
        <w:gridCol w:w="2564"/>
        <w:gridCol w:w="2247"/>
        <w:gridCol w:w="1951"/>
        <w:gridCol w:w="1748"/>
      </w:tblGrid>
      <w:tr w:rsidR="0078562D" w:rsidRPr="00D6514A" w14:paraId="3FE26521" w14:textId="77777777" w:rsidTr="00D156DB">
        <w:trPr>
          <w:trHeight w:val="116"/>
        </w:trPr>
        <w:tc>
          <w:tcPr>
            <w:tcW w:w="1408" w:type="dxa"/>
            <w:tcBorders>
              <w:top w:val="single" w:sz="4" w:space="0" w:color="auto"/>
              <w:left w:val="single" w:sz="4" w:space="0" w:color="auto"/>
              <w:bottom w:val="single" w:sz="4" w:space="0" w:color="auto"/>
              <w:right w:val="single" w:sz="4" w:space="0" w:color="auto"/>
            </w:tcBorders>
            <w:noWrap/>
            <w:hideMark/>
          </w:tcPr>
          <w:p w14:paraId="5C95A554" w14:textId="77777777" w:rsidR="0078562D" w:rsidRPr="00D6514A" w:rsidRDefault="0078562D" w:rsidP="0078562D">
            <w:pPr>
              <w:jc w:val="center"/>
              <w:rPr>
                <w:rFonts w:eastAsia="Times New Roman"/>
                <w:b/>
                <w:bCs/>
                <w:sz w:val="16"/>
                <w:szCs w:val="16"/>
              </w:rPr>
            </w:pPr>
            <w:bookmarkStart w:id="12" w:name="_Hlk214617717"/>
            <w:bookmarkStart w:id="13" w:name="_Hlk214607616"/>
            <w:r w:rsidRPr="00D6514A">
              <w:rPr>
                <w:rFonts w:eastAsia="Times New Roman"/>
                <w:b/>
                <w:bCs/>
                <w:sz w:val="16"/>
                <w:szCs w:val="16"/>
              </w:rPr>
              <w:t>Factor</w:t>
            </w:r>
          </w:p>
        </w:tc>
        <w:tc>
          <w:tcPr>
            <w:tcW w:w="2564" w:type="dxa"/>
            <w:tcBorders>
              <w:top w:val="single" w:sz="4" w:space="0" w:color="auto"/>
              <w:left w:val="nil"/>
              <w:bottom w:val="single" w:sz="4" w:space="0" w:color="auto"/>
              <w:right w:val="single" w:sz="4" w:space="0" w:color="auto"/>
            </w:tcBorders>
            <w:noWrap/>
            <w:hideMark/>
          </w:tcPr>
          <w:p w14:paraId="73F48252" w14:textId="77777777" w:rsidR="0078562D" w:rsidRPr="00D6514A" w:rsidRDefault="0078562D" w:rsidP="0078562D">
            <w:pPr>
              <w:jc w:val="center"/>
              <w:rPr>
                <w:rFonts w:eastAsia="Times New Roman"/>
                <w:b/>
                <w:bCs/>
                <w:sz w:val="16"/>
                <w:szCs w:val="16"/>
              </w:rPr>
            </w:pPr>
            <w:r w:rsidRPr="00D6514A">
              <w:rPr>
                <w:rFonts w:eastAsia="Times New Roman"/>
                <w:b/>
                <w:bCs/>
                <w:sz w:val="16"/>
                <w:szCs w:val="16"/>
              </w:rPr>
              <w:t>Experimental</w:t>
            </w:r>
          </w:p>
        </w:tc>
        <w:tc>
          <w:tcPr>
            <w:tcW w:w="2247" w:type="dxa"/>
            <w:tcBorders>
              <w:top w:val="single" w:sz="4" w:space="0" w:color="auto"/>
              <w:left w:val="nil"/>
              <w:bottom w:val="single" w:sz="4" w:space="0" w:color="auto"/>
              <w:right w:val="single" w:sz="4" w:space="0" w:color="auto"/>
            </w:tcBorders>
            <w:noWrap/>
            <w:hideMark/>
          </w:tcPr>
          <w:p w14:paraId="063878D5" w14:textId="77777777" w:rsidR="0078562D" w:rsidRPr="00D6514A" w:rsidRDefault="0078562D" w:rsidP="0078562D">
            <w:pPr>
              <w:jc w:val="center"/>
              <w:rPr>
                <w:rFonts w:eastAsia="Times New Roman"/>
                <w:b/>
                <w:bCs/>
                <w:sz w:val="16"/>
                <w:szCs w:val="16"/>
              </w:rPr>
            </w:pPr>
            <w:r w:rsidRPr="00D6514A">
              <w:rPr>
                <w:rFonts w:eastAsia="Times New Roman"/>
                <w:b/>
                <w:bCs/>
                <w:sz w:val="16"/>
                <w:szCs w:val="16"/>
              </w:rPr>
              <w:t>Modelos Analíticos</w:t>
            </w:r>
          </w:p>
        </w:tc>
        <w:tc>
          <w:tcPr>
            <w:tcW w:w="1951" w:type="dxa"/>
            <w:tcBorders>
              <w:top w:val="single" w:sz="4" w:space="0" w:color="auto"/>
              <w:left w:val="nil"/>
              <w:bottom w:val="single" w:sz="4" w:space="0" w:color="auto"/>
              <w:right w:val="single" w:sz="4" w:space="0" w:color="auto"/>
            </w:tcBorders>
            <w:noWrap/>
            <w:hideMark/>
          </w:tcPr>
          <w:p w14:paraId="3F802C5D" w14:textId="77777777" w:rsidR="0078562D" w:rsidRPr="00D6514A" w:rsidRDefault="0078562D" w:rsidP="0078562D">
            <w:pPr>
              <w:jc w:val="center"/>
              <w:rPr>
                <w:rFonts w:eastAsia="Times New Roman"/>
                <w:b/>
                <w:bCs/>
                <w:sz w:val="16"/>
                <w:szCs w:val="16"/>
              </w:rPr>
            </w:pPr>
            <w:r w:rsidRPr="00D6514A">
              <w:rPr>
                <w:rFonts w:eastAsia="Times New Roman"/>
                <w:b/>
                <w:bCs/>
                <w:sz w:val="16"/>
                <w:szCs w:val="16"/>
              </w:rPr>
              <w:t>Elementos Finitos</w:t>
            </w:r>
          </w:p>
        </w:tc>
        <w:tc>
          <w:tcPr>
            <w:tcW w:w="1748" w:type="dxa"/>
            <w:tcBorders>
              <w:top w:val="single" w:sz="4" w:space="0" w:color="auto"/>
              <w:left w:val="nil"/>
              <w:bottom w:val="single" w:sz="4" w:space="0" w:color="auto"/>
              <w:right w:val="single" w:sz="4" w:space="0" w:color="auto"/>
            </w:tcBorders>
            <w:noWrap/>
            <w:hideMark/>
          </w:tcPr>
          <w:p w14:paraId="3332D356" w14:textId="77777777" w:rsidR="0078562D" w:rsidRPr="00D6514A" w:rsidRDefault="0078562D" w:rsidP="0078562D">
            <w:pPr>
              <w:jc w:val="center"/>
              <w:rPr>
                <w:rFonts w:eastAsia="Times New Roman"/>
                <w:b/>
                <w:bCs/>
                <w:sz w:val="16"/>
                <w:szCs w:val="16"/>
              </w:rPr>
            </w:pPr>
            <w:r w:rsidRPr="00D6514A">
              <w:rPr>
                <w:rFonts w:eastAsia="Times New Roman"/>
                <w:b/>
                <w:bCs/>
                <w:sz w:val="16"/>
                <w:szCs w:val="16"/>
              </w:rPr>
              <w:t>IA (ML/DL)</w:t>
            </w:r>
          </w:p>
        </w:tc>
      </w:tr>
      <w:tr w:rsidR="0078562D" w:rsidRPr="00D6514A" w14:paraId="5397B0A9" w14:textId="77777777" w:rsidTr="00D156DB">
        <w:trPr>
          <w:trHeight w:val="481"/>
        </w:trPr>
        <w:tc>
          <w:tcPr>
            <w:tcW w:w="1408" w:type="dxa"/>
            <w:tcBorders>
              <w:top w:val="nil"/>
              <w:left w:val="single" w:sz="4" w:space="0" w:color="auto"/>
              <w:bottom w:val="single" w:sz="4" w:space="0" w:color="auto"/>
              <w:right w:val="single" w:sz="4" w:space="0" w:color="auto"/>
            </w:tcBorders>
            <w:vAlign w:val="center"/>
            <w:hideMark/>
          </w:tcPr>
          <w:p w14:paraId="6B4E897D" w14:textId="77777777" w:rsidR="0078562D" w:rsidRPr="00D6514A" w:rsidRDefault="0078562D" w:rsidP="0078562D">
            <w:pPr>
              <w:jc w:val="center"/>
              <w:rPr>
                <w:rFonts w:eastAsia="Times New Roman"/>
                <w:sz w:val="16"/>
                <w:szCs w:val="16"/>
              </w:rPr>
            </w:pPr>
            <w:r w:rsidRPr="00D6514A">
              <w:rPr>
                <w:rFonts w:eastAsia="Times New Roman"/>
                <w:sz w:val="16"/>
                <w:szCs w:val="16"/>
              </w:rPr>
              <w:t>Precisión</w:t>
            </w:r>
          </w:p>
        </w:tc>
        <w:tc>
          <w:tcPr>
            <w:tcW w:w="2564" w:type="dxa"/>
            <w:tcBorders>
              <w:top w:val="nil"/>
              <w:left w:val="nil"/>
              <w:bottom w:val="single" w:sz="4" w:space="0" w:color="auto"/>
              <w:right w:val="single" w:sz="4" w:space="0" w:color="auto"/>
            </w:tcBorders>
            <w:vAlign w:val="center"/>
            <w:hideMark/>
          </w:tcPr>
          <w:p w14:paraId="3EFD6CD5" w14:textId="77777777" w:rsidR="0078562D" w:rsidRPr="00D6514A" w:rsidRDefault="0078562D" w:rsidP="0078562D">
            <w:pPr>
              <w:jc w:val="center"/>
              <w:rPr>
                <w:rFonts w:eastAsia="Times New Roman"/>
                <w:sz w:val="16"/>
                <w:szCs w:val="16"/>
              </w:rPr>
            </w:pPr>
            <w:r w:rsidRPr="00D6514A">
              <w:rPr>
                <w:rFonts w:eastAsia="Times New Roman"/>
                <w:sz w:val="16"/>
                <w:szCs w:val="16"/>
              </w:rPr>
              <w:t>Alta (datos empíricos confiables, pero depende de la calidad del ensayo)</w:t>
            </w:r>
          </w:p>
        </w:tc>
        <w:tc>
          <w:tcPr>
            <w:tcW w:w="2247" w:type="dxa"/>
            <w:tcBorders>
              <w:top w:val="nil"/>
              <w:left w:val="nil"/>
              <w:bottom w:val="single" w:sz="4" w:space="0" w:color="auto"/>
              <w:right w:val="single" w:sz="4" w:space="0" w:color="auto"/>
            </w:tcBorders>
            <w:vAlign w:val="center"/>
            <w:hideMark/>
          </w:tcPr>
          <w:p w14:paraId="1B44FAED" w14:textId="77777777" w:rsidR="0078562D" w:rsidRPr="00D6514A" w:rsidRDefault="0078562D" w:rsidP="0078562D">
            <w:pPr>
              <w:jc w:val="center"/>
              <w:rPr>
                <w:rFonts w:eastAsia="Times New Roman"/>
                <w:sz w:val="16"/>
                <w:szCs w:val="16"/>
              </w:rPr>
            </w:pPr>
            <w:r w:rsidRPr="00D6514A">
              <w:rPr>
                <w:rFonts w:eastAsia="Times New Roman"/>
                <w:sz w:val="16"/>
                <w:szCs w:val="16"/>
              </w:rPr>
              <w:t>Moderada (dependiente de simplificaciones y suposiciones)</w:t>
            </w:r>
          </w:p>
        </w:tc>
        <w:tc>
          <w:tcPr>
            <w:tcW w:w="1951" w:type="dxa"/>
            <w:tcBorders>
              <w:top w:val="nil"/>
              <w:left w:val="nil"/>
              <w:bottom w:val="single" w:sz="4" w:space="0" w:color="auto"/>
              <w:right w:val="single" w:sz="4" w:space="0" w:color="auto"/>
            </w:tcBorders>
            <w:vAlign w:val="center"/>
            <w:hideMark/>
          </w:tcPr>
          <w:p w14:paraId="405B1DE1" w14:textId="77777777" w:rsidR="0078562D" w:rsidRPr="00D6514A" w:rsidRDefault="0078562D" w:rsidP="0078562D">
            <w:pPr>
              <w:jc w:val="center"/>
              <w:rPr>
                <w:rFonts w:eastAsia="Times New Roman"/>
                <w:sz w:val="16"/>
                <w:szCs w:val="16"/>
              </w:rPr>
            </w:pPr>
            <w:r w:rsidRPr="00D6514A">
              <w:rPr>
                <w:rFonts w:eastAsia="Times New Roman"/>
                <w:sz w:val="16"/>
                <w:szCs w:val="16"/>
              </w:rPr>
              <w:t>Alta (si se refina la malla y se usan datos precisos)</w:t>
            </w:r>
          </w:p>
        </w:tc>
        <w:tc>
          <w:tcPr>
            <w:tcW w:w="1748" w:type="dxa"/>
            <w:tcBorders>
              <w:top w:val="nil"/>
              <w:left w:val="nil"/>
              <w:bottom w:val="single" w:sz="4" w:space="0" w:color="auto"/>
              <w:right w:val="single" w:sz="4" w:space="0" w:color="auto"/>
            </w:tcBorders>
            <w:vAlign w:val="center"/>
            <w:hideMark/>
          </w:tcPr>
          <w:p w14:paraId="02961B08" w14:textId="77777777" w:rsidR="0078562D" w:rsidRPr="00D6514A" w:rsidRDefault="0078562D" w:rsidP="0078562D">
            <w:pPr>
              <w:jc w:val="center"/>
              <w:rPr>
                <w:rFonts w:eastAsia="Times New Roman"/>
                <w:sz w:val="16"/>
                <w:szCs w:val="16"/>
              </w:rPr>
            </w:pPr>
            <w:r w:rsidRPr="00D6514A">
              <w:rPr>
                <w:rFonts w:eastAsia="Times New Roman"/>
                <w:sz w:val="16"/>
                <w:szCs w:val="16"/>
              </w:rPr>
              <w:t>Alta (depende de calidad y cantidad de datos de entrenamiento)</w:t>
            </w:r>
          </w:p>
        </w:tc>
      </w:tr>
      <w:tr w:rsidR="0078562D" w:rsidRPr="00D6514A" w14:paraId="1900AB92" w14:textId="77777777" w:rsidTr="00D156DB">
        <w:trPr>
          <w:trHeight w:val="502"/>
        </w:trPr>
        <w:tc>
          <w:tcPr>
            <w:tcW w:w="1408" w:type="dxa"/>
            <w:tcBorders>
              <w:top w:val="nil"/>
              <w:left w:val="single" w:sz="4" w:space="0" w:color="auto"/>
              <w:bottom w:val="single" w:sz="4" w:space="0" w:color="auto"/>
              <w:right w:val="single" w:sz="4" w:space="0" w:color="auto"/>
            </w:tcBorders>
            <w:vAlign w:val="center"/>
            <w:hideMark/>
          </w:tcPr>
          <w:p w14:paraId="7D612A6B" w14:textId="77777777" w:rsidR="0078562D" w:rsidRPr="00D6514A" w:rsidRDefault="0078562D" w:rsidP="0078562D">
            <w:pPr>
              <w:jc w:val="center"/>
              <w:rPr>
                <w:rFonts w:eastAsia="Times New Roman"/>
                <w:sz w:val="16"/>
                <w:szCs w:val="16"/>
              </w:rPr>
            </w:pPr>
            <w:r w:rsidRPr="00D6514A">
              <w:rPr>
                <w:rFonts w:eastAsia="Times New Roman"/>
                <w:sz w:val="16"/>
                <w:szCs w:val="16"/>
              </w:rPr>
              <w:t>Costo</w:t>
            </w:r>
          </w:p>
        </w:tc>
        <w:tc>
          <w:tcPr>
            <w:tcW w:w="2564" w:type="dxa"/>
            <w:tcBorders>
              <w:top w:val="nil"/>
              <w:left w:val="nil"/>
              <w:bottom w:val="single" w:sz="4" w:space="0" w:color="auto"/>
              <w:right w:val="single" w:sz="4" w:space="0" w:color="auto"/>
            </w:tcBorders>
            <w:vAlign w:val="center"/>
            <w:hideMark/>
          </w:tcPr>
          <w:p w14:paraId="13A558B7" w14:textId="77777777" w:rsidR="0078562D" w:rsidRPr="00D6514A" w:rsidRDefault="0078562D" w:rsidP="0078562D">
            <w:pPr>
              <w:jc w:val="center"/>
              <w:rPr>
                <w:rFonts w:eastAsia="Times New Roman"/>
                <w:sz w:val="16"/>
                <w:szCs w:val="16"/>
              </w:rPr>
            </w:pPr>
            <w:r w:rsidRPr="00D6514A">
              <w:rPr>
                <w:rFonts w:eastAsia="Times New Roman"/>
                <w:sz w:val="16"/>
                <w:szCs w:val="16"/>
              </w:rPr>
              <w:t>Alto (equipos especializados y personal capacitado)</w:t>
            </w:r>
          </w:p>
        </w:tc>
        <w:tc>
          <w:tcPr>
            <w:tcW w:w="2247" w:type="dxa"/>
            <w:tcBorders>
              <w:top w:val="nil"/>
              <w:left w:val="nil"/>
              <w:bottom w:val="single" w:sz="4" w:space="0" w:color="auto"/>
              <w:right w:val="single" w:sz="4" w:space="0" w:color="auto"/>
            </w:tcBorders>
            <w:vAlign w:val="center"/>
            <w:hideMark/>
          </w:tcPr>
          <w:p w14:paraId="4949121D" w14:textId="77777777" w:rsidR="0078562D" w:rsidRPr="00D6514A" w:rsidRDefault="0078562D" w:rsidP="0078562D">
            <w:pPr>
              <w:jc w:val="center"/>
              <w:rPr>
                <w:rFonts w:eastAsia="Times New Roman"/>
                <w:sz w:val="16"/>
                <w:szCs w:val="16"/>
              </w:rPr>
            </w:pPr>
            <w:r w:rsidRPr="00D6514A">
              <w:rPr>
                <w:rFonts w:eastAsia="Times New Roman"/>
                <w:sz w:val="16"/>
                <w:szCs w:val="16"/>
              </w:rPr>
              <w:t>Bajo (costo computacional y recursos teóricos)</w:t>
            </w:r>
          </w:p>
        </w:tc>
        <w:tc>
          <w:tcPr>
            <w:tcW w:w="1951" w:type="dxa"/>
            <w:tcBorders>
              <w:top w:val="nil"/>
              <w:left w:val="nil"/>
              <w:bottom w:val="single" w:sz="4" w:space="0" w:color="auto"/>
              <w:right w:val="single" w:sz="4" w:space="0" w:color="auto"/>
            </w:tcBorders>
            <w:vAlign w:val="center"/>
            <w:hideMark/>
          </w:tcPr>
          <w:p w14:paraId="1348ADC4" w14:textId="77777777" w:rsidR="0078562D" w:rsidRPr="00D6514A" w:rsidRDefault="0078562D" w:rsidP="0078562D">
            <w:pPr>
              <w:jc w:val="center"/>
              <w:rPr>
                <w:rFonts w:eastAsia="Times New Roman"/>
                <w:sz w:val="16"/>
                <w:szCs w:val="16"/>
              </w:rPr>
            </w:pPr>
            <w:r w:rsidRPr="00D6514A">
              <w:rPr>
                <w:rFonts w:eastAsia="Times New Roman"/>
                <w:sz w:val="16"/>
                <w:szCs w:val="16"/>
              </w:rPr>
              <w:t>Moderado-Alto (software y tiempo computacional)</w:t>
            </w:r>
          </w:p>
        </w:tc>
        <w:tc>
          <w:tcPr>
            <w:tcW w:w="1748" w:type="dxa"/>
            <w:tcBorders>
              <w:top w:val="nil"/>
              <w:left w:val="nil"/>
              <w:bottom w:val="single" w:sz="4" w:space="0" w:color="auto"/>
              <w:right w:val="single" w:sz="4" w:space="0" w:color="auto"/>
            </w:tcBorders>
            <w:vAlign w:val="center"/>
            <w:hideMark/>
          </w:tcPr>
          <w:p w14:paraId="663EF9C3" w14:textId="77777777" w:rsidR="0078562D" w:rsidRPr="00D6514A" w:rsidRDefault="0078562D" w:rsidP="0078562D">
            <w:pPr>
              <w:jc w:val="center"/>
              <w:rPr>
                <w:rFonts w:eastAsia="Times New Roman"/>
                <w:sz w:val="16"/>
                <w:szCs w:val="16"/>
              </w:rPr>
            </w:pPr>
            <w:r w:rsidRPr="00D6514A">
              <w:rPr>
                <w:rFonts w:eastAsia="Times New Roman"/>
                <w:sz w:val="16"/>
                <w:szCs w:val="16"/>
              </w:rPr>
              <w:t>Moderado-Alto (recursos computacionales y de datos)</w:t>
            </w:r>
          </w:p>
        </w:tc>
      </w:tr>
      <w:tr w:rsidR="0078562D" w:rsidRPr="00D6514A" w14:paraId="7C573238" w14:textId="77777777" w:rsidTr="00D156DB">
        <w:trPr>
          <w:trHeight w:val="433"/>
        </w:trPr>
        <w:tc>
          <w:tcPr>
            <w:tcW w:w="1408" w:type="dxa"/>
            <w:tcBorders>
              <w:top w:val="nil"/>
              <w:left w:val="single" w:sz="4" w:space="0" w:color="auto"/>
              <w:bottom w:val="single" w:sz="4" w:space="0" w:color="auto"/>
              <w:right w:val="single" w:sz="4" w:space="0" w:color="auto"/>
            </w:tcBorders>
            <w:vAlign w:val="center"/>
            <w:hideMark/>
          </w:tcPr>
          <w:p w14:paraId="49C2D1EF" w14:textId="77777777" w:rsidR="0078562D" w:rsidRPr="00D6514A" w:rsidRDefault="0078562D" w:rsidP="0078562D">
            <w:pPr>
              <w:jc w:val="center"/>
              <w:rPr>
                <w:rFonts w:eastAsia="Times New Roman"/>
                <w:sz w:val="16"/>
                <w:szCs w:val="16"/>
              </w:rPr>
            </w:pPr>
            <w:r w:rsidRPr="00D6514A">
              <w:rPr>
                <w:rFonts w:eastAsia="Times New Roman"/>
                <w:sz w:val="16"/>
                <w:szCs w:val="16"/>
              </w:rPr>
              <w:t>Tiempo</w:t>
            </w:r>
          </w:p>
        </w:tc>
        <w:tc>
          <w:tcPr>
            <w:tcW w:w="2564" w:type="dxa"/>
            <w:tcBorders>
              <w:top w:val="nil"/>
              <w:left w:val="nil"/>
              <w:bottom w:val="single" w:sz="4" w:space="0" w:color="auto"/>
              <w:right w:val="single" w:sz="4" w:space="0" w:color="auto"/>
            </w:tcBorders>
            <w:vAlign w:val="center"/>
            <w:hideMark/>
          </w:tcPr>
          <w:p w14:paraId="51FCAC1E" w14:textId="77777777" w:rsidR="0078562D" w:rsidRPr="00D6514A" w:rsidRDefault="0078562D" w:rsidP="0078562D">
            <w:pPr>
              <w:jc w:val="center"/>
              <w:rPr>
                <w:rFonts w:eastAsia="Times New Roman"/>
                <w:sz w:val="16"/>
                <w:szCs w:val="16"/>
              </w:rPr>
            </w:pPr>
            <w:r w:rsidRPr="00D6514A">
              <w:rPr>
                <w:rFonts w:eastAsia="Times New Roman"/>
                <w:sz w:val="16"/>
                <w:szCs w:val="16"/>
              </w:rPr>
              <w:t>Largo (ensayos físicos requieren tiempo significativo)</w:t>
            </w:r>
          </w:p>
        </w:tc>
        <w:tc>
          <w:tcPr>
            <w:tcW w:w="2247" w:type="dxa"/>
            <w:tcBorders>
              <w:top w:val="nil"/>
              <w:left w:val="nil"/>
              <w:bottom w:val="single" w:sz="4" w:space="0" w:color="auto"/>
              <w:right w:val="single" w:sz="4" w:space="0" w:color="auto"/>
            </w:tcBorders>
            <w:vAlign w:val="center"/>
            <w:hideMark/>
          </w:tcPr>
          <w:p w14:paraId="6563E31F" w14:textId="77777777" w:rsidR="0078562D" w:rsidRPr="00D6514A" w:rsidRDefault="0078562D" w:rsidP="0078562D">
            <w:pPr>
              <w:jc w:val="center"/>
              <w:rPr>
                <w:rFonts w:eastAsia="Times New Roman"/>
                <w:sz w:val="16"/>
                <w:szCs w:val="16"/>
              </w:rPr>
            </w:pPr>
            <w:r w:rsidRPr="00D6514A">
              <w:rPr>
                <w:rFonts w:eastAsia="Times New Roman"/>
                <w:sz w:val="16"/>
                <w:szCs w:val="16"/>
              </w:rPr>
              <w:t>Rápido (si las ecuaciones están definidas)</w:t>
            </w:r>
          </w:p>
        </w:tc>
        <w:tc>
          <w:tcPr>
            <w:tcW w:w="1951" w:type="dxa"/>
            <w:tcBorders>
              <w:top w:val="nil"/>
              <w:left w:val="nil"/>
              <w:bottom w:val="single" w:sz="4" w:space="0" w:color="auto"/>
              <w:right w:val="single" w:sz="4" w:space="0" w:color="auto"/>
            </w:tcBorders>
            <w:vAlign w:val="center"/>
            <w:hideMark/>
          </w:tcPr>
          <w:p w14:paraId="440D0F80" w14:textId="77777777" w:rsidR="0078562D" w:rsidRPr="00D6514A" w:rsidRDefault="0078562D" w:rsidP="0078562D">
            <w:pPr>
              <w:jc w:val="center"/>
              <w:rPr>
                <w:rFonts w:eastAsia="Times New Roman"/>
                <w:sz w:val="16"/>
                <w:szCs w:val="16"/>
              </w:rPr>
            </w:pPr>
            <w:r w:rsidRPr="00D6514A">
              <w:rPr>
                <w:rFonts w:eastAsia="Times New Roman"/>
                <w:sz w:val="16"/>
                <w:szCs w:val="16"/>
              </w:rPr>
              <w:t>Moderado (depende de la complejidad del modelo)</w:t>
            </w:r>
          </w:p>
        </w:tc>
        <w:tc>
          <w:tcPr>
            <w:tcW w:w="1748" w:type="dxa"/>
            <w:tcBorders>
              <w:top w:val="nil"/>
              <w:left w:val="nil"/>
              <w:bottom w:val="single" w:sz="4" w:space="0" w:color="auto"/>
              <w:right w:val="single" w:sz="4" w:space="0" w:color="auto"/>
            </w:tcBorders>
            <w:vAlign w:val="center"/>
            <w:hideMark/>
          </w:tcPr>
          <w:p w14:paraId="44188947" w14:textId="77777777" w:rsidR="0078562D" w:rsidRPr="00D6514A" w:rsidRDefault="0078562D" w:rsidP="0078562D">
            <w:pPr>
              <w:jc w:val="center"/>
              <w:rPr>
                <w:rFonts w:eastAsia="Times New Roman"/>
                <w:sz w:val="16"/>
                <w:szCs w:val="16"/>
              </w:rPr>
            </w:pPr>
            <w:r w:rsidRPr="00D6514A">
              <w:rPr>
                <w:rFonts w:eastAsia="Times New Roman"/>
                <w:sz w:val="16"/>
                <w:szCs w:val="16"/>
              </w:rPr>
              <w:t>Moderado (entrenamiento de modelos puede ser intensivo)</w:t>
            </w:r>
          </w:p>
        </w:tc>
      </w:tr>
      <w:tr w:rsidR="0078562D" w:rsidRPr="00D6514A" w14:paraId="05137365" w14:textId="77777777" w:rsidTr="00D156DB">
        <w:trPr>
          <w:trHeight w:val="531"/>
        </w:trPr>
        <w:tc>
          <w:tcPr>
            <w:tcW w:w="1408" w:type="dxa"/>
            <w:tcBorders>
              <w:top w:val="nil"/>
              <w:left w:val="single" w:sz="4" w:space="0" w:color="auto"/>
              <w:bottom w:val="single" w:sz="4" w:space="0" w:color="auto"/>
              <w:right w:val="single" w:sz="4" w:space="0" w:color="auto"/>
            </w:tcBorders>
            <w:vAlign w:val="center"/>
            <w:hideMark/>
          </w:tcPr>
          <w:p w14:paraId="382E8ED9" w14:textId="77777777" w:rsidR="0078562D" w:rsidRPr="00D6514A" w:rsidRDefault="0078562D" w:rsidP="0078562D">
            <w:pPr>
              <w:jc w:val="center"/>
              <w:rPr>
                <w:rFonts w:eastAsia="Times New Roman"/>
                <w:sz w:val="16"/>
                <w:szCs w:val="16"/>
              </w:rPr>
            </w:pPr>
            <w:r w:rsidRPr="00D6514A">
              <w:rPr>
                <w:rFonts w:eastAsia="Times New Roman"/>
                <w:sz w:val="16"/>
                <w:szCs w:val="16"/>
              </w:rPr>
              <w:t>Flexibilidad</w:t>
            </w:r>
          </w:p>
        </w:tc>
        <w:tc>
          <w:tcPr>
            <w:tcW w:w="2564" w:type="dxa"/>
            <w:tcBorders>
              <w:top w:val="nil"/>
              <w:left w:val="nil"/>
              <w:bottom w:val="single" w:sz="4" w:space="0" w:color="auto"/>
              <w:right w:val="single" w:sz="4" w:space="0" w:color="auto"/>
            </w:tcBorders>
            <w:vAlign w:val="center"/>
            <w:hideMark/>
          </w:tcPr>
          <w:p w14:paraId="6D2AE216" w14:textId="77777777" w:rsidR="0078562D" w:rsidRPr="00D6514A" w:rsidRDefault="0078562D" w:rsidP="0078562D">
            <w:pPr>
              <w:jc w:val="center"/>
              <w:rPr>
                <w:rFonts w:eastAsia="Times New Roman"/>
                <w:sz w:val="16"/>
                <w:szCs w:val="16"/>
              </w:rPr>
            </w:pPr>
            <w:r w:rsidRPr="00D6514A">
              <w:rPr>
                <w:rFonts w:eastAsia="Times New Roman"/>
                <w:sz w:val="16"/>
                <w:szCs w:val="16"/>
              </w:rPr>
              <w:t>Baja (ensayos limitados a muestras específicas)</w:t>
            </w:r>
          </w:p>
        </w:tc>
        <w:tc>
          <w:tcPr>
            <w:tcW w:w="2247" w:type="dxa"/>
            <w:tcBorders>
              <w:top w:val="nil"/>
              <w:left w:val="nil"/>
              <w:bottom w:val="single" w:sz="4" w:space="0" w:color="auto"/>
              <w:right w:val="single" w:sz="4" w:space="0" w:color="auto"/>
            </w:tcBorders>
            <w:vAlign w:val="center"/>
            <w:hideMark/>
          </w:tcPr>
          <w:p w14:paraId="21305C3B" w14:textId="77777777" w:rsidR="0078562D" w:rsidRPr="00D6514A" w:rsidRDefault="0078562D" w:rsidP="0078562D">
            <w:pPr>
              <w:jc w:val="center"/>
              <w:rPr>
                <w:rFonts w:eastAsia="Times New Roman"/>
                <w:sz w:val="16"/>
                <w:szCs w:val="16"/>
              </w:rPr>
            </w:pPr>
            <w:r w:rsidRPr="00D6514A">
              <w:rPr>
                <w:rFonts w:eastAsia="Times New Roman"/>
                <w:sz w:val="16"/>
                <w:szCs w:val="16"/>
              </w:rPr>
              <w:t>Baja (limitado a configuraciones simples y regulares)</w:t>
            </w:r>
          </w:p>
        </w:tc>
        <w:tc>
          <w:tcPr>
            <w:tcW w:w="1951" w:type="dxa"/>
            <w:tcBorders>
              <w:top w:val="nil"/>
              <w:left w:val="nil"/>
              <w:bottom w:val="single" w:sz="4" w:space="0" w:color="auto"/>
              <w:right w:val="single" w:sz="4" w:space="0" w:color="auto"/>
            </w:tcBorders>
            <w:vAlign w:val="center"/>
            <w:hideMark/>
          </w:tcPr>
          <w:p w14:paraId="574F0F2F" w14:textId="77777777" w:rsidR="0078562D" w:rsidRPr="00D6514A" w:rsidRDefault="0078562D" w:rsidP="0078562D">
            <w:pPr>
              <w:jc w:val="center"/>
              <w:rPr>
                <w:rFonts w:eastAsia="Times New Roman"/>
                <w:sz w:val="16"/>
                <w:szCs w:val="16"/>
              </w:rPr>
            </w:pPr>
            <w:r w:rsidRPr="00D6514A">
              <w:rPr>
                <w:rFonts w:eastAsia="Times New Roman"/>
                <w:sz w:val="16"/>
                <w:szCs w:val="16"/>
              </w:rPr>
              <w:t>Moderada (puede ajustarse a diferentes escenarios)</w:t>
            </w:r>
          </w:p>
        </w:tc>
        <w:tc>
          <w:tcPr>
            <w:tcW w:w="1748" w:type="dxa"/>
            <w:tcBorders>
              <w:top w:val="nil"/>
              <w:left w:val="nil"/>
              <w:bottom w:val="single" w:sz="4" w:space="0" w:color="auto"/>
              <w:right w:val="single" w:sz="4" w:space="0" w:color="auto"/>
            </w:tcBorders>
            <w:vAlign w:val="center"/>
            <w:hideMark/>
          </w:tcPr>
          <w:p w14:paraId="0F06706B" w14:textId="77777777" w:rsidR="0078562D" w:rsidRPr="00D6514A" w:rsidRDefault="0078562D" w:rsidP="0078562D">
            <w:pPr>
              <w:jc w:val="center"/>
              <w:rPr>
                <w:rFonts w:eastAsia="Times New Roman"/>
                <w:sz w:val="16"/>
                <w:szCs w:val="16"/>
              </w:rPr>
            </w:pPr>
            <w:r w:rsidRPr="00D6514A">
              <w:rPr>
                <w:rFonts w:eastAsia="Times New Roman"/>
                <w:sz w:val="16"/>
                <w:szCs w:val="16"/>
              </w:rPr>
              <w:t>Alta (adaptable a múltiples condiciones y materiales)</w:t>
            </w:r>
          </w:p>
        </w:tc>
      </w:tr>
      <w:tr w:rsidR="0078562D" w:rsidRPr="00D6514A" w14:paraId="5A9C7B74" w14:textId="77777777" w:rsidTr="00D156DB">
        <w:trPr>
          <w:trHeight w:val="453"/>
        </w:trPr>
        <w:tc>
          <w:tcPr>
            <w:tcW w:w="1408" w:type="dxa"/>
            <w:tcBorders>
              <w:top w:val="nil"/>
              <w:left w:val="single" w:sz="4" w:space="0" w:color="auto"/>
              <w:bottom w:val="single" w:sz="4" w:space="0" w:color="auto"/>
              <w:right w:val="single" w:sz="4" w:space="0" w:color="auto"/>
            </w:tcBorders>
            <w:vAlign w:val="center"/>
            <w:hideMark/>
          </w:tcPr>
          <w:p w14:paraId="563E97D9" w14:textId="77777777" w:rsidR="0078562D" w:rsidRPr="00D6514A" w:rsidRDefault="0078562D" w:rsidP="0078562D">
            <w:pPr>
              <w:jc w:val="center"/>
              <w:rPr>
                <w:rFonts w:eastAsia="Times New Roman"/>
                <w:sz w:val="16"/>
                <w:szCs w:val="16"/>
              </w:rPr>
            </w:pPr>
            <w:r w:rsidRPr="00D6514A">
              <w:rPr>
                <w:rFonts w:eastAsia="Times New Roman"/>
                <w:sz w:val="16"/>
                <w:szCs w:val="16"/>
              </w:rPr>
              <w:t>Requerimientos Técnicos</w:t>
            </w:r>
          </w:p>
        </w:tc>
        <w:tc>
          <w:tcPr>
            <w:tcW w:w="2564" w:type="dxa"/>
            <w:tcBorders>
              <w:top w:val="nil"/>
              <w:left w:val="nil"/>
              <w:bottom w:val="single" w:sz="4" w:space="0" w:color="auto"/>
              <w:right w:val="single" w:sz="4" w:space="0" w:color="auto"/>
            </w:tcBorders>
            <w:vAlign w:val="center"/>
            <w:hideMark/>
          </w:tcPr>
          <w:p w14:paraId="3A54357A" w14:textId="77777777" w:rsidR="0078562D" w:rsidRPr="00D6514A" w:rsidRDefault="0078562D" w:rsidP="0078562D">
            <w:pPr>
              <w:jc w:val="center"/>
              <w:rPr>
                <w:rFonts w:eastAsia="Times New Roman"/>
                <w:sz w:val="16"/>
                <w:szCs w:val="16"/>
              </w:rPr>
            </w:pPr>
            <w:r w:rsidRPr="00D6514A">
              <w:rPr>
                <w:rFonts w:eastAsia="Times New Roman"/>
                <w:sz w:val="16"/>
                <w:szCs w:val="16"/>
              </w:rPr>
              <w:t>Alto (experiencia en laboratorio y protocolos estrictos)</w:t>
            </w:r>
          </w:p>
        </w:tc>
        <w:tc>
          <w:tcPr>
            <w:tcW w:w="2247" w:type="dxa"/>
            <w:tcBorders>
              <w:top w:val="nil"/>
              <w:left w:val="nil"/>
              <w:bottom w:val="single" w:sz="4" w:space="0" w:color="auto"/>
              <w:right w:val="single" w:sz="4" w:space="0" w:color="auto"/>
            </w:tcBorders>
            <w:vAlign w:val="center"/>
            <w:hideMark/>
          </w:tcPr>
          <w:p w14:paraId="4B945466" w14:textId="77777777" w:rsidR="0078562D" w:rsidRPr="00D6514A" w:rsidRDefault="0078562D" w:rsidP="0078562D">
            <w:pPr>
              <w:jc w:val="center"/>
              <w:rPr>
                <w:rFonts w:eastAsia="Times New Roman"/>
                <w:sz w:val="16"/>
                <w:szCs w:val="16"/>
              </w:rPr>
            </w:pPr>
            <w:r w:rsidRPr="00D6514A">
              <w:rPr>
                <w:rFonts w:eastAsia="Times New Roman"/>
                <w:sz w:val="16"/>
                <w:szCs w:val="16"/>
              </w:rPr>
              <w:t>Moderado (conocimiento matemático/analítico requerido)</w:t>
            </w:r>
          </w:p>
        </w:tc>
        <w:tc>
          <w:tcPr>
            <w:tcW w:w="1951" w:type="dxa"/>
            <w:tcBorders>
              <w:top w:val="nil"/>
              <w:left w:val="nil"/>
              <w:bottom w:val="single" w:sz="4" w:space="0" w:color="auto"/>
              <w:right w:val="single" w:sz="4" w:space="0" w:color="auto"/>
            </w:tcBorders>
            <w:vAlign w:val="center"/>
            <w:hideMark/>
          </w:tcPr>
          <w:p w14:paraId="1476A70C" w14:textId="77777777" w:rsidR="0078562D" w:rsidRPr="00D6514A" w:rsidRDefault="0078562D" w:rsidP="0078562D">
            <w:pPr>
              <w:jc w:val="center"/>
              <w:rPr>
                <w:rFonts w:eastAsia="Times New Roman"/>
                <w:sz w:val="16"/>
                <w:szCs w:val="16"/>
              </w:rPr>
            </w:pPr>
            <w:r w:rsidRPr="00D6514A">
              <w:rPr>
                <w:rFonts w:eastAsia="Times New Roman"/>
                <w:sz w:val="16"/>
                <w:szCs w:val="16"/>
              </w:rPr>
              <w:t>Alto (dominio de software especializado como FEM requerido)</w:t>
            </w:r>
          </w:p>
        </w:tc>
        <w:tc>
          <w:tcPr>
            <w:tcW w:w="1748" w:type="dxa"/>
            <w:tcBorders>
              <w:top w:val="nil"/>
              <w:left w:val="nil"/>
              <w:bottom w:val="single" w:sz="4" w:space="0" w:color="auto"/>
              <w:right w:val="single" w:sz="4" w:space="0" w:color="auto"/>
            </w:tcBorders>
            <w:vAlign w:val="center"/>
            <w:hideMark/>
          </w:tcPr>
          <w:p w14:paraId="26F3309B" w14:textId="77777777" w:rsidR="0078562D" w:rsidRPr="00D6514A" w:rsidRDefault="0078562D" w:rsidP="0078562D">
            <w:pPr>
              <w:jc w:val="center"/>
              <w:rPr>
                <w:rFonts w:eastAsia="Times New Roman"/>
                <w:sz w:val="16"/>
                <w:szCs w:val="16"/>
              </w:rPr>
            </w:pPr>
            <w:r w:rsidRPr="00D6514A">
              <w:rPr>
                <w:rFonts w:eastAsia="Times New Roman"/>
                <w:sz w:val="16"/>
                <w:szCs w:val="16"/>
              </w:rPr>
              <w:t>Alto (conocimiento en IA, programación y datos necesario)</w:t>
            </w:r>
          </w:p>
        </w:tc>
      </w:tr>
      <w:tr w:rsidR="0078562D" w:rsidRPr="00D6514A" w14:paraId="5AD1BE0A" w14:textId="77777777" w:rsidTr="00D156DB">
        <w:trPr>
          <w:trHeight w:val="563"/>
        </w:trPr>
        <w:tc>
          <w:tcPr>
            <w:tcW w:w="1408" w:type="dxa"/>
            <w:tcBorders>
              <w:top w:val="nil"/>
              <w:left w:val="single" w:sz="4" w:space="0" w:color="auto"/>
              <w:bottom w:val="single" w:sz="4" w:space="0" w:color="auto"/>
              <w:right w:val="single" w:sz="4" w:space="0" w:color="auto"/>
            </w:tcBorders>
            <w:vAlign w:val="center"/>
            <w:hideMark/>
          </w:tcPr>
          <w:p w14:paraId="4039067B" w14:textId="77777777" w:rsidR="0078562D" w:rsidRPr="00D6514A" w:rsidRDefault="0078562D" w:rsidP="0078562D">
            <w:pPr>
              <w:jc w:val="center"/>
              <w:rPr>
                <w:rFonts w:eastAsia="Times New Roman"/>
                <w:sz w:val="16"/>
                <w:szCs w:val="16"/>
              </w:rPr>
            </w:pPr>
            <w:r w:rsidRPr="00D6514A">
              <w:rPr>
                <w:rFonts w:eastAsia="Times New Roman"/>
                <w:sz w:val="16"/>
                <w:szCs w:val="16"/>
              </w:rPr>
              <w:t>Repetibilidad</w:t>
            </w:r>
          </w:p>
        </w:tc>
        <w:tc>
          <w:tcPr>
            <w:tcW w:w="2564" w:type="dxa"/>
            <w:tcBorders>
              <w:top w:val="nil"/>
              <w:left w:val="nil"/>
              <w:bottom w:val="single" w:sz="4" w:space="0" w:color="auto"/>
              <w:right w:val="single" w:sz="4" w:space="0" w:color="auto"/>
            </w:tcBorders>
            <w:vAlign w:val="center"/>
            <w:hideMark/>
          </w:tcPr>
          <w:p w14:paraId="66BA6164" w14:textId="77777777" w:rsidR="0078562D" w:rsidRPr="00D6514A" w:rsidRDefault="0078562D" w:rsidP="0078562D">
            <w:pPr>
              <w:jc w:val="center"/>
              <w:rPr>
                <w:rFonts w:eastAsia="Times New Roman"/>
                <w:sz w:val="16"/>
                <w:szCs w:val="16"/>
              </w:rPr>
            </w:pPr>
            <w:r w:rsidRPr="00D6514A">
              <w:rPr>
                <w:rFonts w:eastAsia="Times New Roman"/>
                <w:sz w:val="16"/>
                <w:szCs w:val="16"/>
              </w:rPr>
              <w:t>Moderada (variabilidad en materiales afecta resultados)</w:t>
            </w:r>
          </w:p>
        </w:tc>
        <w:tc>
          <w:tcPr>
            <w:tcW w:w="2247" w:type="dxa"/>
            <w:tcBorders>
              <w:top w:val="nil"/>
              <w:left w:val="nil"/>
              <w:bottom w:val="single" w:sz="4" w:space="0" w:color="auto"/>
              <w:right w:val="single" w:sz="4" w:space="0" w:color="auto"/>
            </w:tcBorders>
            <w:vAlign w:val="center"/>
            <w:hideMark/>
          </w:tcPr>
          <w:p w14:paraId="173728D3" w14:textId="77777777" w:rsidR="0078562D" w:rsidRPr="00D6514A" w:rsidRDefault="0078562D" w:rsidP="0078562D">
            <w:pPr>
              <w:jc w:val="center"/>
              <w:rPr>
                <w:rFonts w:eastAsia="Times New Roman"/>
                <w:sz w:val="16"/>
                <w:szCs w:val="16"/>
              </w:rPr>
            </w:pPr>
            <w:r w:rsidRPr="00D6514A">
              <w:rPr>
                <w:rFonts w:eastAsia="Times New Roman"/>
                <w:sz w:val="16"/>
                <w:szCs w:val="16"/>
              </w:rPr>
              <w:t>Alta (si los parámetros y ecuaciones son consistentes)</w:t>
            </w:r>
          </w:p>
        </w:tc>
        <w:tc>
          <w:tcPr>
            <w:tcW w:w="1951" w:type="dxa"/>
            <w:tcBorders>
              <w:top w:val="nil"/>
              <w:left w:val="nil"/>
              <w:bottom w:val="single" w:sz="4" w:space="0" w:color="auto"/>
              <w:right w:val="single" w:sz="4" w:space="0" w:color="auto"/>
            </w:tcBorders>
            <w:vAlign w:val="center"/>
            <w:hideMark/>
          </w:tcPr>
          <w:p w14:paraId="3A25E4EB" w14:textId="77777777" w:rsidR="0078562D" w:rsidRPr="00D6514A" w:rsidRDefault="0078562D" w:rsidP="0078562D">
            <w:pPr>
              <w:jc w:val="center"/>
              <w:rPr>
                <w:rFonts w:eastAsia="Times New Roman"/>
                <w:sz w:val="16"/>
                <w:szCs w:val="16"/>
              </w:rPr>
            </w:pPr>
            <w:r w:rsidRPr="00D6514A">
              <w:rPr>
                <w:rFonts w:eastAsia="Times New Roman"/>
                <w:sz w:val="16"/>
                <w:szCs w:val="16"/>
              </w:rPr>
              <w:t>Alta (resultados consistentes con modelos bien definidos)</w:t>
            </w:r>
          </w:p>
        </w:tc>
        <w:tc>
          <w:tcPr>
            <w:tcW w:w="1748" w:type="dxa"/>
            <w:tcBorders>
              <w:top w:val="nil"/>
              <w:left w:val="nil"/>
              <w:bottom w:val="single" w:sz="4" w:space="0" w:color="auto"/>
              <w:right w:val="single" w:sz="4" w:space="0" w:color="auto"/>
            </w:tcBorders>
            <w:vAlign w:val="center"/>
            <w:hideMark/>
          </w:tcPr>
          <w:p w14:paraId="5ACBE309" w14:textId="77777777" w:rsidR="0078562D" w:rsidRPr="00D6514A" w:rsidRDefault="0078562D" w:rsidP="0078562D">
            <w:pPr>
              <w:jc w:val="center"/>
              <w:rPr>
                <w:rFonts w:eastAsia="Times New Roman"/>
                <w:sz w:val="16"/>
                <w:szCs w:val="16"/>
              </w:rPr>
            </w:pPr>
            <w:r w:rsidRPr="00D6514A">
              <w:rPr>
                <w:rFonts w:eastAsia="Times New Roman"/>
                <w:sz w:val="16"/>
                <w:szCs w:val="16"/>
              </w:rPr>
              <w:t>Alta (si el modelo está entrenado con datos representativos)</w:t>
            </w:r>
          </w:p>
        </w:tc>
      </w:tr>
      <w:tr w:rsidR="0078562D" w:rsidRPr="00D6514A" w14:paraId="552BE1FF" w14:textId="77777777" w:rsidTr="00D156DB">
        <w:trPr>
          <w:trHeight w:val="527"/>
        </w:trPr>
        <w:tc>
          <w:tcPr>
            <w:tcW w:w="1408" w:type="dxa"/>
            <w:tcBorders>
              <w:top w:val="nil"/>
              <w:left w:val="single" w:sz="4" w:space="0" w:color="auto"/>
              <w:bottom w:val="single" w:sz="4" w:space="0" w:color="auto"/>
              <w:right w:val="single" w:sz="4" w:space="0" w:color="auto"/>
            </w:tcBorders>
            <w:vAlign w:val="center"/>
            <w:hideMark/>
          </w:tcPr>
          <w:p w14:paraId="3B746372" w14:textId="77777777" w:rsidR="0078562D" w:rsidRPr="00D6514A" w:rsidRDefault="0078562D" w:rsidP="0078562D">
            <w:pPr>
              <w:jc w:val="center"/>
              <w:rPr>
                <w:rFonts w:eastAsia="Times New Roman"/>
                <w:sz w:val="16"/>
                <w:szCs w:val="16"/>
              </w:rPr>
            </w:pPr>
            <w:r w:rsidRPr="00D6514A">
              <w:rPr>
                <w:rFonts w:eastAsia="Times New Roman"/>
                <w:sz w:val="16"/>
                <w:szCs w:val="16"/>
              </w:rPr>
              <w:t>Capacidad Predictiva</w:t>
            </w:r>
          </w:p>
        </w:tc>
        <w:tc>
          <w:tcPr>
            <w:tcW w:w="2564" w:type="dxa"/>
            <w:tcBorders>
              <w:top w:val="nil"/>
              <w:left w:val="nil"/>
              <w:bottom w:val="single" w:sz="4" w:space="0" w:color="auto"/>
              <w:right w:val="single" w:sz="4" w:space="0" w:color="auto"/>
            </w:tcBorders>
            <w:vAlign w:val="center"/>
            <w:hideMark/>
          </w:tcPr>
          <w:p w14:paraId="7B17CFC5" w14:textId="77777777" w:rsidR="0078562D" w:rsidRPr="00D6514A" w:rsidRDefault="0078562D" w:rsidP="0078562D">
            <w:pPr>
              <w:jc w:val="center"/>
              <w:rPr>
                <w:rFonts w:eastAsia="Times New Roman"/>
                <w:sz w:val="16"/>
                <w:szCs w:val="16"/>
              </w:rPr>
            </w:pPr>
            <w:r w:rsidRPr="00D6514A">
              <w:rPr>
                <w:rFonts w:eastAsia="Times New Roman"/>
                <w:sz w:val="16"/>
                <w:szCs w:val="16"/>
              </w:rPr>
              <w:t>Moderada (limitado a las configuraciones probadas)</w:t>
            </w:r>
          </w:p>
        </w:tc>
        <w:tc>
          <w:tcPr>
            <w:tcW w:w="2247" w:type="dxa"/>
            <w:tcBorders>
              <w:top w:val="nil"/>
              <w:left w:val="nil"/>
              <w:bottom w:val="single" w:sz="4" w:space="0" w:color="auto"/>
              <w:right w:val="single" w:sz="4" w:space="0" w:color="auto"/>
            </w:tcBorders>
            <w:vAlign w:val="center"/>
            <w:hideMark/>
          </w:tcPr>
          <w:p w14:paraId="5B8AC415" w14:textId="77777777" w:rsidR="0078562D" w:rsidRPr="00D6514A" w:rsidRDefault="0078562D" w:rsidP="0078562D">
            <w:pPr>
              <w:jc w:val="center"/>
              <w:rPr>
                <w:rFonts w:eastAsia="Times New Roman"/>
                <w:sz w:val="16"/>
                <w:szCs w:val="16"/>
              </w:rPr>
            </w:pPr>
            <w:r w:rsidRPr="00D6514A">
              <w:rPr>
                <w:rFonts w:eastAsia="Times New Roman"/>
                <w:sz w:val="16"/>
                <w:szCs w:val="16"/>
              </w:rPr>
              <w:t>Moderada (basada en ecuaciones predefinidas)</w:t>
            </w:r>
          </w:p>
        </w:tc>
        <w:tc>
          <w:tcPr>
            <w:tcW w:w="1951" w:type="dxa"/>
            <w:tcBorders>
              <w:top w:val="nil"/>
              <w:left w:val="nil"/>
              <w:bottom w:val="single" w:sz="4" w:space="0" w:color="auto"/>
              <w:right w:val="single" w:sz="4" w:space="0" w:color="auto"/>
            </w:tcBorders>
            <w:vAlign w:val="center"/>
            <w:hideMark/>
          </w:tcPr>
          <w:p w14:paraId="75913BDB" w14:textId="77777777" w:rsidR="0078562D" w:rsidRPr="00D6514A" w:rsidRDefault="0078562D" w:rsidP="0078562D">
            <w:pPr>
              <w:jc w:val="center"/>
              <w:rPr>
                <w:rFonts w:eastAsia="Times New Roman"/>
                <w:sz w:val="16"/>
                <w:szCs w:val="16"/>
              </w:rPr>
            </w:pPr>
            <w:r w:rsidRPr="00D6514A">
              <w:rPr>
                <w:rFonts w:eastAsia="Times New Roman"/>
                <w:sz w:val="16"/>
                <w:szCs w:val="16"/>
              </w:rPr>
              <w:t>Alta (permite explorar configuraciones no experimentadas)</w:t>
            </w:r>
          </w:p>
        </w:tc>
        <w:tc>
          <w:tcPr>
            <w:tcW w:w="1748" w:type="dxa"/>
            <w:tcBorders>
              <w:top w:val="nil"/>
              <w:left w:val="nil"/>
              <w:bottom w:val="single" w:sz="4" w:space="0" w:color="auto"/>
              <w:right w:val="single" w:sz="4" w:space="0" w:color="auto"/>
            </w:tcBorders>
            <w:vAlign w:val="center"/>
            <w:hideMark/>
          </w:tcPr>
          <w:p w14:paraId="5FB245C8" w14:textId="77777777" w:rsidR="0078562D" w:rsidRPr="00D6514A" w:rsidRDefault="0078562D" w:rsidP="0078562D">
            <w:pPr>
              <w:jc w:val="center"/>
              <w:rPr>
                <w:rFonts w:eastAsia="Times New Roman"/>
                <w:sz w:val="16"/>
                <w:szCs w:val="16"/>
              </w:rPr>
            </w:pPr>
            <w:r w:rsidRPr="00D6514A">
              <w:rPr>
                <w:rFonts w:eastAsia="Times New Roman"/>
                <w:sz w:val="16"/>
                <w:szCs w:val="16"/>
              </w:rPr>
              <w:t>Muy Alta (descubre patrones complejos en grandes datos)</w:t>
            </w:r>
          </w:p>
        </w:tc>
      </w:tr>
    </w:tbl>
    <w:p w14:paraId="357FA8C7" w14:textId="77777777" w:rsidR="0078562D" w:rsidRDefault="0078562D" w:rsidP="00741422">
      <w:pPr>
        <w:jc w:val="both"/>
        <w:rPr>
          <w:sz w:val="20"/>
          <w:szCs w:val="20"/>
        </w:rPr>
      </w:pPr>
    </w:p>
    <w:p w14:paraId="48A0E7F9" w14:textId="0F89D366" w:rsidR="00741422" w:rsidRPr="0078562D" w:rsidRDefault="00741422" w:rsidP="00741422">
      <w:pPr>
        <w:jc w:val="both"/>
        <w:rPr>
          <w:sz w:val="20"/>
          <w:szCs w:val="20"/>
        </w:rPr>
      </w:pPr>
      <w:r w:rsidRPr="0078562D">
        <w:rPr>
          <w:sz w:val="20"/>
          <w:szCs w:val="20"/>
        </w:rPr>
        <w:t xml:space="preserve">De manera similar, el alto costo de los métodos experimentales refleja no solo el gasto en equipos especializados y personal capacitado </w:t>
      </w:r>
      <w:r w:rsidRPr="0078562D">
        <w:rPr>
          <w:b/>
          <w:bCs/>
          <w:sz w:val="20"/>
          <w:szCs w:val="20"/>
        </w:rPr>
        <w:t>[35]</w:t>
      </w:r>
      <w:r w:rsidRPr="0078562D">
        <w:rPr>
          <w:sz w:val="20"/>
          <w:szCs w:val="20"/>
        </w:rPr>
        <w:t xml:space="preserve">, sino también el tiempo requerido para fabricar múltiples muestras y realizar diferentes tipos de ensayos </w:t>
      </w:r>
      <w:r w:rsidRPr="0078562D">
        <w:rPr>
          <w:b/>
          <w:bCs/>
          <w:sz w:val="20"/>
          <w:szCs w:val="20"/>
        </w:rPr>
        <w:t>[49]</w:t>
      </w:r>
      <w:r w:rsidRPr="0078562D">
        <w:rPr>
          <w:sz w:val="20"/>
          <w:szCs w:val="20"/>
        </w:rPr>
        <w:t>. Por otro lado, los modelos analíticos obtienen una calificación de bajo costo debido a su naturaleza computacionalmente ligera y su implementación en cálculos manuales o hojas de cálculo simples, lo que los hace accesibles incluso con recursos limitados.</w:t>
      </w:r>
    </w:p>
    <w:bookmarkEnd w:id="12"/>
    <w:p w14:paraId="5FF02135" w14:textId="77777777" w:rsidR="00741422" w:rsidRPr="0078562D" w:rsidRDefault="00741422" w:rsidP="00741422">
      <w:pPr>
        <w:jc w:val="both"/>
        <w:rPr>
          <w:sz w:val="20"/>
          <w:szCs w:val="20"/>
        </w:rPr>
      </w:pPr>
    </w:p>
    <w:p w14:paraId="1A36E1B9" w14:textId="714699AF" w:rsidR="00741422" w:rsidRPr="0078562D" w:rsidRDefault="00741422" w:rsidP="00741422">
      <w:pPr>
        <w:jc w:val="both"/>
        <w:rPr>
          <w:sz w:val="20"/>
          <w:szCs w:val="20"/>
        </w:rPr>
      </w:pPr>
      <w:bookmarkStart w:id="14" w:name="_Hlk214617723"/>
      <w:r w:rsidRPr="0078562D">
        <w:rPr>
          <w:sz w:val="20"/>
          <w:szCs w:val="20"/>
        </w:rPr>
        <w:t xml:space="preserve">En cuanto a la capacidad predictiva, la inteligencia artificial recibe una valoración de "Muy Alta" porque algoritmos como las Redes Neuronales Convolucionales (CNN) han demostrado predecir campos de esfuerzo directamente desde micrografías con precisión superior al 99 % respecto a simulaciones por elementos finitos </w:t>
      </w:r>
      <w:r w:rsidRPr="0078562D">
        <w:rPr>
          <w:b/>
          <w:bCs/>
          <w:sz w:val="20"/>
          <w:szCs w:val="20"/>
        </w:rPr>
        <w:t>[28]</w:t>
      </w:r>
      <w:r w:rsidR="00982497" w:rsidRPr="0078562D">
        <w:rPr>
          <w:sz w:val="20"/>
          <w:szCs w:val="20"/>
        </w:rPr>
        <w:t>.</w:t>
      </w:r>
      <w:r w:rsidRPr="0078562D">
        <w:rPr>
          <w:sz w:val="20"/>
          <w:szCs w:val="20"/>
        </w:rPr>
        <w:t xml:space="preserve"> Este tipo de avance ilustra el potencial transformador de la IA </w:t>
      </w:r>
      <w:r w:rsidRPr="0078562D">
        <w:rPr>
          <w:sz w:val="20"/>
          <w:szCs w:val="20"/>
        </w:rPr>
        <w:lastRenderedPageBreak/>
        <w:t>en escenarios donde se dispone de datos representativos.</w:t>
      </w:r>
    </w:p>
    <w:p w14:paraId="2BCBB9A5" w14:textId="77777777" w:rsidR="00F358FE" w:rsidRPr="0078562D" w:rsidRDefault="00F358FE" w:rsidP="00741422">
      <w:pPr>
        <w:jc w:val="both"/>
        <w:rPr>
          <w:sz w:val="20"/>
          <w:szCs w:val="20"/>
        </w:rPr>
      </w:pPr>
      <w:bookmarkStart w:id="15" w:name="_Hlk214617729"/>
      <w:bookmarkEnd w:id="14"/>
    </w:p>
    <w:p w14:paraId="6D4F13CD" w14:textId="77777777" w:rsidR="004B516D" w:rsidRDefault="00741422" w:rsidP="00741422">
      <w:pPr>
        <w:jc w:val="both"/>
        <w:rPr>
          <w:sz w:val="20"/>
          <w:szCs w:val="20"/>
        </w:rPr>
      </w:pPr>
      <w:r w:rsidRPr="0078562D">
        <w:rPr>
          <w:sz w:val="20"/>
          <w:szCs w:val="20"/>
        </w:rPr>
        <w:t xml:space="preserve">Cabe destacar que, la flexibilidad alta de las técnicas de IA se sustenta en su capacidad para adaptarse a nuevas configuraciones de materiales sin necesidad de reformulaciones teóricas completas, simplemente mediante reentrenamiento con nuevos datos </w:t>
      </w:r>
      <w:r w:rsidRPr="0078562D">
        <w:rPr>
          <w:b/>
          <w:bCs/>
          <w:sz w:val="20"/>
          <w:szCs w:val="20"/>
        </w:rPr>
        <w:t>[62]</w:t>
      </w:r>
      <w:r w:rsidRPr="0078562D">
        <w:rPr>
          <w:sz w:val="20"/>
          <w:szCs w:val="20"/>
        </w:rPr>
        <w:t>. Esta característica contrasta con los modelos analíticos, cuya aplicabilidad está</w:t>
      </w:r>
    </w:p>
    <w:p w14:paraId="4E54758B" w14:textId="45190E86" w:rsidR="00D156DB" w:rsidRPr="0078562D" w:rsidRDefault="00741422" w:rsidP="00741422">
      <w:pPr>
        <w:jc w:val="both"/>
        <w:rPr>
          <w:sz w:val="20"/>
          <w:szCs w:val="20"/>
        </w:rPr>
      </w:pPr>
      <w:r w:rsidRPr="0078562D">
        <w:rPr>
          <w:sz w:val="20"/>
          <w:szCs w:val="20"/>
        </w:rPr>
        <w:t xml:space="preserve">restringida a geometrías y condiciones específicas </w:t>
      </w:r>
      <w:r w:rsidRPr="0078562D">
        <w:rPr>
          <w:b/>
          <w:bCs/>
          <w:sz w:val="20"/>
          <w:szCs w:val="20"/>
        </w:rPr>
        <w:t>[51]</w:t>
      </w:r>
      <w:r w:rsidRPr="0078562D">
        <w:rPr>
          <w:sz w:val="20"/>
          <w:szCs w:val="20"/>
        </w:rPr>
        <w:t xml:space="preserve">. </w:t>
      </w:r>
    </w:p>
    <w:bookmarkEnd w:id="13"/>
    <w:bookmarkEnd w:id="15"/>
    <w:p w14:paraId="64904B02" w14:textId="77777777" w:rsidR="0078562D" w:rsidRPr="0078562D" w:rsidRDefault="0078562D" w:rsidP="00A833EB">
      <w:pPr>
        <w:jc w:val="both"/>
        <w:rPr>
          <w:sz w:val="20"/>
          <w:szCs w:val="20"/>
        </w:rPr>
      </w:pPr>
    </w:p>
    <w:p w14:paraId="32B9C29E" w14:textId="5AAAFD4F" w:rsidR="00D55AF0" w:rsidRPr="0078562D" w:rsidRDefault="00D55AF0" w:rsidP="00D55AF0">
      <w:pPr>
        <w:pStyle w:val="Prrafodelista"/>
        <w:numPr>
          <w:ilvl w:val="0"/>
          <w:numId w:val="9"/>
        </w:numPr>
        <w:rPr>
          <w:sz w:val="20"/>
          <w:szCs w:val="20"/>
        </w:rPr>
      </w:pPr>
      <w:bookmarkStart w:id="16" w:name="_Hlk214617612"/>
      <w:r w:rsidRPr="0078562D">
        <w:rPr>
          <w:sz w:val="20"/>
          <w:szCs w:val="20"/>
        </w:rPr>
        <w:t>Perspectivas futuras</w:t>
      </w:r>
    </w:p>
    <w:p w14:paraId="04AB62D8" w14:textId="77777777" w:rsidR="00E96B99" w:rsidRPr="0078562D" w:rsidRDefault="00E96B99" w:rsidP="00E96B99">
      <w:pPr>
        <w:pStyle w:val="Prrafodelista"/>
        <w:ind w:left="360"/>
        <w:rPr>
          <w:sz w:val="20"/>
          <w:szCs w:val="20"/>
        </w:rPr>
      </w:pPr>
    </w:p>
    <w:p w14:paraId="27D23A75" w14:textId="168935FF" w:rsidR="00E96B99" w:rsidRPr="0078562D" w:rsidRDefault="00E96B99" w:rsidP="00E96B99">
      <w:pPr>
        <w:jc w:val="both"/>
        <w:rPr>
          <w:sz w:val="20"/>
          <w:szCs w:val="20"/>
        </w:rPr>
      </w:pPr>
      <w:r w:rsidRPr="0078562D">
        <w:rPr>
          <w:sz w:val="20"/>
          <w:szCs w:val="20"/>
        </w:rPr>
        <w:t>El análisis comparativo de metodologías para predecir propiedades mecánicas en compuestos revela una transición hacia un ecosistema predictivo integrado, donde los enfoques físicos y de inteligencia artificial ya no se oponen, sino que se refuerzan mutuamente</w:t>
      </w:r>
      <w:r w:rsidR="00063982" w:rsidRPr="0078562D">
        <w:rPr>
          <w:sz w:val="20"/>
          <w:szCs w:val="20"/>
        </w:rPr>
        <w:t xml:space="preserve"> </w:t>
      </w:r>
      <w:r w:rsidR="00063982" w:rsidRPr="0078562D">
        <w:rPr>
          <w:b/>
          <w:bCs/>
          <w:sz w:val="20"/>
          <w:szCs w:val="20"/>
        </w:rPr>
        <w:t>[65],</w:t>
      </w:r>
      <w:r w:rsidR="00217560" w:rsidRPr="0078562D">
        <w:rPr>
          <w:b/>
          <w:bCs/>
          <w:sz w:val="20"/>
          <w:szCs w:val="20"/>
        </w:rPr>
        <w:t xml:space="preserve"> </w:t>
      </w:r>
      <w:r w:rsidR="00063982" w:rsidRPr="0078562D">
        <w:rPr>
          <w:b/>
          <w:bCs/>
          <w:sz w:val="20"/>
          <w:szCs w:val="20"/>
        </w:rPr>
        <w:t>[66]</w:t>
      </w:r>
      <w:r w:rsidRPr="0078562D">
        <w:rPr>
          <w:sz w:val="20"/>
          <w:szCs w:val="20"/>
        </w:rPr>
        <w:t>.</w:t>
      </w:r>
    </w:p>
    <w:p w14:paraId="47195CE4" w14:textId="77777777" w:rsidR="00E96B99" w:rsidRPr="0078562D" w:rsidRDefault="00E96B99" w:rsidP="00E96B99">
      <w:pPr>
        <w:jc w:val="both"/>
        <w:rPr>
          <w:sz w:val="20"/>
          <w:szCs w:val="20"/>
        </w:rPr>
      </w:pPr>
    </w:p>
    <w:p w14:paraId="330D6E1F" w14:textId="77777777" w:rsidR="00E96B99" w:rsidRPr="0078562D" w:rsidRDefault="00E96B99" w:rsidP="00E96B99">
      <w:pPr>
        <w:jc w:val="both"/>
        <w:rPr>
          <w:sz w:val="20"/>
          <w:szCs w:val="20"/>
        </w:rPr>
      </w:pPr>
      <w:r w:rsidRPr="0078562D">
        <w:rPr>
          <w:sz w:val="20"/>
          <w:szCs w:val="20"/>
        </w:rPr>
        <w:t>La simulación por elementos finitos se está acelerando mediante modelos sustitutos guiados por principios físicos, mientras que redes convolucionales y de grafos extraen comportamiento mecánico directamente de imágenes microestructurales, eliminando la necesidad de modelado explícito. Esta convergencia entre visión artificial y mecánica de medios continuos redefine la predicción: ya no es una extrapolación teórica, sino una interpretación inteligente de la realidad material.</w:t>
      </w:r>
    </w:p>
    <w:p w14:paraId="25466631" w14:textId="77777777" w:rsidR="00E96B99" w:rsidRPr="0078562D" w:rsidRDefault="00E96B99" w:rsidP="00E96B99">
      <w:pPr>
        <w:jc w:val="both"/>
        <w:rPr>
          <w:sz w:val="20"/>
          <w:szCs w:val="20"/>
        </w:rPr>
      </w:pPr>
    </w:p>
    <w:p w14:paraId="18CB31DB" w14:textId="7F73B1CF" w:rsidR="00E96B99" w:rsidRPr="0078562D" w:rsidRDefault="00E96B99" w:rsidP="00E96B99">
      <w:pPr>
        <w:jc w:val="both"/>
        <w:rPr>
          <w:sz w:val="20"/>
          <w:szCs w:val="20"/>
        </w:rPr>
      </w:pPr>
      <w:r w:rsidRPr="0078562D">
        <w:rPr>
          <w:sz w:val="20"/>
          <w:szCs w:val="20"/>
        </w:rPr>
        <w:t>Sin embargo, persisten barreras críticas. La escasez de datos estandarizados, representativos y bien documentados limita la generalización y favorece el sobreajuste. Además, la opacidad de los modelos de aprendizaje profundo genera desconfianza en entornos industriales, donde se exige trazabilidad mecanicista. La mayoría de estos modelos ignoran condiciones reales de servicio reduciendo su aplicabilidad práctica.</w:t>
      </w:r>
    </w:p>
    <w:p w14:paraId="0E15E2B0" w14:textId="77777777" w:rsidR="00F92832" w:rsidRPr="0078562D" w:rsidRDefault="00F92832" w:rsidP="00E96B99">
      <w:pPr>
        <w:jc w:val="both"/>
        <w:rPr>
          <w:sz w:val="20"/>
          <w:szCs w:val="20"/>
        </w:rPr>
      </w:pPr>
    </w:p>
    <w:p w14:paraId="1A31ACCB" w14:textId="77777777" w:rsidR="00F92832" w:rsidRPr="0078562D" w:rsidRDefault="00E96B99" w:rsidP="00E96B99">
      <w:pPr>
        <w:jc w:val="both"/>
        <w:rPr>
          <w:sz w:val="20"/>
          <w:szCs w:val="20"/>
        </w:rPr>
      </w:pPr>
      <w:r w:rsidRPr="0078562D">
        <w:rPr>
          <w:sz w:val="20"/>
          <w:szCs w:val="20"/>
        </w:rPr>
        <w:t xml:space="preserve">Las rutas más prometedoras apuntan a marcos híbridos: integrar la solidez de los modelos físicos con la adaptabilidad de la IA, sin sacrificar los principios fundamentales. Es urgente desarrollar bases de datos abiertas que incluyan propiedades mecánicas, parámetros de procesamiento, tratamientos superficiales y condiciones ambientales. </w:t>
      </w:r>
    </w:p>
    <w:p w14:paraId="752CBF26" w14:textId="77777777" w:rsidR="00F92832" w:rsidRPr="0078562D" w:rsidRDefault="00F92832" w:rsidP="00E96B99">
      <w:pPr>
        <w:jc w:val="both"/>
        <w:rPr>
          <w:sz w:val="20"/>
          <w:szCs w:val="20"/>
        </w:rPr>
      </w:pPr>
    </w:p>
    <w:p w14:paraId="0E70064A" w14:textId="00E78F4E" w:rsidR="000F2E71" w:rsidRPr="0078562D" w:rsidRDefault="00E96B99" w:rsidP="00E96B99">
      <w:pPr>
        <w:jc w:val="both"/>
        <w:rPr>
          <w:sz w:val="20"/>
          <w:szCs w:val="20"/>
        </w:rPr>
      </w:pPr>
      <w:r w:rsidRPr="0078562D">
        <w:rPr>
          <w:sz w:val="20"/>
          <w:szCs w:val="20"/>
        </w:rPr>
        <w:t>Paralelamente, se necesita inteligencia artificial explicable, capaz de vincular predicciones con mecanismos observables</w:t>
      </w:r>
      <w:r w:rsidR="00F92832" w:rsidRPr="0078562D">
        <w:rPr>
          <w:sz w:val="20"/>
          <w:szCs w:val="20"/>
        </w:rPr>
        <w:t xml:space="preserve"> </w:t>
      </w:r>
      <w:r w:rsidRPr="0078562D">
        <w:rPr>
          <w:sz w:val="20"/>
          <w:szCs w:val="20"/>
        </w:rPr>
        <w:t>para convertir predicciones eficientes en decisiones de diseño confiables, seguras y sostenibles</w:t>
      </w:r>
      <w:bookmarkEnd w:id="16"/>
      <w:r w:rsidRPr="0078562D">
        <w:rPr>
          <w:sz w:val="20"/>
          <w:szCs w:val="20"/>
        </w:rPr>
        <w:t>.</w:t>
      </w:r>
    </w:p>
    <w:p w14:paraId="07C373B2" w14:textId="77777777" w:rsidR="00E96B99" w:rsidRPr="00D6514A" w:rsidRDefault="00E96B99" w:rsidP="00E96B99">
      <w:pPr>
        <w:jc w:val="both"/>
        <w:rPr>
          <w:sz w:val="22"/>
          <w:szCs w:val="22"/>
          <w:lang w:val="es-CO"/>
        </w:rPr>
      </w:pPr>
    </w:p>
    <w:p w14:paraId="7DFB6027" w14:textId="77777777" w:rsidR="004B311C" w:rsidRPr="0078562D" w:rsidRDefault="00FF6F5A">
      <w:pPr>
        <w:jc w:val="center"/>
        <w:rPr>
          <w:b/>
          <w:sz w:val="18"/>
          <w:szCs w:val="18"/>
        </w:rPr>
      </w:pPr>
      <w:r w:rsidRPr="0078562D">
        <w:rPr>
          <w:b/>
          <w:sz w:val="18"/>
          <w:szCs w:val="18"/>
        </w:rPr>
        <w:t xml:space="preserve">IV. </w:t>
      </w:r>
      <w:r w:rsidR="000F2E71" w:rsidRPr="0078562D">
        <w:rPr>
          <w:b/>
          <w:sz w:val="18"/>
          <w:szCs w:val="18"/>
        </w:rPr>
        <w:t>CONCLUSIONES</w:t>
      </w:r>
    </w:p>
    <w:p w14:paraId="55A97861" w14:textId="77777777" w:rsidR="00F862C1" w:rsidRPr="00D6514A" w:rsidRDefault="00F862C1" w:rsidP="000F2E71">
      <w:pPr>
        <w:ind w:firstLine="144"/>
        <w:jc w:val="both"/>
        <w:rPr>
          <w:b/>
          <w:sz w:val="22"/>
          <w:szCs w:val="22"/>
        </w:rPr>
      </w:pPr>
    </w:p>
    <w:p w14:paraId="5C5630DD" w14:textId="22669D33" w:rsidR="000F2E71" w:rsidRPr="0078562D" w:rsidRDefault="000F2E71" w:rsidP="000F2E71">
      <w:pPr>
        <w:ind w:firstLine="144"/>
        <w:jc w:val="both"/>
        <w:rPr>
          <w:sz w:val="20"/>
          <w:szCs w:val="20"/>
        </w:rPr>
      </w:pPr>
      <w:r w:rsidRPr="0078562D">
        <w:rPr>
          <w:sz w:val="20"/>
          <w:szCs w:val="20"/>
        </w:rPr>
        <w:t>El estudio reveló que las metodologías para la predicción de propiedades mecánicas de materiales compuestos se agrupan principalmente en enfoques experimentales, analíticos, numéricos (FEM) y de inteligencia artificial, cada uno con sus ventajas y limitaciones, pero a menudo complementarios entre sí.</w:t>
      </w:r>
    </w:p>
    <w:p w14:paraId="719D674C" w14:textId="77777777" w:rsidR="000F2E71" w:rsidRPr="0078562D" w:rsidRDefault="000F2E71" w:rsidP="000F2E71">
      <w:pPr>
        <w:ind w:firstLine="144"/>
        <w:jc w:val="both"/>
        <w:rPr>
          <w:sz w:val="20"/>
          <w:szCs w:val="20"/>
        </w:rPr>
      </w:pPr>
    </w:p>
    <w:p w14:paraId="3E90C6B8" w14:textId="77777777" w:rsidR="000F2E71" w:rsidRPr="0078562D" w:rsidRDefault="000F2E71" w:rsidP="000F2E71">
      <w:pPr>
        <w:ind w:firstLine="144"/>
        <w:jc w:val="both"/>
        <w:rPr>
          <w:sz w:val="20"/>
          <w:szCs w:val="20"/>
        </w:rPr>
      </w:pPr>
      <w:r w:rsidRPr="0078562D">
        <w:rPr>
          <w:sz w:val="20"/>
          <w:szCs w:val="20"/>
        </w:rPr>
        <w:t>El análisis comparativo de estas metodologías permitió identificar sus fortalezas y desafíos. Las pruebas experimentales destacan por su alta precisión y fiabilidad, aunque presentan limitaciones en términos de costos, tiempo y replicabilidad en condiciones reales. Los modelos analíticos, por su parte, ofrecen rapidez y simplicidad, pero su aplicabilidad está restringida por las simplificaciones que asumen en su formulación.</w:t>
      </w:r>
    </w:p>
    <w:p w14:paraId="53246147" w14:textId="77777777" w:rsidR="000F2E71" w:rsidRPr="0078562D" w:rsidRDefault="000F2E71" w:rsidP="000F2E71">
      <w:pPr>
        <w:ind w:firstLine="144"/>
        <w:jc w:val="both"/>
        <w:rPr>
          <w:sz w:val="20"/>
          <w:szCs w:val="20"/>
        </w:rPr>
      </w:pPr>
    </w:p>
    <w:p w14:paraId="35B4B1DE" w14:textId="77777777" w:rsidR="000F2E71" w:rsidRPr="0078562D" w:rsidRDefault="000F2E71" w:rsidP="000F2E71">
      <w:pPr>
        <w:ind w:firstLine="144"/>
        <w:jc w:val="both"/>
        <w:rPr>
          <w:sz w:val="20"/>
          <w:szCs w:val="20"/>
        </w:rPr>
      </w:pPr>
      <w:r w:rsidRPr="0078562D">
        <w:rPr>
          <w:sz w:val="20"/>
          <w:szCs w:val="20"/>
        </w:rPr>
        <w:t>El método de elementos finitos (FEM) sobresale como una herramienta poderosa para modelar configuraciones complejas, aunque requiere recursos computacionales significativos y validación experimental. En contraste, las técnicas de inteligencia artificial, como el aprendizaje automático y profundo, muestran un gran potencial para manejar datos complejos y reducir costos experimentales. Sin embargo, estas técnicas enfrentan desafíos relacionados con la calidad de los datos y la interpretabilidad de los modelos.</w:t>
      </w:r>
    </w:p>
    <w:p w14:paraId="701859A7" w14:textId="77777777" w:rsidR="000F2E71" w:rsidRPr="0078562D" w:rsidRDefault="000F2E71" w:rsidP="000F2E71">
      <w:pPr>
        <w:ind w:firstLine="144"/>
        <w:jc w:val="both"/>
        <w:rPr>
          <w:sz w:val="20"/>
          <w:szCs w:val="20"/>
        </w:rPr>
      </w:pPr>
    </w:p>
    <w:p w14:paraId="71344ADC" w14:textId="77777777" w:rsidR="000F2E71" w:rsidRPr="00D6514A" w:rsidRDefault="000F2E71" w:rsidP="000F2E71">
      <w:pPr>
        <w:ind w:firstLine="144"/>
        <w:jc w:val="both"/>
        <w:rPr>
          <w:sz w:val="22"/>
          <w:szCs w:val="22"/>
        </w:rPr>
      </w:pPr>
      <w:r w:rsidRPr="0078562D">
        <w:rPr>
          <w:sz w:val="20"/>
          <w:szCs w:val="20"/>
        </w:rPr>
        <w:t>Este estudio subraya la importancia de integrar enfoques complementarios para enfrentar la complejidad inherente a los materiales compuestos. Una combinación estratégica de métodos experimentales, analíticos, FEM y técnicas de inteligencia artificial puede generar predicciones más precisas y robustas, optimizando el diseño y desarrollo de estos materiales. La selección del método más adecuado dependerá del contexto de aplicación y de los recursos disponibles.</w:t>
      </w:r>
    </w:p>
    <w:p w14:paraId="5A920ACA" w14:textId="77777777" w:rsidR="00D27C65" w:rsidRPr="00D6514A" w:rsidRDefault="00D27C65" w:rsidP="000F2E71">
      <w:pPr>
        <w:ind w:firstLine="144"/>
        <w:jc w:val="both"/>
        <w:rPr>
          <w:sz w:val="22"/>
          <w:szCs w:val="22"/>
        </w:rPr>
      </w:pPr>
    </w:p>
    <w:p w14:paraId="7DB56CDB" w14:textId="2840E39B" w:rsidR="004B311C" w:rsidRPr="0078562D" w:rsidRDefault="0078562D">
      <w:pPr>
        <w:spacing w:before="160" w:after="80"/>
        <w:jc w:val="center"/>
        <w:rPr>
          <w:b/>
          <w:bCs/>
          <w:smallCaps/>
          <w:sz w:val="18"/>
          <w:szCs w:val="18"/>
          <w:lang w:val="en-US"/>
        </w:rPr>
      </w:pPr>
      <w:r w:rsidRPr="0078562D">
        <w:rPr>
          <w:b/>
          <w:bCs/>
          <w:smallCaps/>
          <w:sz w:val="18"/>
          <w:szCs w:val="18"/>
          <w:lang w:val="en-US"/>
        </w:rPr>
        <w:t xml:space="preserve">V. </w:t>
      </w:r>
      <w:r w:rsidR="00FF6F5A" w:rsidRPr="0078562D">
        <w:rPr>
          <w:b/>
          <w:bCs/>
          <w:smallCaps/>
          <w:sz w:val="18"/>
          <w:szCs w:val="18"/>
          <w:lang w:val="en-US"/>
        </w:rPr>
        <w:t>REFERENCIAS</w:t>
      </w:r>
    </w:p>
    <w:p w14:paraId="00836EA6" w14:textId="77777777" w:rsidR="00564928" w:rsidRPr="0078562D" w:rsidRDefault="00564928" w:rsidP="00564928">
      <w:pPr>
        <w:jc w:val="both"/>
        <w:rPr>
          <w:sz w:val="20"/>
          <w:szCs w:val="20"/>
          <w:lang w:val="en-US"/>
        </w:rPr>
      </w:pPr>
      <w:r w:rsidRPr="0078562D">
        <w:rPr>
          <w:sz w:val="20"/>
          <w:szCs w:val="20"/>
          <w:lang w:val="pl-PL"/>
        </w:rPr>
        <w:fldChar w:fldCharType="begin"/>
      </w:r>
      <w:r w:rsidRPr="0078562D">
        <w:rPr>
          <w:sz w:val="20"/>
          <w:szCs w:val="20"/>
          <w:lang w:val="pl-PL"/>
        </w:rPr>
        <w:instrText xml:space="preserve"> ADDIN ZOTERO_BIBL {"uncited":[],"omitted":[],"custom":[]} CSL_BIBLIOGRAPHY </w:instrText>
      </w:r>
      <w:r w:rsidRPr="0078562D">
        <w:rPr>
          <w:sz w:val="20"/>
          <w:szCs w:val="20"/>
          <w:lang w:val="pl-PL"/>
        </w:rPr>
        <w:fldChar w:fldCharType="separate"/>
      </w:r>
      <w:r w:rsidRPr="0078562D">
        <w:rPr>
          <w:sz w:val="20"/>
          <w:szCs w:val="20"/>
          <w:lang w:val="en-US"/>
        </w:rPr>
        <w:t>[1]</w:t>
      </w:r>
      <w:r w:rsidRPr="0078562D">
        <w:rPr>
          <w:sz w:val="20"/>
          <w:szCs w:val="20"/>
          <w:lang w:val="en-US"/>
        </w:rPr>
        <w:tab/>
        <w:t xml:space="preserve">V. S. Hiremath, D. M. Reddy, R. Reddy Mutra, A. Sanjeev, T. Dhilipkumar, y N. J, «Thermal degradation and fire retardant behaviour of natural </w:t>
      </w:r>
      <w:r w:rsidRPr="0078562D">
        <w:rPr>
          <w:sz w:val="20"/>
          <w:szCs w:val="20"/>
          <w:lang w:val="en-US"/>
        </w:rPr>
        <w:lastRenderedPageBreak/>
        <w:t xml:space="preserve">fibre reinforced polymeric composites- A comprehensive review», </w:t>
      </w:r>
      <w:r w:rsidRPr="0078562D">
        <w:rPr>
          <w:i/>
          <w:iCs/>
          <w:sz w:val="20"/>
          <w:szCs w:val="20"/>
          <w:lang w:val="en-US"/>
        </w:rPr>
        <w:t>J. Mater. Res. Technol.</w:t>
      </w:r>
      <w:r w:rsidRPr="0078562D">
        <w:rPr>
          <w:sz w:val="20"/>
          <w:szCs w:val="20"/>
          <w:lang w:val="en-US"/>
        </w:rPr>
        <w:t>, vol. 30, pp. 4053-4063, may 2024, doi: 10.1016/j.jmrt.2024.04.085.</w:t>
      </w:r>
    </w:p>
    <w:p w14:paraId="4D38935F" w14:textId="77777777" w:rsidR="00564928" w:rsidRPr="0078562D" w:rsidRDefault="00564928" w:rsidP="00564928">
      <w:pPr>
        <w:jc w:val="both"/>
        <w:rPr>
          <w:sz w:val="20"/>
          <w:szCs w:val="20"/>
          <w:lang w:val="en-US"/>
        </w:rPr>
      </w:pPr>
      <w:r w:rsidRPr="0078562D">
        <w:rPr>
          <w:sz w:val="20"/>
          <w:szCs w:val="20"/>
          <w:lang w:val="en-US"/>
        </w:rPr>
        <w:t>[2]</w:t>
      </w:r>
      <w:r w:rsidRPr="0078562D">
        <w:rPr>
          <w:sz w:val="20"/>
          <w:szCs w:val="20"/>
          <w:lang w:val="en-US"/>
        </w:rPr>
        <w:tab/>
        <w:t xml:space="preserve">Y. Wang y Z. Huang, «A Review of Analytical Micromechanics Models on Composite Elastoplastic Behaviour», </w:t>
      </w:r>
      <w:r w:rsidRPr="0078562D">
        <w:rPr>
          <w:i/>
          <w:iCs/>
          <w:sz w:val="20"/>
          <w:szCs w:val="20"/>
          <w:lang w:val="en-US"/>
        </w:rPr>
        <w:t>Procedia Eng.</w:t>
      </w:r>
      <w:r w:rsidRPr="0078562D">
        <w:rPr>
          <w:sz w:val="20"/>
          <w:szCs w:val="20"/>
          <w:lang w:val="en-US"/>
        </w:rPr>
        <w:t>, vol. 173, pp. 1283-1290, 2017, doi: 10.1016/j.proeng.2016.12.159.</w:t>
      </w:r>
    </w:p>
    <w:p w14:paraId="0E7A7EC7" w14:textId="5019032D" w:rsidR="00564928" w:rsidRPr="0078562D" w:rsidRDefault="00564928" w:rsidP="00564928">
      <w:pPr>
        <w:jc w:val="both"/>
        <w:rPr>
          <w:sz w:val="20"/>
          <w:szCs w:val="20"/>
          <w:lang w:val="en-US"/>
        </w:rPr>
      </w:pPr>
      <w:r w:rsidRPr="0078562D">
        <w:rPr>
          <w:sz w:val="20"/>
          <w:szCs w:val="20"/>
          <w:lang w:val="en-US"/>
        </w:rPr>
        <w:t>[3]</w:t>
      </w:r>
      <w:r w:rsidRPr="0078562D">
        <w:rPr>
          <w:sz w:val="20"/>
          <w:szCs w:val="20"/>
          <w:lang w:val="en-US"/>
        </w:rPr>
        <w:tab/>
        <w:t xml:space="preserve">G. Qin, Q. Fan, P. Mi, M. Li, W. Mu, y J. Na, «Review of aging mechanisms, mechanical properties, and prediction models of fiber-reinforced composites in natural environments», </w:t>
      </w:r>
      <w:r w:rsidRPr="0078562D">
        <w:rPr>
          <w:i/>
          <w:iCs/>
          <w:sz w:val="20"/>
          <w:szCs w:val="20"/>
          <w:lang w:val="en-US"/>
        </w:rPr>
        <w:t>Polym. Compos.</w:t>
      </w:r>
      <w:r w:rsidRPr="0078562D">
        <w:rPr>
          <w:sz w:val="20"/>
          <w:szCs w:val="20"/>
          <w:lang w:val="en-US"/>
        </w:rPr>
        <w:t>, vol. 45, n.</w:t>
      </w:r>
      <w:r w:rsidRPr="0078562D">
        <w:rPr>
          <w:sz w:val="20"/>
          <w:szCs w:val="20"/>
          <w:vertAlign w:val="superscript"/>
          <w:lang w:val="en-US"/>
        </w:rPr>
        <w:t>o</w:t>
      </w:r>
      <w:r w:rsidRPr="0078562D">
        <w:rPr>
          <w:sz w:val="20"/>
          <w:szCs w:val="20"/>
          <w:lang w:val="en-US"/>
        </w:rPr>
        <w:t xml:space="preserve"> 16, pp. 14448-14474, 2024, doi: 10.1002/pc.28799.</w:t>
      </w:r>
    </w:p>
    <w:p w14:paraId="0C5E6061" w14:textId="77777777" w:rsidR="00564928" w:rsidRPr="0078562D" w:rsidRDefault="00564928" w:rsidP="00564928">
      <w:pPr>
        <w:jc w:val="both"/>
        <w:rPr>
          <w:sz w:val="20"/>
          <w:szCs w:val="20"/>
          <w:lang w:val="en-US"/>
        </w:rPr>
      </w:pPr>
      <w:r w:rsidRPr="0078562D">
        <w:rPr>
          <w:sz w:val="20"/>
          <w:szCs w:val="20"/>
          <w:lang w:val="en-US"/>
        </w:rPr>
        <w:t>[4]</w:t>
      </w:r>
      <w:r w:rsidRPr="0078562D">
        <w:rPr>
          <w:sz w:val="20"/>
          <w:szCs w:val="20"/>
          <w:lang w:val="en-US"/>
        </w:rPr>
        <w:tab/>
        <w:t xml:space="preserve">R. Phiri, S. Mavinkere Rangappa, S. Siengchin, O. P. Oladijo, y T. Ozbakkaloglu, «Advances in lightweight composite structures and manufacturing technologies: A comprehensive review», </w:t>
      </w:r>
      <w:r w:rsidRPr="0078562D">
        <w:rPr>
          <w:i/>
          <w:iCs/>
          <w:sz w:val="20"/>
          <w:szCs w:val="20"/>
          <w:lang w:val="en-US"/>
        </w:rPr>
        <w:t>Heliyon</w:t>
      </w:r>
      <w:r w:rsidRPr="0078562D">
        <w:rPr>
          <w:sz w:val="20"/>
          <w:szCs w:val="20"/>
          <w:lang w:val="en-US"/>
        </w:rPr>
        <w:t>, vol. 10, n.</w:t>
      </w:r>
      <w:r w:rsidRPr="0078562D">
        <w:rPr>
          <w:sz w:val="20"/>
          <w:szCs w:val="20"/>
          <w:vertAlign w:val="superscript"/>
          <w:lang w:val="en-US"/>
        </w:rPr>
        <w:t>o</w:t>
      </w:r>
      <w:r w:rsidRPr="0078562D">
        <w:rPr>
          <w:sz w:val="20"/>
          <w:szCs w:val="20"/>
          <w:lang w:val="en-US"/>
        </w:rPr>
        <w:t xml:space="preserve"> 21, p. e39661, nov. 2024, doi: 10.1016/j.heliyon.2024.e39661.</w:t>
      </w:r>
    </w:p>
    <w:p w14:paraId="1BA412AD" w14:textId="6BFF7441" w:rsidR="00564928" w:rsidRPr="0078562D" w:rsidRDefault="00564928" w:rsidP="00564928">
      <w:pPr>
        <w:jc w:val="both"/>
        <w:rPr>
          <w:sz w:val="20"/>
          <w:szCs w:val="20"/>
          <w:lang w:val="en-US"/>
        </w:rPr>
      </w:pPr>
      <w:r w:rsidRPr="0078562D">
        <w:rPr>
          <w:sz w:val="20"/>
          <w:szCs w:val="20"/>
          <w:lang w:val="en-US"/>
        </w:rPr>
        <w:t>[5]</w:t>
      </w:r>
      <w:r w:rsidRPr="0078562D">
        <w:rPr>
          <w:sz w:val="20"/>
          <w:szCs w:val="20"/>
          <w:lang w:val="en-US"/>
        </w:rPr>
        <w:tab/>
      </w:r>
      <w:r w:rsidR="00970208" w:rsidRPr="0078562D">
        <w:rPr>
          <w:sz w:val="20"/>
          <w:szCs w:val="20"/>
          <w:lang w:val="en-US"/>
        </w:rPr>
        <w:t>D. D. Olodu, G. O. Okagbare, y S. O. Ikri</w:t>
      </w:r>
      <w:r w:rsidRPr="0078562D">
        <w:rPr>
          <w:sz w:val="20"/>
          <w:szCs w:val="20"/>
          <w:lang w:val="en-US"/>
        </w:rPr>
        <w:t xml:space="preserve">, «A Review on the Industrial Applications and Properties of Fiber-Reinforced and Other Polymeric Composites», </w:t>
      </w:r>
      <w:r w:rsidRPr="0078562D">
        <w:rPr>
          <w:i/>
          <w:iCs/>
          <w:sz w:val="20"/>
          <w:szCs w:val="20"/>
          <w:lang w:val="en-US"/>
        </w:rPr>
        <w:t>NIPES - J. Sci. Technol. Res.</w:t>
      </w:r>
      <w:r w:rsidRPr="0078562D">
        <w:rPr>
          <w:sz w:val="20"/>
          <w:szCs w:val="20"/>
          <w:lang w:val="en-US"/>
        </w:rPr>
        <w:t>, vol. 4, n.</w:t>
      </w:r>
      <w:r w:rsidRPr="0078562D">
        <w:rPr>
          <w:sz w:val="20"/>
          <w:szCs w:val="20"/>
          <w:vertAlign w:val="superscript"/>
          <w:lang w:val="en-US"/>
        </w:rPr>
        <w:t>o</w:t>
      </w:r>
      <w:r w:rsidRPr="0078562D">
        <w:rPr>
          <w:sz w:val="20"/>
          <w:szCs w:val="20"/>
          <w:lang w:val="en-US"/>
        </w:rPr>
        <w:t xml:space="preserve"> 2, jun. 2022, doi: 10.37933/nipes/4.2.2022.15.</w:t>
      </w:r>
    </w:p>
    <w:p w14:paraId="006D3B7C" w14:textId="77777777" w:rsidR="00564928" w:rsidRPr="0078562D" w:rsidRDefault="00564928" w:rsidP="00564928">
      <w:pPr>
        <w:jc w:val="both"/>
        <w:rPr>
          <w:sz w:val="20"/>
          <w:szCs w:val="20"/>
          <w:lang w:val="en-US"/>
        </w:rPr>
      </w:pPr>
      <w:r w:rsidRPr="0078562D">
        <w:rPr>
          <w:sz w:val="20"/>
          <w:szCs w:val="20"/>
          <w:lang w:val="en-US"/>
        </w:rPr>
        <w:t>[6]</w:t>
      </w:r>
      <w:r w:rsidRPr="0078562D">
        <w:rPr>
          <w:sz w:val="20"/>
          <w:szCs w:val="20"/>
          <w:lang w:val="en-US"/>
        </w:rPr>
        <w:tab/>
        <w:t xml:space="preserve">P.-H. Lai, E. D. Gomez, B. D. Vogt, y W. F. Reinhart, «Predicting the Strength of Composites with Computer Vision Using Small Experimental Datasets», </w:t>
      </w:r>
      <w:r w:rsidRPr="0078562D">
        <w:rPr>
          <w:i/>
          <w:iCs/>
          <w:sz w:val="20"/>
          <w:szCs w:val="20"/>
          <w:lang w:val="en-US"/>
        </w:rPr>
        <w:t>ACS Mater. Lett.</w:t>
      </w:r>
      <w:r w:rsidRPr="0078562D">
        <w:rPr>
          <w:sz w:val="20"/>
          <w:szCs w:val="20"/>
          <w:lang w:val="en-US"/>
        </w:rPr>
        <w:t>, vol. 7, n.</w:t>
      </w:r>
      <w:r w:rsidRPr="0078562D">
        <w:rPr>
          <w:sz w:val="20"/>
          <w:szCs w:val="20"/>
          <w:vertAlign w:val="superscript"/>
          <w:lang w:val="en-US"/>
        </w:rPr>
        <w:t>o</w:t>
      </w:r>
      <w:r w:rsidRPr="0078562D">
        <w:rPr>
          <w:sz w:val="20"/>
          <w:szCs w:val="20"/>
          <w:lang w:val="en-US"/>
        </w:rPr>
        <w:t xml:space="preserve"> 4, pp. 1503-1511, abr. 2025, doi: 10.1021/acsmaterialslett.4c02424.</w:t>
      </w:r>
    </w:p>
    <w:p w14:paraId="798FC635" w14:textId="77777777" w:rsidR="00564928" w:rsidRPr="0078562D" w:rsidRDefault="00564928" w:rsidP="00564928">
      <w:pPr>
        <w:jc w:val="both"/>
        <w:rPr>
          <w:sz w:val="20"/>
          <w:szCs w:val="20"/>
          <w:lang w:val="en-US"/>
        </w:rPr>
      </w:pPr>
      <w:r w:rsidRPr="0078562D">
        <w:rPr>
          <w:sz w:val="20"/>
          <w:szCs w:val="20"/>
          <w:lang w:val="en-US"/>
        </w:rPr>
        <w:t>[7]</w:t>
      </w:r>
      <w:r w:rsidRPr="0078562D">
        <w:rPr>
          <w:sz w:val="20"/>
          <w:szCs w:val="20"/>
          <w:lang w:val="en-US"/>
        </w:rPr>
        <w:tab/>
        <w:t xml:space="preserve">M. Karuppusamy, R. Thirumalaisamy, S. Palanisamy, S. Nagamalai, E. El Sayed Massoud, y N. Ayrilmis, «A review of machine learning applications in polymer composites: advancements, challenges, and future prospects», </w:t>
      </w:r>
      <w:r w:rsidRPr="0078562D">
        <w:rPr>
          <w:i/>
          <w:iCs/>
          <w:sz w:val="20"/>
          <w:szCs w:val="20"/>
          <w:lang w:val="en-US"/>
        </w:rPr>
        <w:t>J. Mater. Chem. A</w:t>
      </w:r>
      <w:r w:rsidRPr="0078562D">
        <w:rPr>
          <w:sz w:val="20"/>
          <w:szCs w:val="20"/>
          <w:lang w:val="en-US"/>
        </w:rPr>
        <w:t>, vol. 13, n.</w:t>
      </w:r>
      <w:r w:rsidRPr="0078562D">
        <w:rPr>
          <w:sz w:val="20"/>
          <w:szCs w:val="20"/>
          <w:vertAlign w:val="superscript"/>
          <w:lang w:val="en-US"/>
        </w:rPr>
        <w:t>o</w:t>
      </w:r>
      <w:r w:rsidRPr="0078562D">
        <w:rPr>
          <w:sz w:val="20"/>
          <w:szCs w:val="20"/>
          <w:lang w:val="en-US"/>
        </w:rPr>
        <w:t xml:space="preserve"> 22, pp. 16290-16308, 2025, doi: 10.1039/D5TA00982K.</w:t>
      </w:r>
    </w:p>
    <w:p w14:paraId="1BB3C802" w14:textId="77777777" w:rsidR="00564928" w:rsidRPr="0078562D" w:rsidRDefault="00564928" w:rsidP="00564928">
      <w:pPr>
        <w:jc w:val="both"/>
        <w:rPr>
          <w:sz w:val="20"/>
          <w:szCs w:val="20"/>
          <w:lang w:val="en-US"/>
        </w:rPr>
      </w:pPr>
      <w:r w:rsidRPr="0078562D">
        <w:rPr>
          <w:sz w:val="20"/>
          <w:szCs w:val="20"/>
          <w:lang w:val="en-US"/>
        </w:rPr>
        <w:t>[8]</w:t>
      </w:r>
      <w:r w:rsidRPr="0078562D">
        <w:rPr>
          <w:sz w:val="20"/>
          <w:szCs w:val="20"/>
          <w:lang w:val="en-US"/>
        </w:rPr>
        <w:tab/>
        <w:t xml:space="preserve">H. Alotaibi, C. Soutis, y M. Jabbari, «FEM and FVM Methods for Design and Manufacturing of Hierarchical Aerospace Composites: A Review», </w:t>
      </w:r>
      <w:r w:rsidRPr="0078562D">
        <w:rPr>
          <w:i/>
          <w:iCs/>
          <w:sz w:val="20"/>
          <w:szCs w:val="20"/>
          <w:lang w:val="en-US"/>
        </w:rPr>
        <w:t>Appl. Sci.</w:t>
      </w:r>
      <w:r w:rsidRPr="0078562D">
        <w:rPr>
          <w:sz w:val="20"/>
          <w:szCs w:val="20"/>
          <w:lang w:val="en-US"/>
        </w:rPr>
        <w:t>, vol. 15, n.</w:t>
      </w:r>
      <w:r w:rsidRPr="0078562D">
        <w:rPr>
          <w:sz w:val="20"/>
          <w:szCs w:val="20"/>
          <w:vertAlign w:val="superscript"/>
          <w:lang w:val="en-US"/>
        </w:rPr>
        <w:t>o</w:t>
      </w:r>
      <w:r w:rsidRPr="0078562D">
        <w:rPr>
          <w:sz w:val="20"/>
          <w:szCs w:val="20"/>
          <w:lang w:val="en-US"/>
        </w:rPr>
        <w:t xml:space="preserve"> 16, p. 8896, ago. 2025, doi: 10.3390/app15168896.</w:t>
      </w:r>
    </w:p>
    <w:p w14:paraId="5B0CB131" w14:textId="77777777" w:rsidR="00564928" w:rsidRPr="0078562D" w:rsidRDefault="00564928" w:rsidP="00564928">
      <w:pPr>
        <w:jc w:val="both"/>
        <w:rPr>
          <w:sz w:val="20"/>
          <w:szCs w:val="20"/>
          <w:lang w:val="en-US"/>
        </w:rPr>
      </w:pPr>
      <w:r w:rsidRPr="0078562D">
        <w:rPr>
          <w:sz w:val="20"/>
          <w:szCs w:val="20"/>
          <w:lang w:val="en-US"/>
        </w:rPr>
        <w:t>[9]</w:t>
      </w:r>
      <w:r w:rsidRPr="0078562D">
        <w:rPr>
          <w:sz w:val="20"/>
          <w:szCs w:val="20"/>
          <w:lang w:val="en-US"/>
        </w:rPr>
        <w:tab/>
        <w:t xml:space="preserve">M. Y. Salim </w:t>
      </w:r>
      <w:r w:rsidRPr="0078562D">
        <w:rPr>
          <w:i/>
          <w:iCs/>
          <w:sz w:val="20"/>
          <w:szCs w:val="20"/>
          <w:lang w:val="en-US"/>
        </w:rPr>
        <w:t>et al.</w:t>
      </w:r>
      <w:r w:rsidRPr="0078562D">
        <w:rPr>
          <w:sz w:val="20"/>
          <w:szCs w:val="20"/>
          <w:lang w:val="en-US"/>
        </w:rPr>
        <w:t xml:space="preserve">, «Natural fibre-reinforced thermoplastic composites: A bibliometric analysis and review of eco-friendly solutions in exterior automotive components», </w:t>
      </w:r>
      <w:r w:rsidRPr="0078562D">
        <w:rPr>
          <w:i/>
          <w:iCs/>
          <w:sz w:val="20"/>
          <w:szCs w:val="20"/>
          <w:lang w:val="en-US"/>
        </w:rPr>
        <w:t>J. Mater. Res. Technol.</w:t>
      </w:r>
      <w:r w:rsidRPr="0078562D">
        <w:rPr>
          <w:sz w:val="20"/>
          <w:szCs w:val="20"/>
          <w:lang w:val="en-US"/>
        </w:rPr>
        <w:t>, vol. 39, pp. 6755-6774, nov. 2025, doi: 10.1016/j.jmrt.2025.10.230.</w:t>
      </w:r>
    </w:p>
    <w:p w14:paraId="10F6950C" w14:textId="77777777" w:rsidR="00564928" w:rsidRPr="0078562D" w:rsidRDefault="00564928" w:rsidP="00564928">
      <w:pPr>
        <w:jc w:val="both"/>
        <w:rPr>
          <w:sz w:val="20"/>
          <w:szCs w:val="20"/>
          <w:lang w:val="en-US"/>
        </w:rPr>
      </w:pPr>
      <w:r w:rsidRPr="0078562D">
        <w:rPr>
          <w:sz w:val="20"/>
          <w:szCs w:val="20"/>
          <w:lang w:val="en-US"/>
        </w:rPr>
        <w:t>[10]</w:t>
      </w:r>
      <w:r w:rsidRPr="0078562D">
        <w:rPr>
          <w:sz w:val="20"/>
          <w:szCs w:val="20"/>
          <w:lang w:val="en-US"/>
        </w:rPr>
        <w:tab/>
        <w:t xml:space="preserve">B. Raju, S. R. Hiremath, y D. Roy Mahapatra, «A review of micromechanics based models for effective elastic properties of reinforced polymer matrix composites», </w:t>
      </w:r>
      <w:r w:rsidRPr="0078562D">
        <w:rPr>
          <w:i/>
          <w:iCs/>
          <w:sz w:val="20"/>
          <w:szCs w:val="20"/>
          <w:lang w:val="en-US"/>
        </w:rPr>
        <w:t>Compos. Struct.</w:t>
      </w:r>
      <w:r w:rsidRPr="0078562D">
        <w:rPr>
          <w:sz w:val="20"/>
          <w:szCs w:val="20"/>
          <w:lang w:val="en-US"/>
        </w:rPr>
        <w:t xml:space="preserve">, vol. </w:t>
      </w:r>
      <w:r w:rsidRPr="0078562D">
        <w:rPr>
          <w:sz w:val="20"/>
          <w:szCs w:val="20"/>
          <w:lang w:val="en-US"/>
        </w:rPr>
        <w:t>204, pp. 607-619, nov. 2018, doi: 10.1016/j.compstruct.2018.07.125.</w:t>
      </w:r>
    </w:p>
    <w:p w14:paraId="5EC0A494" w14:textId="77777777" w:rsidR="00564928" w:rsidRPr="0078562D" w:rsidRDefault="00564928" w:rsidP="00564928">
      <w:pPr>
        <w:jc w:val="both"/>
        <w:rPr>
          <w:sz w:val="20"/>
          <w:szCs w:val="20"/>
          <w:lang w:val="en-US"/>
        </w:rPr>
      </w:pPr>
      <w:r w:rsidRPr="0078562D">
        <w:rPr>
          <w:sz w:val="20"/>
          <w:szCs w:val="20"/>
          <w:lang w:val="en-US"/>
        </w:rPr>
        <w:t>[11]</w:t>
      </w:r>
      <w:r w:rsidRPr="0078562D">
        <w:rPr>
          <w:sz w:val="20"/>
          <w:szCs w:val="20"/>
          <w:lang w:val="en-US"/>
        </w:rPr>
        <w:tab/>
        <w:t xml:space="preserve">V. Panwar, P. Gupta, A. K. Bagha, y N. Chauhan, «A Review on studies of Finite Element Model Updating and Updating of Composite Materials», </w:t>
      </w:r>
      <w:r w:rsidRPr="0078562D">
        <w:rPr>
          <w:i/>
          <w:iCs/>
          <w:sz w:val="20"/>
          <w:szCs w:val="20"/>
          <w:lang w:val="en-US"/>
        </w:rPr>
        <w:t>Mater. Today Proc.</w:t>
      </w:r>
      <w:r w:rsidRPr="0078562D">
        <w:rPr>
          <w:sz w:val="20"/>
          <w:szCs w:val="20"/>
          <w:lang w:val="en-US"/>
        </w:rPr>
        <w:t>, vol. 5, n.</w:t>
      </w:r>
      <w:r w:rsidRPr="0078562D">
        <w:rPr>
          <w:sz w:val="20"/>
          <w:szCs w:val="20"/>
          <w:vertAlign w:val="superscript"/>
          <w:lang w:val="en-US"/>
        </w:rPr>
        <w:t>o</w:t>
      </w:r>
      <w:r w:rsidRPr="0078562D">
        <w:rPr>
          <w:sz w:val="20"/>
          <w:szCs w:val="20"/>
          <w:lang w:val="en-US"/>
        </w:rPr>
        <w:t xml:space="preserve"> 14, pp. 27912-27918, 2018, doi: 10.1016/j.matpr.2018.10.030.</w:t>
      </w:r>
    </w:p>
    <w:p w14:paraId="1F76BCF3" w14:textId="77777777" w:rsidR="00564928" w:rsidRPr="0078562D" w:rsidRDefault="00564928" w:rsidP="00564928">
      <w:pPr>
        <w:jc w:val="both"/>
        <w:rPr>
          <w:sz w:val="20"/>
          <w:szCs w:val="20"/>
          <w:lang w:val="en-US"/>
        </w:rPr>
      </w:pPr>
      <w:r w:rsidRPr="0078562D">
        <w:rPr>
          <w:sz w:val="20"/>
          <w:szCs w:val="20"/>
          <w:lang w:val="en-US"/>
        </w:rPr>
        <w:t>[12]</w:t>
      </w:r>
      <w:r w:rsidRPr="0078562D">
        <w:rPr>
          <w:sz w:val="20"/>
          <w:szCs w:val="20"/>
          <w:lang w:val="en-US"/>
        </w:rPr>
        <w:tab/>
        <w:t xml:space="preserve">S. S. Sorour, C. A. Saleh, y M. Shazly, «A review on machine learning implementation for predicting and optimizing the mechanical behaviour of laminated fiber-reinforced polymer composites», </w:t>
      </w:r>
      <w:r w:rsidRPr="0078562D">
        <w:rPr>
          <w:i/>
          <w:iCs/>
          <w:sz w:val="20"/>
          <w:szCs w:val="20"/>
          <w:lang w:val="en-US"/>
        </w:rPr>
        <w:t>Heliyon</w:t>
      </w:r>
      <w:r w:rsidRPr="0078562D">
        <w:rPr>
          <w:sz w:val="20"/>
          <w:szCs w:val="20"/>
          <w:lang w:val="en-US"/>
        </w:rPr>
        <w:t>, vol. 10, n.</w:t>
      </w:r>
      <w:r w:rsidRPr="0078562D">
        <w:rPr>
          <w:sz w:val="20"/>
          <w:szCs w:val="20"/>
          <w:vertAlign w:val="superscript"/>
          <w:lang w:val="en-US"/>
        </w:rPr>
        <w:t>o</w:t>
      </w:r>
      <w:r w:rsidRPr="0078562D">
        <w:rPr>
          <w:sz w:val="20"/>
          <w:szCs w:val="20"/>
          <w:lang w:val="en-US"/>
        </w:rPr>
        <w:t xml:space="preserve"> 13, p. e33681, jul. 2024, doi: 10.1016/j.heliyon.2024.e33681.</w:t>
      </w:r>
    </w:p>
    <w:p w14:paraId="293B816F" w14:textId="77777777" w:rsidR="00564928" w:rsidRPr="0078562D" w:rsidRDefault="00564928" w:rsidP="00564928">
      <w:pPr>
        <w:jc w:val="both"/>
        <w:rPr>
          <w:sz w:val="20"/>
          <w:szCs w:val="20"/>
          <w:lang w:val="en-US"/>
        </w:rPr>
      </w:pPr>
      <w:r w:rsidRPr="0078562D">
        <w:rPr>
          <w:sz w:val="20"/>
          <w:szCs w:val="20"/>
          <w:lang w:val="es-CO"/>
        </w:rPr>
        <w:t>[13]</w:t>
      </w:r>
      <w:r w:rsidRPr="0078562D">
        <w:rPr>
          <w:sz w:val="20"/>
          <w:szCs w:val="20"/>
          <w:lang w:val="es-CO"/>
        </w:rPr>
        <w:tab/>
        <w:t xml:space="preserve">A. C. Picalho, G. R. D. Oliveira, y A. S. Cativelli, «Inteligência artificial no levantamento bibliográfico em bases de dados científicos: comparando expressões de busca no ChatGPT, Copilot e Gemini», </w:t>
      </w:r>
      <w:r w:rsidRPr="0078562D">
        <w:rPr>
          <w:i/>
          <w:iCs/>
          <w:sz w:val="20"/>
          <w:szCs w:val="20"/>
          <w:lang w:val="es-CO"/>
        </w:rPr>
        <w:t xml:space="preserve">RDBCI Rev. Digit. </w:t>
      </w:r>
      <w:r w:rsidRPr="0078562D">
        <w:rPr>
          <w:i/>
          <w:iCs/>
          <w:sz w:val="20"/>
          <w:szCs w:val="20"/>
          <w:lang w:val="en-US"/>
        </w:rPr>
        <w:t>Bibl. E Ciênc. Informação</w:t>
      </w:r>
      <w:r w:rsidRPr="0078562D">
        <w:rPr>
          <w:sz w:val="20"/>
          <w:szCs w:val="20"/>
          <w:lang w:val="en-US"/>
        </w:rPr>
        <w:t>, vol. 23, p. e025013, feb. 2025, doi: 10.20396/rdbci.v23i00.8678378.</w:t>
      </w:r>
    </w:p>
    <w:p w14:paraId="6AE139EA" w14:textId="77777777" w:rsidR="00564928" w:rsidRPr="0078562D" w:rsidRDefault="00564928" w:rsidP="00564928">
      <w:pPr>
        <w:jc w:val="both"/>
        <w:rPr>
          <w:sz w:val="20"/>
          <w:szCs w:val="20"/>
          <w:lang w:val="en-US"/>
        </w:rPr>
      </w:pPr>
      <w:r w:rsidRPr="0078562D">
        <w:rPr>
          <w:sz w:val="20"/>
          <w:szCs w:val="20"/>
          <w:lang w:val="en-US"/>
        </w:rPr>
        <w:t>[14]</w:t>
      </w:r>
      <w:r w:rsidRPr="0078562D">
        <w:rPr>
          <w:sz w:val="20"/>
          <w:szCs w:val="20"/>
          <w:lang w:val="en-US"/>
        </w:rPr>
        <w:tab/>
        <w:t xml:space="preserve">C. Veres y M. Tănase, «A Bibliometric and Systematic Review of the Use of Recycled Composite Materials with an Emphasis on the Mechanical Performance of Structures», </w:t>
      </w:r>
      <w:r w:rsidRPr="0078562D">
        <w:rPr>
          <w:i/>
          <w:iCs/>
          <w:sz w:val="20"/>
          <w:szCs w:val="20"/>
          <w:lang w:val="en-US"/>
        </w:rPr>
        <w:t>Materials</w:t>
      </w:r>
      <w:r w:rsidRPr="0078562D">
        <w:rPr>
          <w:sz w:val="20"/>
          <w:szCs w:val="20"/>
          <w:lang w:val="en-US"/>
        </w:rPr>
        <w:t>, vol. 18, n.</w:t>
      </w:r>
      <w:r w:rsidRPr="0078562D">
        <w:rPr>
          <w:sz w:val="20"/>
          <w:szCs w:val="20"/>
          <w:vertAlign w:val="superscript"/>
          <w:lang w:val="en-US"/>
        </w:rPr>
        <w:t>o</w:t>
      </w:r>
      <w:r w:rsidRPr="0078562D">
        <w:rPr>
          <w:sz w:val="20"/>
          <w:szCs w:val="20"/>
          <w:lang w:val="en-US"/>
        </w:rPr>
        <w:t xml:space="preserve"> 3, p. 607, ene. 2025, doi: 10.3390/ma18030607.</w:t>
      </w:r>
    </w:p>
    <w:p w14:paraId="5D77C7DB" w14:textId="77777777" w:rsidR="00564928" w:rsidRPr="0078562D" w:rsidRDefault="00564928" w:rsidP="00564928">
      <w:pPr>
        <w:jc w:val="both"/>
        <w:rPr>
          <w:sz w:val="20"/>
          <w:szCs w:val="20"/>
          <w:lang w:val="en-US"/>
        </w:rPr>
      </w:pPr>
      <w:r w:rsidRPr="0078562D">
        <w:rPr>
          <w:sz w:val="20"/>
          <w:szCs w:val="20"/>
          <w:lang w:val="en-US"/>
        </w:rPr>
        <w:t>[15]</w:t>
      </w:r>
      <w:r w:rsidRPr="0078562D">
        <w:rPr>
          <w:sz w:val="20"/>
          <w:szCs w:val="20"/>
          <w:lang w:val="en-US"/>
        </w:rPr>
        <w:tab/>
        <w:t xml:space="preserve">D. E. S. Rodrigues, J. Belinha, F. M. A. Pires, L. M. J. S. Dinis, y R. M. N. Jorge, «Homogenization technique for heterogeneous composite materials using meshless methods», </w:t>
      </w:r>
      <w:r w:rsidRPr="0078562D">
        <w:rPr>
          <w:i/>
          <w:iCs/>
          <w:sz w:val="20"/>
          <w:szCs w:val="20"/>
          <w:lang w:val="en-US"/>
        </w:rPr>
        <w:t>Eng. Anal. Bound. Elem.</w:t>
      </w:r>
      <w:r w:rsidRPr="0078562D">
        <w:rPr>
          <w:sz w:val="20"/>
          <w:szCs w:val="20"/>
          <w:lang w:val="en-US"/>
        </w:rPr>
        <w:t>, vol. 92, pp. 73-89, jul. 2018, doi: 10.1016/j.enganabound.2017.12.012.</w:t>
      </w:r>
    </w:p>
    <w:p w14:paraId="573B1485" w14:textId="77777777" w:rsidR="00564928" w:rsidRPr="0078562D" w:rsidRDefault="00564928" w:rsidP="00564928">
      <w:pPr>
        <w:jc w:val="both"/>
        <w:rPr>
          <w:sz w:val="20"/>
          <w:szCs w:val="20"/>
          <w:lang w:val="en-US"/>
        </w:rPr>
      </w:pPr>
      <w:r w:rsidRPr="0078562D">
        <w:rPr>
          <w:sz w:val="20"/>
          <w:szCs w:val="20"/>
          <w:lang w:val="en-US"/>
        </w:rPr>
        <w:t>[16]</w:t>
      </w:r>
      <w:r w:rsidRPr="0078562D">
        <w:rPr>
          <w:sz w:val="20"/>
          <w:szCs w:val="20"/>
          <w:lang w:val="en-US"/>
        </w:rPr>
        <w:tab/>
        <w:t xml:space="preserve">A. Jasti, B. Akhil Chandra, y S. Biswas, «Modified Halpin–Tsai model for predicting the mechanical properties of polymer composites reinforced with different cross-sectional fibers», </w:t>
      </w:r>
      <w:r w:rsidRPr="0078562D">
        <w:rPr>
          <w:i/>
          <w:iCs/>
          <w:sz w:val="20"/>
          <w:szCs w:val="20"/>
          <w:lang w:val="en-US"/>
        </w:rPr>
        <w:t>Mater. Today Proc.</w:t>
      </w:r>
      <w:r w:rsidRPr="0078562D">
        <w:rPr>
          <w:sz w:val="20"/>
          <w:szCs w:val="20"/>
          <w:lang w:val="en-US"/>
        </w:rPr>
        <w:t>, vol. 91, pp. 14-18, 2023, doi: 10.1016/j.matpr.2023.04.131.</w:t>
      </w:r>
    </w:p>
    <w:p w14:paraId="108F04BE" w14:textId="77777777" w:rsidR="00564928" w:rsidRPr="0078562D" w:rsidRDefault="00564928" w:rsidP="00564928">
      <w:pPr>
        <w:jc w:val="both"/>
        <w:rPr>
          <w:sz w:val="20"/>
          <w:szCs w:val="20"/>
          <w:lang w:val="en-US"/>
        </w:rPr>
      </w:pPr>
      <w:r w:rsidRPr="0078562D">
        <w:rPr>
          <w:sz w:val="20"/>
          <w:szCs w:val="20"/>
          <w:lang w:val="en-US"/>
        </w:rPr>
        <w:t>[17]</w:t>
      </w:r>
      <w:r w:rsidRPr="0078562D">
        <w:rPr>
          <w:sz w:val="20"/>
          <w:szCs w:val="20"/>
          <w:lang w:val="en-US"/>
        </w:rPr>
        <w:tab/>
        <w:t xml:space="preserve">Y. Wang y Z. Huang, «Analytical Micromechanics Models for Elastoplastic Behavior of Long Fibrous Composites: A Critical Review and Comparative Study», </w:t>
      </w:r>
      <w:r w:rsidRPr="0078562D">
        <w:rPr>
          <w:i/>
          <w:iCs/>
          <w:sz w:val="20"/>
          <w:szCs w:val="20"/>
          <w:lang w:val="en-US"/>
        </w:rPr>
        <w:t>Materials</w:t>
      </w:r>
      <w:r w:rsidRPr="0078562D">
        <w:rPr>
          <w:sz w:val="20"/>
          <w:szCs w:val="20"/>
          <w:lang w:val="en-US"/>
        </w:rPr>
        <w:t>, vol. 11, n.</w:t>
      </w:r>
      <w:r w:rsidRPr="0078562D">
        <w:rPr>
          <w:sz w:val="20"/>
          <w:szCs w:val="20"/>
          <w:vertAlign w:val="superscript"/>
          <w:lang w:val="en-US"/>
        </w:rPr>
        <w:t>o</w:t>
      </w:r>
      <w:r w:rsidRPr="0078562D">
        <w:rPr>
          <w:sz w:val="20"/>
          <w:szCs w:val="20"/>
          <w:lang w:val="en-US"/>
        </w:rPr>
        <w:t xml:space="preserve"> 10, p. 1919, oct. 2018, doi: 10.3390/ma11101919.</w:t>
      </w:r>
    </w:p>
    <w:p w14:paraId="59B59901" w14:textId="77777777" w:rsidR="00564928" w:rsidRPr="0078562D" w:rsidRDefault="00564928" w:rsidP="00564928">
      <w:pPr>
        <w:jc w:val="both"/>
        <w:rPr>
          <w:sz w:val="20"/>
          <w:szCs w:val="20"/>
          <w:lang w:val="en-US"/>
        </w:rPr>
      </w:pPr>
      <w:r w:rsidRPr="0078562D">
        <w:rPr>
          <w:sz w:val="20"/>
          <w:szCs w:val="20"/>
          <w:lang w:val="en-US"/>
        </w:rPr>
        <w:t>[18]</w:t>
      </w:r>
      <w:r w:rsidRPr="0078562D">
        <w:rPr>
          <w:sz w:val="20"/>
          <w:szCs w:val="20"/>
          <w:lang w:val="en-US"/>
        </w:rPr>
        <w:tab/>
        <w:t xml:space="preserve">Y. C. Kim, H.-K. Jang, G. Joo, y J. H. Kim, «A Comparative Study of Micromechanical Analysis Models for Determining the Effective Properties of Out-of-Autoclave Carbon Fiber–Epoxy Composites», </w:t>
      </w:r>
      <w:r w:rsidRPr="0078562D">
        <w:rPr>
          <w:i/>
          <w:iCs/>
          <w:sz w:val="20"/>
          <w:szCs w:val="20"/>
          <w:lang w:val="en-US"/>
        </w:rPr>
        <w:t>Polymers</w:t>
      </w:r>
      <w:r w:rsidRPr="0078562D">
        <w:rPr>
          <w:sz w:val="20"/>
          <w:szCs w:val="20"/>
          <w:lang w:val="en-US"/>
        </w:rPr>
        <w:t>, vol. 16, n.</w:t>
      </w:r>
      <w:r w:rsidRPr="0078562D">
        <w:rPr>
          <w:sz w:val="20"/>
          <w:szCs w:val="20"/>
          <w:vertAlign w:val="superscript"/>
          <w:lang w:val="en-US"/>
        </w:rPr>
        <w:t>o</w:t>
      </w:r>
      <w:r w:rsidRPr="0078562D">
        <w:rPr>
          <w:sz w:val="20"/>
          <w:szCs w:val="20"/>
          <w:lang w:val="en-US"/>
        </w:rPr>
        <w:t xml:space="preserve"> 8, p. 1094, abr. 2024, doi: 10.3390/polym16081094.</w:t>
      </w:r>
    </w:p>
    <w:p w14:paraId="26BBAD1B" w14:textId="77777777" w:rsidR="00564928" w:rsidRPr="0078562D" w:rsidRDefault="00564928" w:rsidP="00564928">
      <w:pPr>
        <w:jc w:val="both"/>
        <w:rPr>
          <w:sz w:val="20"/>
          <w:szCs w:val="20"/>
          <w:lang w:val="es-CO"/>
        </w:rPr>
      </w:pPr>
      <w:r w:rsidRPr="0078562D">
        <w:rPr>
          <w:sz w:val="20"/>
          <w:szCs w:val="20"/>
          <w:lang w:val="en-US"/>
        </w:rPr>
        <w:t>[19]</w:t>
      </w:r>
      <w:r w:rsidRPr="0078562D">
        <w:rPr>
          <w:sz w:val="20"/>
          <w:szCs w:val="20"/>
          <w:lang w:val="en-US"/>
        </w:rPr>
        <w:tab/>
        <w:t xml:space="preserve">M. V. F. Machado, F. P. D. Lopes, N. T. Simonassi, E. A. D. Carvalho, y S. N. Monteiro, «Micromechanics for polymer matrix laminated composites: a literature review of fundamental </w:t>
      </w:r>
      <w:r w:rsidRPr="0078562D">
        <w:rPr>
          <w:sz w:val="20"/>
          <w:szCs w:val="20"/>
          <w:lang w:val="en-US"/>
        </w:rPr>
        <w:lastRenderedPageBreak/>
        <w:t xml:space="preserve">models, advances and a trend analysis for future researches», </w:t>
      </w:r>
      <w:r w:rsidRPr="0078562D">
        <w:rPr>
          <w:i/>
          <w:iCs/>
          <w:sz w:val="20"/>
          <w:szCs w:val="20"/>
          <w:lang w:val="en-US"/>
        </w:rPr>
        <w:t xml:space="preserve">Obs. </w:t>
      </w:r>
      <w:r w:rsidRPr="0078562D">
        <w:rPr>
          <w:i/>
          <w:iCs/>
          <w:sz w:val="20"/>
          <w:szCs w:val="20"/>
          <w:lang w:val="es-CO"/>
        </w:rPr>
        <w:t>Econ. Latinoam.</w:t>
      </w:r>
      <w:r w:rsidRPr="0078562D">
        <w:rPr>
          <w:sz w:val="20"/>
          <w:szCs w:val="20"/>
          <w:lang w:val="es-CO"/>
        </w:rPr>
        <w:t>, vol. 23, n.</w:t>
      </w:r>
      <w:r w:rsidRPr="0078562D">
        <w:rPr>
          <w:sz w:val="20"/>
          <w:szCs w:val="20"/>
          <w:vertAlign w:val="superscript"/>
          <w:lang w:val="es-CO"/>
        </w:rPr>
        <w:t>o</w:t>
      </w:r>
      <w:r w:rsidRPr="0078562D">
        <w:rPr>
          <w:sz w:val="20"/>
          <w:szCs w:val="20"/>
          <w:lang w:val="es-CO"/>
        </w:rPr>
        <w:t xml:space="preserve"> 5, p. e10103, may 2025, doi: 10.55905/oelv23n5-182.</w:t>
      </w:r>
    </w:p>
    <w:p w14:paraId="08ECB450" w14:textId="77777777" w:rsidR="00564928" w:rsidRPr="0078562D" w:rsidRDefault="00564928" w:rsidP="00564928">
      <w:pPr>
        <w:jc w:val="both"/>
        <w:rPr>
          <w:sz w:val="20"/>
          <w:szCs w:val="20"/>
          <w:lang w:val="en-US"/>
        </w:rPr>
      </w:pPr>
      <w:r w:rsidRPr="0078562D">
        <w:rPr>
          <w:sz w:val="20"/>
          <w:szCs w:val="20"/>
          <w:lang w:val="en-US"/>
        </w:rPr>
        <w:t>[20]</w:t>
      </w:r>
      <w:r w:rsidRPr="0078562D">
        <w:rPr>
          <w:sz w:val="20"/>
          <w:szCs w:val="20"/>
          <w:lang w:val="en-US"/>
        </w:rPr>
        <w:tab/>
        <w:t xml:space="preserve">L. Wan, Y. Ismail, Y. Sheng, J. Ye, y D. Yang, «A review on micromechanical modelling of progressive failure in unidirectional fibre-reinforced composites», </w:t>
      </w:r>
      <w:r w:rsidRPr="0078562D">
        <w:rPr>
          <w:i/>
          <w:iCs/>
          <w:sz w:val="20"/>
          <w:szCs w:val="20"/>
          <w:lang w:val="en-US"/>
        </w:rPr>
        <w:t>Compos. Part C Open Access</w:t>
      </w:r>
      <w:r w:rsidRPr="0078562D">
        <w:rPr>
          <w:sz w:val="20"/>
          <w:szCs w:val="20"/>
          <w:lang w:val="en-US"/>
        </w:rPr>
        <w:t>, vol. 10, p. 100348, mar. 2023, doi: 10.1016/j.jcomc.2023.100348.</w:t>
      </w:r>
    </w:p>
    <w:p w14:paraId="7BCE09D2" w14:textId="77777777" w:rsidR="00564928" w:rsidRPr="0078562D" w:rsidRDefault="00564928" w:rsidP="00564928">
      <w:pPr>
        <w:jc w:val="both"/>
        <w:rPr>
          <w:sz w:val="20"/>
          <w:szCs w:val="20"/>
          <w:lang w:val="en-US"/>
        </w:rPr>
      </w:pPr>
      <w:r w:rsidRPr="0078562D">
        <w:rPr>
          <w:sz w:val="20"/>
          <w:szCs w:val="20"/>
          <w:lang w:val="en-US"/>
        </w:rPr>
        <w:t>[21]</w:t>
      </w:r>
      <w:r w:rsidRPr="0078562D">
        <w:rPr>
          <w:sz w:val="20"/>
          <w:szCs w:val="20"/>
          <w:lang w:val="en-US"/>
        </w:rPr>
        <w:tab/>
        <w:t xml:space="preserve">M. Kim y Y. Kim, «A Thermo-Mechanical Properties Evaluation of Multi-Directional Carbon/Carbon Composite Materials in Aerospace Applications», </w:t>
      </w:r>
      <w:r w:rsidRPr="0078562D">
        <w:rPr>
          <w:i/>
          <w:iCs/>
          <w:sz w:val="20"/>
          <w:szCs w:val="20"/>
          <w:lang w:val="en-US"/>
        </w:rPr>
        <w:t>Aerospace</w:t>
      </w:r>
      <w:r w:rsidRPr="0078562D">
        <w:rPr>
          <w:sz w:val="20"/>
          <w:szCs w:val="20"/>
          <w:lang w:val="en-US"/>
        </w:rPr>
        <w:t>, vol. 9, n.</w:t>
      </w:r>
      <w:r w:rsidRPr="0078562D">
        <w:rPr>
          <w:sz w:val="20"/>
          <w:szCs w:val="20"/>
          <w:vertAlign w:val="superscript"/>
          <w:lang w:val="en-US"/>
        </w:rPr>
        <w:t>o</w:t>
      </w:r>
      <w:r w:rsidRPr="0078562D">
        <w:rPr>
          <w:sz w:val="20"/>
          <w:szCs w:val="20"/>
          <w:lang w:val="en-US"/>
        </w:rPr>
        <w:t xml:space="preserve"> 8, p. 461, ago. 2022, doi: 10.3390/aerospace9080461.</w:t>
      </w:r>
    </w:p>
    <w:p w14:paraId="2A5BB64D" w14:textId="77777777" w:rsidR="00564928" w:rsidRPr="0078562D" w:rsidRDefault="00564928" w:rsidP="00564928">
      <w:pPr>
        <w:jc w:val="both"/>
        <w:rPr>
          <w:sz w:val="20"/>
          <w:szCs w:val="20"/>
          <w:lang w:val="en-US"/>
        </w:rPr>
      </w:pPr>
      <w:r w:rsidRPr="0078562D">
        <w:rPr>
          <w:sz w:val="20"/>
          <w:szCs w:val="20"/>
          <w:lang w:val="en-US"/>
        </w:rPr>
        <w:t>[22]</w:t>
      </w:r>
      <w:r w:rsidRPr="0078562D">
        <w:rPr>
          <w:sz w:val="20"/>
          <w:szCs w:val="20"/>
          <w:lang w:val="en-US"/>
        </w:rPr>
        <w:tab/>
        <w:t xml:space="preserve">Y. Xie, G. Huang, H. Zhang, M. Xu, E. Sitnikova, y S. Li, «Efficient characterization of mechanical nonlinearity in triaxially braided composites by a novel unit cell», </w:t>
      </w:r>
      <w:r w:rsidRPr="0078562D">
        <w:rPr>
          <w:i/>
          <w:iCs/>
          <w:sz w:val="20"/>
          <w:szCs w:val="20"/>
          <w:lang w:val="en-US"/>
        </w:rPr>
        <w:t>Compos. Struct.</w:t>
      </w:r>
      <w:r w:rsidRPr="0078562D">
        <w:rPr>
          <w:sz w:val="20"/>
          <w:szCs w:val="20"/>
          <w:lang w:val="en-US"/>
        </w:rPr>
        <w:t>, vol. 366, p. 119234, ago. 2025, doi: 10.1016/j.compstruct.2025.119234.</w:t>
      </w:r>
    </w:p>
    <w:p w14:paraId="1B6D68F0" w14:textId="77777777" w:rsidR="00564928" w:rsidRPr="0078562D" w:rsidRDefault="00564928" w:rsidP="00564928">
      <w:pPr>
        <w:jc w:val="both"/>
        <w:rPr>
          <w:sz w:val="20"/>
          <w:szCs w:val="20"/>
          <w:lang w:val="en-US"/>
        </w:rPr>
      </w:pPr>
      <w:r w:rsidRPr="0078562D">
        <w:rPr>
          <w:sz w:val="20"/>
          <w:szCs w:val="20"/>
          <w:lang w:val="en-US"/>
        </w:rPr>
        <w:t>[23]</w:t>
      </w:r>
      <w:r w:rsidRPr="0078562D">
        <w:rPr>
          <w:sz w:val="20"/>
          <w:szCs w:val="20"/>
          <w:lang w:val="en-US"/>
        </w:rPr>
        <w:tab/>
        <w:t xml:space="preserve">N. K. Balasubramani, B. Zhang, N. T. Chowdhury, A. Mukkavilli, M. Suter, y G. M. Pearce, «Micro-mechanical analysis on random RVE size and shape in multiscale finite element modelling of unidirectional FRP composites», </w:t>
      </w:r>
      <w:r w:rsidRPr="0078562D">
        <w:rPr>
          <w:i/>
          <w:iCs/>
          <w:sz w:val="20"/>
          <w:szCs w:val="20"/>
          <w:lang w:val="en-US"/>
        </w:rPr>
        <w:t>Compos. Struct.</w:t>
      </w:r>
      <w:r w:rsidRPr="0078562D">
        <w:rPr>
          <w:sz w:val="20"/>
          <w:szCs w:val="20"/>
          <w:lang w:val="en-US"/>
        </w:rPr>
        <w:t>, vol. 282, p. 115081, feb. 2022, doi: 10.1016/j.compstruct.2021.115081.</w:t>
      </w:r>
    </w:p>
    <w:p w14:paraId="4F5F852B" w14:textId="77777777" w:rsidR="00564928" w:rsidRPr="0078562D" w:rsidRDefault="00564928" w:rsidP="00564928">
      <w:pPr>
        <w:jc w:val="both"/>
        <w:rPr>
          <w:sz w:val="20"/>
          <w:szCs w:val="20"/>
          <w:lang w:val="en-US"/>
        </w:rPr>
      </w:pPr>
      <w:r w:rsidRPr="0078562D">
        <w:rPr>
          <w:sz w:val="20"/>
          <w:szCs w:val="20"/>
          <w:lang w:val="en-US"/>
        </w:rPr>
        <w:t>[24]</w:t>
      </w:r>
      <w:r w:rsidRPr="0078562D">
        <w:rPr>
          <w:sz w:val="20"/>
          <w:szCs w:val="20"/>
          <w:lang w:val="en-US"/>
        </w:rPr>
        <w:tab/>
        <w:t xml:space="preserve">Z. Guan, «Review of finite element modelling of composite structures subjected to extreme loading conditions», </w:t>
      </w:r>
      <w:r w:rsidRPr="0078562D">
        <w:rPr>
          <w:i/>
          <w:iCs/>
          <w:sz w:val="20"/>
          <w:szCs w:val="20"/>
          <w:lang w:val="en-US"/>
        </w:rPr>
        <w:t>Compos. Des. Manuf.</w:t>
      </w:r>
      <w:r w:rsidRPr="0078562D">
        <w:rPr>
          <w:sz w:val="20"/>
          <w:szCs w:val="20"/>
          <w:lang w:val="en-US"/>
        </w:rPr>
        <w:t>, vol. 1, n.</w:t>
      </w:r>
      <w:r w:rsidRPr="0078562D">
        <w:rPr>
          <w:sz w:val="20"/>
          <w:szCs w:val="20"/>
          <w:vertAlign w:val="superscript"/>
          <w:lang w:val="en-US"/>
        </w:rPr>
        <w:t>o</w:t>
      </w:r>
      <w:r w:rsidRPr="0078562D">
        <w:rPr>
          <w:sz w:val="20"/>
          <w:szCs w:val="20"/>
          <w:lang w:val="en-US"/>
        </w:rPr>
        <w:t xml:space="preserve"> 1, p. wqaf005, jul. 2025, doi: 10.1093/cdm/wqaf005.</w:t>
      </w:r>
    </w:p>
    <w:p w14:paraId="1E84B57D" w14:textId="77777777" w:rsidR="00564928" w:rsidRPr="0078562D" w:rsidRDefault="00564928" w:rsidP="00564928">
      <w:pPr>
        <w:jc w:val="both"/>
        <w:rPr>
          <w:sz w:val="20"/>
          <w:szCs w:val="20"/>
          <w:lang w:val="en-US"/>
        </w:rPr>
      </w:pPr>
      <w:r w:rsidRPr="0078562D">
        <w:rPr>
          <w:sz w:val="20"/>
          <w:szCs w:val="20"/>
          <w:lang w:val="en-US"/>
        </w:rPr>
        <w:t>[25]</w:t>
      </w:r>
      <w:r w:rsidRPr="0078562D">
        <w:rPr>
          <w:sz w:val="20"/>
          <w:szCs w:val="20"/>
          <w:lang w:val="en-US"/>
        </w:rPr>
        <w:tab/>
        <w:t xml:space="preserve">S. P. H. Skovsgaard y S. Heide-Jørgensen, «Three-dimensional mechanical behavior of composite with fibre-matrix delamination through homogenization of micro-structure», </w:t>
      </w:r>
      <w:r w:rsidRPr="0078562D">
        <w:rPr>
          <w:i/>
          <w:iCs/>
          <w:sz w:val="20"/>
          <w:szCs w:val="20"/>
          <w:lang w:val="en-US"/>
        </w:rPr>
        <w:t>Compos. Struct.</w:t>
      </w:r>
      <w:r w:rsidRPr="0078562D">
        <w:rPr>
          <w:sz w:val="20"/>
          <w:szCs w:val="20"/>
          <w:lang w:val="en-US"/>
        </w:rPr>
        <w:t>, vol. 275, p. 114418, nov. 2021, doi: 10.1016/j.compstruct.2021.114418.</w:t>
      </w:r>
    </w:p>
    <w:p w14:paraId="64334158" w14:textId="77777777" w:rsidR="00564928" w:rsidRPr="0078562D" w:rsidRDefault="00564928" w:rsidP="00564928">
      <w:pPr>
        <w:jc w:val="both"/>
        <w:rPr>
          <w:sz w:val="20"/>
          <w:szCs w:val="20"/>
          <w:lang w:val="en-US"/>
        </w:rPr>
      </w:pPr>
      <w:r w:rsidRPr="0078562D">
        <w:rPr>
          <w:sz w:val="20"/>
          <w:szCs w:val="20"/>
          <w:lang w:val="en-US"/>
        </w:rPr>
        <w:t>[26]</w:t>
      </w:r>
      <w:r w:rsidRPr="0078562D">
        <w:rPr>
          <w:sz w:val="20"/>
          <w:szCs w:val="20"/>
          <w:lang w:val="en-US"/>
        </w:rPr>
        <w:tab/>
        <w:t xml:space="preserve">F. Kibrete, T. Trzepieciński, H. S. Gebremedhen, y D. E. Woldemichael, «Artificial Intelligence in Predicting Mechanical Properties of Composite Materials», </w:t>
      </w:r>
      <w:r w:rsidRPr="0078562D">
        <w:rPr>
          <w:i/>
          <w:iCs/>
          <w:sz w:val="20"/>
          <w:szCs w:val="20"/>
          <w:lang w:val="en-US"/>
        </w:rPr>
        <w:t>J. Compos. Sci.</w:t>
      </w:r>
      <w:r w:rsidRPr="0078562D">
        <w:rPr>
          <w:sz w:val="20"/>
          <w:szCs w:val="20"/>
          <w:lang w:val="en-US"/>
        </w:rPr>
        <w:t>, vol. 7, n.</w:t>
      </w:r>
      <w:r w:rsidRPr="0078562D">
        <w:rPr>
          <w:sz w:val="20"/>
          <w:szCs w:val="20"/>
          <w:vertAlign w:val="superscript"/>
          <w:lang w:val="en-US"/>
        </w:rPr>
        <w:t>o</w:t>
      </w:r>
      <w:r w:rsidRPr="0078562D">
        <w:rPr>
          <w:sz w:val="20"/>
          <w:szCs w:val="20"/>
          <w:lang w:val="en-US"/>
        </w:rPr>
        <w:t xml:space="preserve"> 9, p. 364, sep. 2023, doi: 10.3390/jcs7090364.</w:t>
      </w:r>
    </w:p>
    <w:p w14:paraId="1D5EAB02" w14:textId="77777777" w:rsidR="00564928" w:rsidRPr="0078562D" w:rsidRDefault="00564928" w:rsidP="00564928">
      <w:pPr>
        <w:jc w:val="both"/>
        <w:rPr>
          <w:sz w:val="20"/>
          <w:szCs w:val="20"/>
          <w:lang w:val="en-US"/>
        </w:rPr>
      </w:pPr>
      <w:r w:rsidRPr="0078562D">
        <w:rPr>
          <w:sz w:val="20"/>
          <w:szCs w:val="20"/>
          <w:lang w:val="en-US"/>
        </w:rPr>
        <w:t>[27]</w:t>
      </w:r>
      <w:r w:rsidRPr="0078562D">
        <w:rPr>
          <w:sz w:val="20"/>
          <w:szCs w:val="20"/>
          <w:lang w:val="en-US"/>
        </w:rPr>
        <w:tab/>
        <w:t xml:space="preserve">W. Jin, J. Pei, P. Xie, J. Chen, y H. Zhao, «Machine Learning-Based Prediction of Mechanical Properties and Performance of Nickel–Graphene Nanocomposites Using Molecular Dynamics Simulation Data», </w:t>
      </w:r>
      <w:r w:rsidRPr="0078562D">
        <w:rPr>
          <w:i/>
          <w:iCs/>
          <w:sz w:val="20"/>
          <w:szCs w:val="20"/>
          <w:lang w:val="en-US"/>
        </w:rPr>
        <w:t>ACS Appl. Nano Mater.</w:t>
      </w:r>
      <w:r w:rsidRPr="0078562D">
        <w:rPr>
          <w:sz w:val="20"/>
          <w:szCs w:val="20"/>
          <w:lang w:val="en-US"/>
        </w:rPr>
        <w:t>, vol. 6, n.</w:t>
      </w:r>
      <w:r w:rsidRPr="0078562D">
        <w:rPr>
          <w:sz w:val="20"/>
          <w:szCs w:val="20"/>
          <w:vertAlign w:val="superscript"/>
          <w:lang w:val="en-US"/>
        </w:rPr>
        <w:t>o</w:t>
      </w:r>
      <w:r w:rsidRPr="0078562D">
        <w:rPr>
          <w:sz w:val="20"/>
          <w:szCs w:val="20"/>
          <w:lang w:val="en-US"/>
        </w:rPr>
        <w:t xml:space="preserve"> 13, pp. 12190-12199, 2023, doi: 10.1021/acsanm.3c01919.</w:t>
      </w:r>
    </w:p>
    <w:p w14:paraId="53D31DA1" w14:textId="77777777" w:rsidR="00564928" w:rsidRPr="0078562D" w:rsidRDefault="00564928" w:rsidP="00564928">
      <w:pPr>
        <w:jc w:val="both"/>
        <w:rPr>
          <w:sz w:val="20"/>
          <w:szCs w:val="20"/>
          <w:lang w:val="en-US"/>
        </w:rPr>
      </w:pPr>
      <w:r w:rsidRPr="0078562D">
        <w:rPr>
          <w:sz w:val="20"/>
          <w:szCs w:val="20"/>
          <w:lang w:val="en-US"/>
        </w:rPr>
        <w:t>[28]</w:t>
      </w:r>
      <w:r w:rsidRPr="0078562D">
        <w:rPr>
          <w:sz w:val="20"/>
          <w:szCs w:val="20"/>
          <w:lang w:val="en-US"/>
        </w:rPr>
        <w:tab/>
        <w:t xml:space="preserve">Y. Sun, I. Hanhan, M. D. Sangid, y G. Lin, «Predicting Mechanical Properties from Microstructure Images in Fiber-reinforced Polymers using Convolutional Neural Networks», </w:t>
      </w:r>
      <w:r w:rsidRPr="0078562D">
        <w:rPr>
          <w:i/>
          <w:iCs/>
          <w:sz w:val="20"/>
          <w:szCs w:val="20"/>
          <w:lang w:val="en-US"/>
        </w:rPr>
        <w:t xml:space="preserve">J. Compos. </w:t>
      </w:r>
      <w:r w:rsidRPr="0078562D">
        <w:rPr>
          <w:i/>
          <w:iCs/>
          <w:sz w:val="20"/>
          <w:szCs w:val="20"/>
          <w:lang w:val="en-US"/>
        </w:rPr>
        <w:t>Sci.</w:t>
      </w:r>
      <w:r w:rsidRPr="0078562D">
        <w:rPr>
          <w:sz w:val="20"/>
          <w:szCs w:val="20"/>
          <w:lang w:val="en-US"/>
        </w:rPr>
        <w:t>, vol. 8, n.</w:t>
      </w:r>
      <w:r w:rsidRPr="0078562D">
        <w:rPr>
          <w:sz w:val="20"/>
          <w:szCs w:val="20"/>
          <w:vertAlign w:val="superscript"/>
          <w:lang w:val="en-US"/>
        </w:rPr>
        <w:t>o</w:t>
      </w:r>
      <w:r w:rsidRPr="0078562D">
        <w:rPr>
          <w:sz w:val="20"/>
          <w:szCs w:val="20"/>
          <w:lang w:val="en-US"/>
        </w:rPr>
        <w:t xml:space="preserve"> 10, p. 387, sep. 2024, doi: 10.3390/jcs8100387.</w:t>
      </w:r>
    </w:p>
    <w:p w14:paraId="65248247" w14:textId="77777777" w:rsidR="00564928" w:rsidRPr="0078562D" w:rsidRDefault="00564928" w:rsidP="00564928">
      <w:pPr>
        <w:jc w:val="both"/>
        <w:rPr>
          <w:sz w:val="20"/>
          <w:szCs w:val="20"/>
          <w:lang w:val="en-US"/>
        </w:rPr>
      </w:pPr>
      <w:r w:rsidRPr="0078562D">
        <w:rPr>
          <w:sz w:val="20"/>
          <w:szCs w:val="20"/>
          <w:lang w:val="en-US"/>
        </w:rPr>
        <w:t>[29]</w:t>
      </w:r>
      <w:r w:rsidRPr="0078562D">
        <w:rPr>
          <w:sz w:val="20"/>
          <w:szCs w:val="20"/>
          <w:lang w:val="en-US"/>
        </w:rPr>
        <w:tab/>
        <w:t xml:space="preserve">Y. Wang, K. Wang, y C. Zhang, «Applications of artificial intelligence/machine learning to high-performance composites», </w:t>
      </w:r>
      <w:r w:rsidRPr="0078562D">
        <w:rPr>
          <w:i/>
          <w:iCs/>
          <w:sz w:val="20"/>
          <w:szCs w:val="20"/>
          <w:lang w:val="en-US"/>
        </w:rPr>
        <w:t>Compos. Part B Eng.</w:t>
      </w:r>
      <w:r w:rsidRPr="0078562D">
        <w:rPr>
          <w:sz w:val="20"/>
          <w:szCs w:val="20"/>
          <w:lang w:val="en-US"/>
        </w:rPr>
        <w:t>, vol. 285, p. 111740, oct. 2024, doi: 10.1016/j.compositesb.2024.111740.</w:t>
      </w:r>
    </w:p>
    <w:p w14:paraId="44A6C100" w14:textId="2596E7A3" w:rsidR="00564928" w:rsidRPr="0078562D" w:rsidRDefault="00564928" w:rsidP="00564928">
      <w:pPr>
        <w:jc w:val="both"/>
        <w:rPr>
          <w:sz w:val="20"/>
          <w:szCs w:val="20"/>
          <w:lang w:val="en-US"/>
        </w:rPr>
      </w:pPr>
      <w:r w:rsidRPr="0078562D">
        <w:rPr>
          <w:sz w:val="20"/>
          <w:szCs w:val="20"/>
          <w:lang w:val="en-US"/>
        </w:rPr>
        <w:t>[30]</w:t>
      </w:r>
      <w:r w:rsidRPr="0078562D">
        <w:rPr>
          <w:sz w:val="20"/>
          <w:szCs w:val="20"/>
          <w:lang w:val="en-US"/>
        </w:rPr>
        <w:tab/>
      </w:r>
      <w:r w:rsidR="00E529DE" w:rsidRPr="0078562D">
        <w:rPr>
          <w:sz w:val="20"/>
          <w:szCs w:val="20"/>
          <w:lang w:val="en-US"/>
        </w:rPr>
        <w:t>N. Franić, I. Pivac, y F. Barbir, «A review of machine learning applications in hydrogen electrochemical devices», Int. J. Hydrog. Energy, vol. 102, pp. 523-544, feb. 2025, doi: 10.1016/j.ijhydene.2025.01.070.</w:t>
      </w:r>
    </w:p>
    <w:p w14:paraId="4C46E35B" w14:textId="77777777" w:rsidR="00564928" w:rsidRPr="0078562D" w:rsidRDefault="00564928" w:rsidP="00564928">
      <w:pPr>
        <w:jc w:val="both"/>
        <w:rPr>
          <w:sz w:val="20"/>
          <w:szCs w:val="20"/>
          <w:lang w:val="en-US"/>
        </w:rPr>
      </w:pPr>
      <w:r w:rsidRPr="0078562D">
        <w:rPr>
          <w:sz w:val="20"/>
          <w:szCs w:val="20"/>
          <w:lang w:val="en-US"/>
        </w:rPr>
        <w:t>[31]</w:t>
      </w:r>
      <w:r w:rsidRPr="0078562D">
        <w:rPr>
          <w:sz w:val="20"/>
          <w:szCs w:val="20"/>
          <w:lang w:val="en-US"/>
        </w:rPr>
        <w:tab/>
        <w:t xml:space="preserve">M. Chairi, J. El Bahaoui, I. Hanafi, F. Mata Cabrera, y G. Di Bella, «Composite Materials: A Review of Polymer and Metal Matrix Composites, Their Mechanical Characterization, and Mechanical Properties», en </w:t>
      </w:r>
      <w:r w:rsidRPr="0078562D">
        <w:rPr>
          <w:i/>
          <w:iCs/>
          <w:sz w:val="20"/>
          <w:szCs w:val="20"/>
          <w:lang w:val="en-US"/>
        </w:rPr>
        <w:t>Next Generation Fiber-Reinforced Composites - New Insights</w:t>
      </w:r>
      <w:r w:rsidRPr="0078562D">
        <w:rPr>
          <w:sz w:val="20"/>
          <w:szCs w:val="20"/>
          <w:lang w:val="en-US"/>
        </w:rPr>
        <w:t>, L. Li, A. B. Pereira, y A. L. Pereira, Eds., IntechOpen, 2023. doi: 10.5772/intechopen.106624.</w:t>
      </w:r>
    </w:p>
    <w:p w14:paraId="568D0967" w14:textId="77777777" w:rsidR="00564928" w:rsidRPr="0078562D" w:rsidRDefault="00564928" w:rsidP="00564928">
      <w:pPr>
        <w:jc w:val="both"/>
        <w:rPr>
          <w:sz w:val="20"/>
          <w:szCs w:val="20"/>
          <w:lang w:val="en-US"/>
        </w:rPr>
      </w:pPr>
      <w:r w:rsidRPr="0078562D">
        <w:rPr>
          <w:sz w:val="20"/>
          <w:szCs w:val="20"/>
          <w:lang w:val="en-US"/>
        </w:rPr>
        <w:t>[32]</w:t>
      </w:r>
      <w:r w:rsidRPr="0078562D">
        <w:rPr>
          <w:sz w:val="20"/>
          <w:szCs w:val="20"/>
          <w:lang w:val="en-US"/>
        </w:rPr>
        <w:tab/>
        <w:t xml:space="preserve">I. Wadgave, S. Kulkarni, S. Katekar, y M. Kulkarni, «A comprehensive review on: Mechanical and acoustical characterization of natural fiber-reinforced composite», </w:t>
      </w:r>
      <w:r w:rsidRPr="0078562D">
        <w:rPr>
          <w:i/>
          <w:iCs/>
          <w:sz w:val="20"/>
          <w:szCs w:val="20"/>
          <w:lang w:val="en-US"/>
        </w:rPr>
        <w:t>Mater. Today Proc.</w:t>
      </w:r>
      <w:r w:rsidRPr="0078562D">
        <w:rPr>
          <w:sz w:val="20"/>
          <w:szCs w:val="20"/>
          <w:lang w:val="en-US"/>
        </w:rPr>
        <w:t>, p. S2214785324002979, may 2024, doi: 10.1016/j.matpr.2024.05.002.</w:t>
      </w:r>
    </w:p>
    <w:p w14:paraId="7BAE8B1B" w14:textId="77777777" w:rsidR="00564928" w:rsidRPr="0078562D" w:rsidRDefault="00564928" w:rsidP="00564928">
      <w:pPr>
        <w:jc w:val="both"/>
        <w:rPr>
          <w:sz w:val="20"/>
          <w:szCs w:val="20"/>
          <w:lang w:val="en-US"/>
        </w:rPr>
      </w:pPr>
      <w:r w:rsidRPr="0078562D">
        <w:rPr>
          <w:sz w:val="20"/>
          <w:szCs w:val="20"/>
          <w:lang w:val="en-US"/>
        </w:rPr>
        <w:t>[33]</w:t>
      </w:r>
      <w:r w:rsidRPr="0078562D">
        <w:rPr>
          <w:sz w:val="20"/>
          <w:szCs w:val="20"/>
          <w:lang w:val="en-US"/>
        </w:rPr>
        <w:tab/>
        <w:t xml:space="preserve">J. Yun, S. Ryu, J. Kim, Y. Kim, y D.-W. Kim, «Equivalent modeling for the prediction of mechanical behaviors of composite sandwich structures with thick cell walls», </w:t>
      </w:r>
      <w:r w:rsidRPr="0078562D">
        <w:rPr>
          <w:i/>
          <w:iCs/>
          <w:sz w:val="20"/>
          <w:szCs w:val="20"/>
          <w:lang w:val="en-US"/>
        </w:rPr>
        <w:t>Compos. Struct.</w:t>
      </w:r>
      <w:r w:rsidRPr="0078562D">
        <w:rPr>
          <w:sz w:val="20"/>
          <w:szCs w:val="20"/>
          <w:lang w:val="en-US"/>
        </w:rPr>
        <w:t>, vol. 364, p. 119162, jul. 2025, doi: 10.1016/j.compstruct.2025.119162.</w:t>
      </w:r>
    </w:p>
    <w:p w14:paraId="721B9114" w14:textId="77777777" w:rsidR="00564928" w:rsidRPr="0078562D" w:rsidRDefault="00564928" w:rsidP="00564928">
      <w:pPr>
        <w:jc w:val="both"/>
        <w:rPr>
          <w:sz w:val="20"/>
          <w:szCs w:val="20"/>
          <w:lang w:val="en-US"/>
        </w:rPr>
      </w:pPr>
      <w:r w:rsidRPr="0078562D">
        <w:rPr>
          <w:sz w:val="20"/>
          <w:szCs w:val="20"/>
          <w:lang w:val="en-US"/>
        </w:rPr>
        <w:t>[34]</w:t>
      </w:r>
      <w:r w:rsidRPr="0078562D">
        <w:rPr>
          <w:sz w:val="20"/>
          <w:szCs w:val="20"/>
          <w:lang w:val="en-US"/>
        </w:rPr>
        <w:tab/>
        <w:t xml:space="preserve">W. Mu, X. Chen, S. Li, Y. Sun, Q. Wang, y J. Na, «Mechanical Performances Analysis and Prediction of Short Plant Fiber-Reinforced PLA Composites», </w:t>
      </w:r>
      <w:r w:rsidRPr="0078562D">
        <w:rPr>
          <w:i/>
          <w:iCs/>
          <w:sz w:val="20"/>
          <w:szCs w:val="20"/>
          <w:lang w:val="en-US"/>
        </w:rPr>
        <w:t>Polymers</w:t>
      </w:r>
      <w:r w:rsidRPr="0078562D">
        <w:rPr>
          <w:sz w:val="20"/>
          <w:szCs w:val="20"/>
          <w:lang w:val="en-US"/>
        </w:rPr>
        <w:t>, vol. 15, n.</w:t>
      </w:r>
      <w:r w:rsidRPr="0078562D">
        <w:rPr>
          <w:sz w:val="20"/>
          <w:szCs w:val="20"/>
          <w:vertAlign w:val="superscript"/>
          <w:lang w:val="en-US"/>
        </w:rPr>
        <w:t>o</w:t>
      </w:r>
      <w:r w:rsidRPr="0078562D">
        <w:rPr>
          <w:sz w:val="20"/>
          <w:szCs w:val="20"/>
          <w:lang w:val="en-US"/>
        </w:rPr>
        <w:t xml:space="preserve"> 15, p. 3222, jul. 2023, doi: 10.3390/polym15153222.</w:t>
      </w:r>
    </w:p>
    <w:p w14:paraId="2699994A" w14:textId="77777777" w:rsidR="00564928" w:rsidRPr="0078562D" w:rsidRDefault="00564928" w:rsidP="00564928">
      <w:pPr>
        <w:jc w:val="both"/>
        <w:rPr>
          <w:sz w:val="20"/>
          <w:szCs w:val="20"/>
          <w:lang w:val="en-US"/>
        </w:rPr>
      </w:pPr>
      <w:r w:rsidRPr="0078562D">
        <w:rPr>
          <w:sz w:val="20"/>
          <w:szCs w:val="20"/>
          <w:lang w:val="en-US"/>
        </w:rPr>
        <w:t>[35]</w:t>
      </w:r>
      <w:r w:rsidRPr="0078562D">
        <w:rPr>
          <w:sz w:val="20"/>
          <w:szCs w:val="20"/>
          <w:lang w:val="en-US"/>
        </w:rPr>
        <w:tab/>
        <w:t xml:space="preserve">D. K. Rathore, R. K. Prusty, S. C. Mohanty, B. P. Singh, y B. C. Ray, «In-situ elevated temperature flexural and creep response of inter-ply glass/carbon hybrid FRP composites», </w:t>
      </w:r>
      <w:r w:rsidRPr="0078562D">
        <w:rPr>
          <w:i/>
          <w:iCs/>
          <w:sz w:val="20"/>
          <w:szCs w:val="20"/>
          <w:lang w:val="en-US"/>
        </w:rPr>
        <w:t>Mech. Mater.</w:t>
      </w:r>
      <w:r w:rsidRPr="0078562D">
        <w:rPr>
          <w:sz w:val="20"/>
          <w:szCs w:val="20"/>
          <w:lang w:val="en-US"/>
        </w:rPr>
        <w:t>, vol. 105, pp. 99-111, feb. 2017, doi: 10.1016/j.mechmat.2016.11.013.</w:t>
      </w:r>
    </w:p>
    <w:p w14:paraId="6D9A6A72" w14:textId="77777777" w:rsidR="00564928" w:rsidRPr="0078562D" w:rsidRDefault="00564928" w:rsidP="00564928">
      <w:pPr>
        <w:jc w:val="both"/>
        <w:rPr>
          <w:sz w:val="20"/>
          <w:szCs w:val="20"/>
          <w:lang w:val="en-US"/>
        </w:rPr>
      </w:pPr>
      <w:r w:rsidRPr="0078562D">
        <w:rPr>
          <w:sz w:val="20"/>
          <w:szCs w:val="20"/>
          <w:lang w:val="en-US"/>
        </w:rPr>
        <w:t>[36]</w:t>
      </w:r>
      <w:r w:rsidRPr="0078562D">
        <w:rPr>
          <w:sz w:val="20"/>
          <w:szCs w:val="20"/>
          <w:lang w:val="en-US"/>
        </w:rPr>
        <w:tab/>
        <w:t xml:space="preserve">H. Wu </w:t>
      </w:r>
      <w:r w:rsidRPr="0078562D">
        <w:rPr>
          <w:i/>
          <w:iCs/>
          <w:sz w:val="20"/>
          <w:szCs w:val="20"/>
          <w:lang w:val="en-US"/>
        </w:rPr>
        <w:t>et al.</w:t>
      </w:r>
      <w:r w:rsidRPr="0078562D">
        <w:rPr>
          <w:sz w:val="20"/>
          <w:szCs w:val="20"/>
          <w:lang w:val="en-US"/>
        </w:rPr>
        <w:t xml:space="preserve">, «Preparation of Bouligand biomimetic ceramic composites and the effect of different fiber orientations on mechanical properties», </w:t>
      </w:r>
      <w:r w:rsidRPr="0078562D">
        <w:rPr>
          <w:i/>
          <w:iCs/>
          <w:sz w:val="20"/>
          <w:szCs w:val="20"/>
          <w:lang w:val="en-US"/>
        </w:rPr>
        <w:t>J. Manuf. Process.</w:t>
      </w:r>
      <w:r w:rsidRPr="0078562D">
        <w:rPr>
          <w:sz w:val="20"/>
          <w:szCs w:val="20"/>
          <w:lang w:val="en-US"/>
        </w:rPr>
        <w:t>, vol. 132, pp. 789-801, dic. 2024, doi: 10.1016/j.jmapro.2024.11.031.</w:t>
      </w:r>
    </w:p>
    <w:p w14:paraId="57F28AF4" w14:textId="77777777" w:rsidR="00564928" w:rsidRPr="0078562D" w:rsidRDefault="00564928" w:rsidP="00564928">
      <w:pPr>
        <w:jc w:val="both"/>
        <w:rPr>
          <w:sz w:val="20"/>
          <w:szCs w:val="20"/>
          <w:lang w:val="en-US"/>
        </w:rPr>
      </w:pPr>
      <w:r w:rsidRPr="0078562D">
        <w:rPr>
          <w:sz w:val="20"/>
          <w:szCs w:val="20"/>
          <w:lang w:val="en-US"/>
        </w:rPr>
        <w:t>[37]</w:t>
      </w:r>
      <w:r w:rsidRPr="0078562D">
        <w:rPr>
          <w:sz w:val="20"/>
          <w:szCs w:val="20"/>
          <w:lang w:val="en-US"/>
        </w:rPr>
        <w:tab/>
        <w:t xml:space="preserve">H. Zhang </w:t>
      </w:r>
      <w:r w:rsidRPr="0078562D">
        <w:rPr>
          <w:i/>
          <w:iCs/>
          <w:sz w:val="20"/>
          <w:szCs w:val="20"/>
          <w:lang w:val="en-US"/>
        </w:rPr>
        <w:t>et al.</w:t>
      </w:r>
      <w:r w:rsidRPr="0078562D">
        <w:rPr>
          <w:sz w:val="20"/>
          <w:szCs w:val="20"/>
          <w:lang w:val="en-US"/>
        </w:rPr>
        <w:t xml:space="preserve">, «Mechanical properties and failure mechanisms of three-dimensional stitched C/C-SiC ceramic matrix composites», </w:t>
      </w:r>
      <w:r w:rsidRPr="0078562D">
        <w:rPr>
          <w:i/>
          <w:iCs/>
          <w:sz w:val="20"/>
          <w:szCs w:val="20"/>
          <w:lang w:val="en-US"/>
        </w:rPr>
        <w:t>Ceram. Int.</w:t>
      </w:r>
      <w:r w:rsidRPr="0078562D">
        <w:rPr>
          <w:sz w:val="20"/>
          <w:szCs w:val="20"/>
          <w:lang w:val="en-US"/>
        </w:rPr>
        <w:t>, vol. 50, n.</w:t>
      </w:r>
      <w:r w:rsidRPr="0078562D">
        <w:rPr>
          <w:sz w:val="20"/>
          <w:szCs w:val="20"/>
          <w:vertAlign w:val="superscript"/>
          <w:lang w:val="en-US"/>
        </w:rPr>
        <w:t>o</w:t>
      </w:r>
      <w:r w:rsidRPr="0078562D">
        <w:rPr>
          <w:sz w:val="20"/>
          <w:szCs w:val="20"/>
          <w:lang w:val="en-US"/>
        </w:rPr>
        <w:t xml:space="preserve"> 24, pp. 55487-55497, dic. 2024, doi: 10.1016/j.ceramint.2024.10.409.</w:t>
      </w:r>
    </w:p>
    <w:p w14:paraId="0EC99014" w14:textId="77777777" w:rsidR="00564928" w:rsidRPr="0078562D" w:rsidRDefault="00564928" w:rsidP="00564928">
      <w:pPr>
        <w:jc w:val="both"/>
        <w:rPr>
          <w:sz w:val="20"/>
          <w:szCs w:val="20"/>
          <w:lang w:val="en-US"/>
        </w:rPr>
      </w:pPr>
      <w:r w:rsidRPr="0078562D">
        <w:rPr>
          <w:sz w:val="20"/>
          <w:szCs w:val="20"/>
          <w:lang w:val="en-US"/>
        </w:rPr>
        <w:lastRenderedPageBreak/>
        <w:t>[38]</w:t>
      </w:r>
      <w:r w:rsidRPr="0078562D">
        <w:rPr>
          <w:sz w:val="20"/>
          <w:szCs w:val="20"/>
          <w:lang w:val="en-US"/>
        </w:rPr>
        <w:tab/>
        <w:t xml:space="preserve">X. Huang, S. Su, Z. Xu, Q. Miao, W. Li, y L. Wang, «Advanced Composite Materials for Structure Strengthening and Resilience Improvement», </w:t>
      </w:r>
      <w:r w:rsidRPr="0078562D">
        <w:rPr>
          <w:i/>
          <w:iCs/>
          <w:sz w:val="20"/>
          <w:szCs w:val="20"/>
          <w:lang w:val="en-US"/>
        </w:rPr>
        <w:t>Buildings</w:t>
      </w:r>
      <w:r w:rsidRPr="0078562D">
        <w:rPr>
          <w:sz w:val="20"/>
          <w:szCs w:val="20"/>
          <w:lang w:val="en-US"/>
        </w:rPr>
        <w:t>, vol. 13, n.</w:t>
      </w:r>
      <w:r w:rsidRPr="0078562D">
        <w:rPr>
          <w:sz w:val="20"/>
          <w:szCs w:val="20"/>
          <w:vertAlign w:val="superscript"/>
          <w:lang w:val="en-US"/>
        </w:rPr>
        <w:t>o</w:t>
      </w:r>
      <w:r w:rsidRPr="0078562D">
        <w:rPr>
          <w:sz w:val="20"/>
          <w:szCs w:val="20"/>
          <w:lang w:val="en-US"/>
        </w:rPr>
        <w:t xml:space="preserve"> 10, p. 2406, sep. 2023, doi: 10.3390/buildings13102406.</w:t>
      </w:r>
    </w:p>
    <w:p w14:paraId="65A91625" w14:textId="77777777" w:rsidR="00564928" w:rsidRPr="0078562D" w:rsidRDefault="00564928" w:rsidP="00564928">
      <w:pPr>
        <w:jc w:val="both"/>
        <w:rPr>
          <w:sz w:val="20"/>
          <w:szCs w:val="20"/>
          <w:lang w:val="en-US"/>
        </w:rPr>
      </w:pPr>
      <w:r w:rsidRPr="0078562D">
        <w:rPr>
          <w:sz w:val="20"/>
          <w:szCs w:val="20"/>
          <w:lang w:val="en-US"/>
        </w:rPr>
        <w:t>[39]</w:t>
      </w:r>
      <w:r w:rsidRPr="0078562D">
        <w:rPr>
          <w:sz w:val="20"/>
          <w:szCs w:val="20"/>
          <w:lang w:val="en-US"/>
        </w:rPr>
        <w:tab/>
        <w:t xml:space="preserve">M. Chen, X. Zhang, K. Shen, y G. Pan, «Uncertainty quantification and global sensitivity analysis for composite cylinder shell via data-driven polynomial chaos expansion», </w:t>
      </w:r>
      <w:r w:rsidRPr="0078562D">
        <w:rPr>
          <w:i/>
          <w:iCs/>
          <w:sz w:val="20"/>
          <w:szCs w:val="20"/>
          <w:lang w:val="en-US"/>
        </w:rPr>
        <w:t>J. Phys. Conf. Ser.</w:t>
      </w:r>
      <w:r w:rsidRPr="0078562D">
        <w:rPr>
          <w:sz w:val="20"/>
          <w:szCs w:val="20"/>
          <w:lang w:val="en-US"/>
        </w:rPr>
        <w:t>, vol. 2174, n.</w:t>
      </w:r>
      <w:r w:rsidRPr="0078562D">
        <w:rPr>
          <w:sz w:val="20"/>
          <w:szCs w:val="20"/>
          <w:vertAlign w:val="superscript"/>
          <w:lang w:val="en-US"/>
        </w:rPr>
        <w:t>o</w:t>
      </w:r>
      <w:r w:rsidRPr="0078562D">
        <w:rPr>
          <w:sz w:val="20"/>
          <w:szCs w:val="20"/>
          <w:lang w:val="en-US"/>
        </w:rPr>
        <w:t xml:space="preserve"> 1, p. 012085, ene. 2022, doi: 10.1088/1742-6596/2174/1/012085.</w:t>
      </w:r>
    </w:p>
    <w:p w14:paraId="22C38334" w14:textId="77777777" w:rsidR="00564928" w:rsidRPr="0078562D" w:rsidRDefault="00564928" w:rsidP="00564928">
      <w:pPr>
        <w:jc w:val="both"/>
        <w:rPr>
          <w:sz w:val="20"/>
          <w:szCs w:val="20"/>
          <w:lang w:val="en-US"/>
        </w:rPr>
      </w:pPr>
      <w:r w:rsidRPr="0078562D">
        <w:rPr>
          <w:sz w:val="20"/>
          <w:szCs w:val="20"/>
          <w:lang w:val="en-US"/>
        </w:rPr>
        <w:t>[40]</w:t>
      </w:r>
      <w:r w:rsidRPr="0078562D">
        <w:rPr>
          <w:sz w:val="20"/>
          <w:szCs w:val="20"/>
          <w:lang w:val="en-US"/>
        </w:rPr>
        <w:tab/>
        <w:t xml:space="preserve">M. Xu, B. Zeng, Z. An, X. Xiong, y X. Cheng, «Experimental and Numerical Investigation on Fatigue Properties of Carbon Fiber Cross-Ply Laminates in Hygrothermal Environments», </w:t>
      </w:r>
      <w:r w:rsidRPr="0078562D">
        <w:rPr>
          <w:i/>
          <w:iCs/>
          <w:sz w:val="20"/>
          <w:szCs w:val="20"/>
          <w:lang w:val="en-US"/>
        </w:rPr>
        <w:t>Polymers</w:t>
      </w:r>
      <w:r w:rsidRPr="0078562D">
        <w:rPr>
          <w:sz w:val="20"/>
          <w:szCs w:val="20"/>
          <w:lang w:val="en-US"/>
        </w:rPr>
        <w:t>, vol. 14, n.</w:t>
      </w:r>
      <w:r w:rsidRPr="0078562D">
        <w:rPr>
          <w:sz w:val="20"/>
          <w:szCs w:val="20"/>
          <w:vertAlign w:val="superscript"/>
          <w:lang w:val="en-US"/>
        </w:rPr>
        <w:t>o</w:t>
      </w:r>
      <w:r w:rsidRPr="0078562D">
        <w:rPr>
          <w:sz w:val="20"/>
          <w:szCs w:val="20"/>
          <w:lang w:val="en-US"/>
        </w:rPr>
        <w:t xml:space="preserve"> 9, p. 1857, abr. 2022, doi: 10.3390/polym14091857.</w:t>
      </w:r>
    </w:p>
    <w:p w14:paraId="418D1BBC" w14:textId="77777777" w:rsidR="00564928" w:rsidRPr="0078562D" w:rsidRDefault="00564928" w:rsidP="00564928">
      <w:pPr>
        <w:jc w:val="both"/>
        <w:rPr>
          <w:sz w:val="20"/>
          <w:szCs w:val="20"/>
          <w:lang w:val="en-US"/>
        </w:rPr>
      </w:pPr>
      <w:r w:rsidRPr="0078562D">
        <w:rPr>
          <w:sz w:val="20"/>
          <w:szCs w:val="20"/>
          <w:lang w:val="en-US"/>
        </w:rPr>
        <w:t>[41]</w:t>
      </w:r>
      <w:r w:rsidRPr="0078562D">
        <w:rPr>
          <w:sz w:val="20"/>
          <w:szCs w:val="20"/>
          <w:lang w:val="en-US"/>
        </w:rPr>
        <w:tab/>
        <w:t xml:space="preserve">A. B. Rashid, M. Haque, S. M. M. Islam, y K. M. R. Uddin Labib, «Nanotechnology-enhanced fiber-reinforced polymer composites: Recent advancements on processing techniques and applications», </w:t>
      </w:r>
      <w:r w:rsidRPr="0078562D">
        <w:rPr>
          <w:i/>
          <w:iCs/>
          <w:sz w:val="20"/>
          <w:szCs w:val="20"/>
          <w:lang w:val="en-US"/>
        </w:rPr>
        <w:t>Heliyon</w:t>
      </w:r>
      <w:r w:rsidRPr="0078562D">
        <w:rPr>
          <w:sz w:val="20"/>
          <w:szCs w:val="20"/>
          <w:lang w:val="en-US"/>
        </w:rPr>
        <w:t>, vol. 10, n.</w:t>
      </w:r>
      <w:r w:rsidRPr="0078562D">
        <w:rPr>
          <w:sz w:val="20"/>
          <w:szCs w:val="20"/>
          <w:vertAlign w:val="superscript"/>
          <w:lang w:val="en-US"/>
        </w:rPr>
        <w:t>o</w:t>
      </w:r>
      <w:r w:rsidRPr="0078562D">
        <w:rPr>
          <w:sz w:val="20"/>
          <w:szCs w:val="20"/>
          <w:lang w:val="en-US"/>
        </w:rPr>
        <w:t xml:space="preserve"> 2, p. e24692, ene. 2024, doi: 10.1016/j.heliyon.2024.e24692.</w:t>
      </w:r>
    </w:p>
    <w:p w14:paraId="5D6DDDD3" w14:textId="77777777" w:rsidR="00564928" w:rsidRPr="0078562D" w:rsidRDefault="00564928" w:rsidP="00564928">
      <w:pPr>
        <w:jc w:val="both"/>
        <w:rPr>
          <w:sz w:val="20"/>
          <w:szCs w:val="20"/>
          <w:lang w:val="en-US"/>
        </w:rPr>
      </w:pPr>
      <w:r w:rsidRPr="0078562D">
        <w:rPr>
          <w:sz w:val="20"/>
          <w:szCs w:val="20"/>
          <w:lang w:val="en-US"/>
        </w:rPr>
        <w:t>[42]</w:t>
      </w:r>
      <w:r w:rsidRPr="0078562D">
        <w:rPr>
          <w:sz w:val="20"/>
          <w:szCs w:val="20"/>
          <w:lang w:val="en-US"/>
        </w:rPr>
        <w:tab/>
        <w:t xml:space="preserve">A. A. Musa </w:t>
      </w:r>
      <w:r w:rsidRPr="0078562D">
        <w:rPr>
          <w:i/>
          <w:iCs/>
          <w:sz w:val="20"/>
          <w:szCs w:val="20"/>
          <w:lang w:val="en-US"/>
        </w:rPr>
        <w:t>et al.</w:t>
      </w:r>
      <w:r w:rsidRPr="0078562D">
        <w:rPr>
          <w:sz w:val="20"/>
          <w:szCs w:val="20"/>
          <w:lang w:val="en-US"/>
        </w:rPr>
        <w:t xml:space="preserve">, «Nano-Enhanced Polymer Composite Materials: A Review of Current Advancements and Challenges», </w:t>
      </w:r>
      <w:r w:rsidRPr="0078562D">
        <w:rPr>
          <w:i/>
          <w:iCs/>
          <w:sz w:val="20"/>
          <w:szCs w:val="20"/>
          <w:lang w:val="en-US"/>
        </w:rPr>
        <w:t>Polymers</w:t>
      </w:r>
      <w:r w:rsidRPr="0078562D">
        <w:rPr>
          <w:sz w:val="20"/>
          <w:szCs w:val="20"/>
          <w:lang w:val="en-US"/>
        </w:rPr>
        <w:t>, vol. 17, n.</w:t>
      </w:r>
      <w:r w:rsidRPr="0078562D">
        <w:rPr>
          <w:sz w:val="20"/>
          <w:szCs w:val="20"/>
          <w:vertAlign w:val="superscript"/>
          <w:lang w:val="en-US"/>
        </w:rPr>
        <w:t>o</w:t>
      </w:r>
      <w:r w:rsidRPr="0078562D">
        <w:rPr>
          <w:sz w:val="20"/>
          <w:szCs w:val="20"/>
          <w:lang w:val="en-US"/>
        </w:rPr>
        <w:t xml:space="preserve"> 7, p. 893, mar. 2025, doi: 10.3390/polym17070893.</w:t>
      </w:r>
    </w:p>
    <w:p w14:paraId="5AE3E262" w14:textId="77777777" w:rsidR="00564928" w:rsidRPr="0078562D" w:rsidRDefault="00564928" w:rsidP="00564928">
      <w:pPr>
        <w:jc w:val="both"/>
        <w:rPr>
          <w:sz w:val="20"/>
          <w:szCs w:val="20"/>
          <w:lang w:val="en-US"/>
        </w:rPr>
      </w:pPr>
      <w:r w:rsidRPr="0078562D">
        <w:rPr>
          <w:sz w:val="20"/>
          <w:szCs w:val="20"/>
          <w:lang w:val="en-US"/>
        </w:rPr>
        <w:t>[43]</w:t>
      </w:r>
      <w:r w:rsidRPr="0078562D">
        <w:rPr>
          <w:sz w:val="20"/>
          <w:szCs w:val="20"/>
          <w:lang w:val="en-US"/>
        </w:rPr>
        <w:tab/>
        <w:t xml:space="preserve">M. Lezgy-Nazargah, S. A. Emamian, E. Aghasizadeh, y M. Khani, «Predicting the mechanical properties of ordinary concrete and nano-silica concrete using micromechanical methods», </w:t>
      </w:r>
      <w:r w:rsidRPr="0078562D">
        <w:rPr>
          <w:i/>
          <w:iCs/>
          <w:sz w:val="20"/>
          <w:szCs w:val="20"/>
          <w:lang w:val="en-US"/>
        </w:rPr>
        <w:t>Sādhanā</w:t>
      </w:r>
      <w:r w:rsidRPr="0078562D">
        <w:rPr>
          <w:sz w:val="20"/>
          <w:szCs w:val="20"/>
          <w:lang w:val="en-US"/>
        </w:rPr>
        <w:t>, vol. 43, n.</w:t>
      </w:r>
      <w:r w:rsidRPr="0078562D">
        <w:rPr>
          <w:sz w:val="20"/>
          <w:szCs w:val="20"/>
          <w:vertAlign w:val="superscript"/>
          <w:lang w:val="en-US"/>
        </w:rPr>
        <w:t>o</w:t>
      </w:r>
      <w:r w:rsidRPr="0078562D">
        <w:rPr>
          <w:sz w:val="20"/>
          <w:szCs w:val="20"/>
          <w:lang w:val="en-US"/>
        </w:rPr>
        <w:t xml:space="preserve"> 12, p. 196, dic. 2018, doi: 10.1007/s12046-018-0965-0.</w:t>
      </w:r>
    </w:p>
    <w:p w14:paraId="7370B7AB" w14:textId="77777777" w:rsidR="00564928" w:rsidRPr="0078562D" w:rsidRDefault="00564928" w:rsidP="00564928">
      <w:pPr>
        <w:jc w:val="both"/>
        <w:rPr>
          <w:sz w:val="20"/>
          <w:szCs w:val="20"/>
          <w:lang w:val="en-US"/>
        </w:rPr>
      </w:pPr>
      <w:r w:rsidRPr="0078562D">
        <w:rPr>
          <w:sz w:val="20"/>
          <w:szCs w:val="20"/>
          <w:lang w:val="en-US"/>
        </w:rPr>
        <w:t>[44]</w:t>
      </w:r>
      <w:r w:rsidRPr="0078562D">
        <w:rPr>
          <w:sz w:val="20"/>
          <w:szCs w:val="20"/>
          <w:lang w:val="en-US"/>
        </w:rPr>
        <w:tab/>
        <w:t xml:space="preserve">M. Li, H. Hao, Y. Shi, y Y. Hao, «Specimen shape and size effects on the concrete compressive strength under static and dynamic tests», </w:t>
      </w:r>
      <w:r w:rsidRPr="0078562D">
        <w:rPr>
          <w:i/>
          <w:iCs/>
          <w:sz w:val="20"/>
          <w:szCs w:val="20"/>
          <w:lang w:val="en-US"/>
        </w:rPr>
        <w:t>Constr. Build. Mater.</w:t>
      </w:r>
      <w:r w:rsidRPr="0078562D">
        <w:rPr>
          <w:sz w:val="20"/>
          <w:szCs w:val="20"/>
          <w:lang w:val="en-US"/>
        </w:rPr>
        <w:t>, vol. 161, pp. 84-93, feb. 2018, doi: 10.1016/j.conbuildmat.2017.11.069.</w:t>
      </w:r>
    </w:p>
    <w:p w14:paraId="464314CE" w14:textId="77777777" w:rsidR="00564928" w:rsidRPr="0078562D" w:rsidRDefault="00564928" w:rsidP="00564928">
      <w:pPr>
        <w:jc w:val="both"/>
        <w:rPr>
          <w:sz w:val="20"/>
          <w:szCs w:val="20"/>
          <w:lang w:val="en-US"/>
        </w:rPr>
      </w:pPr>
      <w:r w:rsidRPr="0078562D">
        <w:rPr>
          <w:sz w:val="20"/>
          <w:szCs w:val="20"/>
          <w:lang w:val="en-US"/>
        </w:rPr>
        <w:t>[45]</w:t>
      </w:r>
      <w:r w:rsidRPr="0078562D">
        <w:rPr>
          <w:sz w:val="20"/>
          <w:szCs w:val="20"/>
          <w:lang w:val="en-US"/>
        </w:rPr>
        <w:tab/>
        <w:t xml:space="preserve">G. Habbar, A. Maizia, A. Hocine, J. Ribeiro, y M. H. Dhaou, «Micromechanical Analysis of a Bio-Sandwich Application for Cylinder under Pressure», </w:t>
      </w:r>
      <w:r w:rsidRPr="0078562D">
        <w:rPr>
          <w:i/>
          <w:iCs/>
          <w:sz w:val="20"/>
          <w:szCs w:val="20"/>
          <w:lang w:val="en-US"/>
        </w:rPr>
        <w:t>J. Compos. Sci.</w:t>
      </w:r>
      <w:r w:rsidRPr="0078562D">
        <w:rPr>
          <w:sz w:val="20"/>
          <w:szCs w:val="20"/>
          <w:lang w:val="en-US"/>
        </w:rPr>
        <w:t>, vol. 6, n.</w:t>
      </w:r>
      <w:r w:rsidRPr="0078562D">
        <w:rPr>
          <w:sz w:val="20"/>
          <w:szCs w:val="20"/>
          <w:vertAlign w:val="superscript"/>
          <w:lang w:val="en-US"/>
        </w:rPr>
        <w:t>o</w:t>
      </w:r>
      <w:r w:rsidRPr="0078562D">
        <w:rPr>
          <w:sz w:val="20"/>
          <w:szCs w:val="20"/>
          <w:lang w:val="en-US"/>
        </w:rPr>
        <w:t xml:space="preserve"> 3, p. 69, feb. 2022, doi: 10.3390/jcs6030069.</w:t>
      </w:r>
    </w:p>
    <w:p w14:paraId="1681FC14" w14:textId="77777777" w:rsidR="00564928" w:rsidRPr="0078562D" w:rsidRDefault="00564928" w:rsidP="00564928">
      <w:pPr>
        <w:jc w:val="both"/>
        <w:rPr>
          <w:sz w:val="20"/>
          <w:szCs w:val="20"/>
          <w:lang w:val="en-US"/>
        </w:rPr>
      </w:pPr>
      <w:r w:rsidRPr="0078562D">
        <w:rPr>
          <w:sz w:val="20"/>
          <w:szCs w:val="20"/>
          <w:lang w:val="en-US"/>
        </w:rPr>
        <w:t>[46]</w:t>
      </w:r>
      <w:r w:rsidRPr="0078562D">
        <w:rPr>
          <w:sz w:val="20"/>
          <w:szCs w:val="20"/>
          <w:lang w:val="en-US"/>
        </w:rPr>
        <w:tab/>
        <w:t xml:space="preserve">Y. Cao, W. Wang, y Q. Wang, «Application of mechanical model for natural fibre reinforced polymer composites», </w:t>
      </w:r>
      <w:r w:rsidRPr="0078562D">
        <w:rPr>
          <w:i/>
          <w:iCs/>
          <w:sz w:val="20"/>
          <w:szCs w:val="20"/>
          <w:lang w:val="en-US"/>
        </w:rPr>
        <w:t>Mater. Res. Innov.</w:t>
      </w:r>
      <w:r w:rsidRPr="0078562D">
        <w:rPr>
          <w:sz w:val="20"/>
          <w:szCs w:val="20"/>
          <w:lang w:val="en-US"/>
        </w:rPr>
        <w:t>, vol. 18, n.</w:t>
      </w:r>
      <w:r w:rsidRPr="0078562D">
        <w:rPr>
          <w:sz w:val="20"/>
          <w:szCs w:val="20"/>
          <w:vertAlign w:val="superscript"/>
          <w:lang w:val="en-US"/>
        </w:rPr>
        <w:t>o</w:t>
      </w:r>
      <w:r w:rsidRPr="0078562D">
        <w:rPr>
          <w:sz w:val="20"/>
          <w:szCs w:val="20"/>
          <w:lang w:val="en-US"/>
        </w:rPr>
        <w:t xml:space="preserve"> sup2, pp. S2-354-S2-357, may 2014, doi: 10.1179/1432891714Z.000000000431.</w:t>
      </w:r>
    </w:p>
    <w:p w14:paraId="13B04B8F" w14:textId="77777777" w:rsidR="00564928" w:rsidRPr="0078562D" w:rsidRDefault="00564928" w:rsidP="00564928">
      <w:pPr>
        <w:jc w:val="both"/>
        <w:rPr>
          <w:sz w:val="20"/>
          <w:szCs w:val="20"/>
          <w:lang w:val="en-US"/>
        </w:rPr>
      </w:pPr>
      <w:r w:rsidRPr="0078562D">
        <w:rPr>
          <w:sz w:val="20"/>
          <w:szCs w:val="20"/>
          <w:lang w:val="en-US"/>
        </w:rPr>
        <w:t>[47]</w:t>
      </w:r>
      <w:r w:rsidRPr="0078562D">
        <w:rPr>
          <w:sz w:val="20"/>
          <w:szCs w:val="20"/>
          <w:lang w:val="en-US"/>
        </w:rPr>
        <w:tab/>
        <w:t xml:space="preserve">P. Ewart y J. Verbeek, «Using micro-mechanical modelling to predict short-fibre composite properties in computer-aided design of sporting equipment», </w:t>
      </w:r>
      <w:r w:rsidRPr="0078562D">
        <w:rPr>
          <w:i/>
          <w:iCs/>
          <w:sz w:val="20"/>
          <w:szCs w:val="20"/>
          <w:lang w:val="en-US"/>
        </w:rPr>
        <w:t>Sports Eng.</w:t>
      </w:r>
      <w:r w:rsidRPr="0078562D">
        <w:rPr>
          <w:sz w:val="20"/>
          <w:szCs w:val="20"/>
          <w:lang w:val="en-US"/>
        </w:rPr>
        <w:t>, vol. 13, n.</w:t>
      </w:r>
      <w:r w:rsidRPr="0078562D">
        <w:rPr>
          <w:sz w:val="20"/>
          <w:szCs w:val="20"/>
          <w:vertAlign w:val="superscript"/>
          <w:lang w:val="en-US"/>
        </w:rPr>
        <w:t>o</w:t>
      </w:r>
      <w:r w:rsidRPr="0078562D">
        <w:rPr>
          <w:sz w:val="20"/>
          <w:szCs w:val="20"/>
          <w:lang w:val="en-US"/>
        </w:rPr>
        <w:t xml:space="preserve"> 2, pp. 73-81, ene. 2011, doi: 10.1007/s12283-010-0057-9.</w:t>
      </w:r>
    </w:p>
    <w:p w14:paraId="6D4F5A94" w14:textId="77777777" w:rsidR="00564928" w:rsidRPr="0078562D" w:rsidRDefault="00564928" w:rsidP="00564928">
      <w:pPr>
        <w:jc w:val="both"/>
        <w:rPr>
          <w:sz w:val="20"/>
          <w:szCs w:val="20"/>
          <w:lang w:val="en-US"/>
        </w:rPr>
      </w:pPr>
      <w:r w:rsidRPr="0078562D">
        <w:rPr>
          <w:sz w:val="20"/>
          <w:szCs w:val="20"/>
          <w:lang w:val="en-US"/>
        </w:rPr>
        <w:t>[48]</w:t>
      </w:r>
      <w:r w:rsidRPr="0078562D">
        <w:rPr>
          <w:sz w:val="20"/>
          <w:szCs w:val="20"/>
          <w:lang w:val="en-US"/>
        </w:rPr>
        <w:tab/>
        <w:t xml:space="preserve">J. M. Díaz-Mendoza, D. J. Valles-Rosales, Y. H. Park, y R. C. Sabo, «Micromechanical Modeling for Tensile Properties of Wood Plastic Composites: Use of Pruned Waste from Pecan Orchards as Sustainable Material for Reinforcement of Thermoplastic Composite», </w:t>
      </w:r>
      <w:r w:rsidRPr="0078562D">
        <w:rPr>
          <w:i/>
          <w:iCs/>
          <w:sz w:val="20"/>
          <w:szCs w:val="20"/>
          <w:lang w:val="en-US"/>
        </w:rPr>
        <w:t>Polymers</w:t>
      </w:r>
      <w:r w:rsidRPr="0078562D">
        <w:rPr>
          <w:sz w:val="20"/>
          <w:szCs w:val="20"/>
          <w:lang w:val="en-US"/>
        </w:rPr>
        <w:t>, vol. 14, n.</w:t>
      </w:r>
      <w:r w:rsidRPr="0078562D">
        <w:rPr>
          <w:sz w:val="20"/>
          <w:szCs w:val="20"/>
          <w:vertAlign w:val="superscript"/>
          <w:lang w:val="en-US"/>
        </w:rPr>
        <w:t>o</w:t>
      </w:r>
      <w:r w:rsidRPr="0078562D">
        <w:rPr>
          <w:sz w:val="20"/>
          <w:szCs w:val="20"/>
          <w:lang w:val="en-US"/>
        </w:rPr>
        <w:t xml:space="preserve"> 3, p. 504, ene. 2022, doi: 10.3390/polym14030504.</w:t>
      </w:r>
    </w:p>
    <w:p w14:paraId="1852D15C" w14:textId="77777777" w:rsidR="00564928" w:rsidRPr="0078562D" w:rsidRDefault="00564928" w:rsidP="00564928">
      <w:pPr>
        <w:jc w:val="both"/>
        <w:rPr>
          <w:sz w:val="20"/>
          <w:szCs w:val="20"/>
          <w:lang w:val="en-US"/>
        </w:rPr>
      </w:pPr>
      <w:r w:rsidRPr="0078562D">
        <w:rPr>
          <w:sz w:val="20"/>
          <w:szCs w:val="20"/>
          <w:lang w:val="en-US"/>
        </w:rPr>
        <w:t>[49]</w:t>
      </w:r>
      <w:r w:rsidRPr="0078562D">
        <w:rPr>
          <w:sz w:val="20"/>
          <w:szCs w:val="20"/>
          <w:lang w:val="en-US"/>
        </w:rPr>
        <w:tab/>
        <w:t xml:space="preserve">H. Yue, C. Lu, C. Wang, y F. Yang, «Optimizing tensile strength and failure prediction in hemp fiber composites: Coupling effects of microfibril angle and fiber orientation under off-axis loading», </w:t>
      </w:r>
      <w:r w:rsidRPr="0078562D">
        <w:rPr>
          <w:i/>
          <w:iCs/>
          <w:sz w:val="20"/>
          <w:szCs w:val="20"/>
          <w:lang w:val="en-US"/>
        </w:rPr>
        <w:t>Ind. Crops Prod.</w:t>
      </w:r>
      <w:r w:rsidRPr="0078562D">
        <w:rPr>
          <w:sz w:val="20"/>
          <w:szCs w:val="20"/>
          <w:lang w:val="en-US"/>
        </w:rPr>
        <w:t>, vol. 222, p. 119872, dic. 2024, doi: 10.1016/j.indcrop.2024.119872.</w:t>
      </w:r>
    </w:p>
    <w:p w14:paraId="3C3677FC" w14:textId="77777777" w:rsidR="00564928" w:rsidRPr="0078562D" w:rsidRDefault="00564928" w:rsidP="00564928">
      <w:pPr>
        <w:jc w:val="both"/>
        <w:rPr>
          <w:sz w:val="20"/>
          <w:szCs w:val="20"/>
          <w:lang w:val="en-US"/>
        </w:rPr>
      </w:pPr>
      <w:r w:rsidRPr="0078562D">
        <w:rPr>
          <w:sz w:val="20"/>
          <w:szCs w:val="20"/>
          <w:lang w:val="en-US"/>
        </w:rPr>
        <w:t>[50]</w:t>
      </w:r>
      <w:r w:rsidRPr="0078562D">
        <w:rPr>
          <w:sz w:val="20"/>
          <w:szCs w:val="20"/>
          <w:lang w:val="en-US"/>
        </w:rPr>
        <w:tab/>
        <w:t xml:space="preserve">S. Xu, H. Yang, T. Li, y Y. Zhang, «Data-driven prediction of mechanical properties of 3D-printed dual-material composites based on deep transfer learning», </w:t>
      </w:r>
      <w:r w:rsidRPr="0078562D">
        <w:rPr>
          <w:i/>
          <w:iCs/>
          <w:sz w:val="20"/>
          <w:szCs w:val="20"/>
          <w:lang w:val="en-US"/>
        </w:rPr>
        <w:t>Compos. Part Appl. Sci. Manuf.</w:t>
      </w:r>
      <w:r w:rsidRPr="0078562D">
        <w:rPr>
          <w:sz w:val="20"/>
          <w:szCs w:val="20"/>
          <w:lang w:val="en-US"/>
        </w:rPr>
        <w:t>, vol. 198, p. 109083, nov. 2025, doi: 10.1016/j.compositesa.2025.109083.</w:t>
      </w:r>
    </w:p>
    <w:p w14:paraId="10A5D5EB" w14:textId="44B0B6F3" w:rsidR="00564928" w:rsidRPr="0078562D" w:rsidRDefault="00564928" w:rsidP="00564928">
      <w:pPr>
        <w:jc w:val="both"/>
        <w:rPr>
          <w:sz w:val="20"/>
          <w:szCs w:val="20"/>
          <w:lang w:val="en-US"/>
        </w:rPr>
      </w:pPr>
      <w:r w:rsidRPr="0078562D">
        <w:rPr>
          <w:sz w:val="20"/>
          <w:szCs w:val="20"/>
          <w:lang w:val="en-US"/>
        </w:rPr>
        <w:t>[51]</w:t>
      </w:r>
      <w:r w:rsidRPr="0078562D">
        <w:rPr>
          <w:sz w:val="20"/>
          <w:szCs w:val="20"/>
          <w:lang w:val="en-US"/>
        </w:rPr>
        <w:tab/>
        <w:t xml:space="preserve">E. A. W. de Menezes, L. Friedrich, A. Colpo, y S. C. Amico, «Chapter 5 - Micromechanics of Short-Fiber and Particulate Composites», en </w:t>
      </w:r>
      <w:r w:rsidRPr="0078562D">
        <w:rPr>
          <w:i/>
          <w:iCs/>
          <w:sz w:val="20"/>
          <w:szCs w:val="20"/>
          <w:lang w:val="en-US"/>
        </w:rPr>
        <w:t>Unsaturated Polyester Resins</w:t>
      </w:r>
      <w:r w:rsidRPr="0078562D">
        <w:rPr>
          <w:sz w:val="20"/>
          <w:szCs w:val="20"/>
          <w:lang w:val="en-US"/>
        </w:rPr>
        <w:t>, S. Thomas, M. Hosur, y C. J. Chirayil, Eds., Elsevier, 2019, pp. 125-152. doi:</w:t>
      </w:r>
      <w:r w:rsidR="0084171E" w:rsidRPr="0078562D">
        <w:rPr>
          <w:sz w:val="20"/>
          <w:szCs w:val="20"/>
          <w:lang w:val="en-US"/>
        </w:rPr>
        <w:t xml:space="preserve"> </w:t>
      </w:r>
      <w:r w:rsidRPr="0078562D">
        <w:rPr>
          <w:sz w:val="20"/>
          <w:szCs w:val="20"/>
          <w:lang w:val="en-US"/>
        </w:rPr>
        <w:t>10.1016/B978-0-12-816129-6.00005-3.</w:t>
      </w:r>
    </w:p>
    <w:p w14:paraId="450C43E8" w14:textId="77777777" w:rsidR="00564928" w:rsidRPr="0078562D" w:rsidRDefault="00564928" w:rsidP="00564928">
      <w:pPr>
        <w:jc w:val="both"/>
        <w:rPr>
          <w:sz w:val="20"/>
          <w:szCs w:val="20"/>
          <w:lang w:val="en-US"/>
        </w:rPr>
      </w:pPr>
      <w:r w:rsidRPr="0078562D">
        <w:rPr>
          <w:sz w:val="20"/>
          <w:szCs w:val="20"/>
          <w:lang w:val="en-US"/>
        </w:rPr>
        <w:t>[52]</w:t>
      </w:r>
      <w:r w:rsidRPr="0078562D">
        <w:rPr>
          <w:sz w:val="20"/>
          <w:szCs w:val="20"/>
          <w:lang w:val="en-US"/>
        </w:rPr>
        <w:tab/>
        <w:t xml:space="preserve">S. David Müzel, E. P. Bonhin, N. M. Guimarães, y E. S. Guidi, «Application of the Finite Element Method in the Analysis of Composite Materials: A Review», </w:t>
      </w:r>
      <w:r w:rsidRPr="0078562D">
        <w:rPr>
          <w:i/>
          <w:iCs/>
          <w:sz w:val="20"/>
          <w:szCs w:val="20"/>
          <w:lang w:val="en-US"/>
        </w:rPr>
        <w:t>Polymers</w:t>
      </w:r>
      <w:r w:rsidRPr="0078562D">
        <w:rPr>
          <w:sz w:val="20"/>
          <w:szCs w:val="20"/>
          <w:lang w:val="en-US"/>
        </w:rPr>
        <w:t>, vol. 12, n.</w:t>
      </w:r>
      <w:r w:rsidRPr="0078562D">
        <w:rPr>
          <w:sz w:val="20"/>
          <w:szCs w:val="20"/>
          <w:vertAlign w:val="superscript"/>
          <w:lang w:val="en-US"/>
        </w:rPr>
        <w:t>o</w:t>
      </w:r>
      <w:r w:rsidRPr="0078562D">
        <w:rPr>
          <w:sz w:val="20"/>
          <w:szCs w:val="20"/>
          <w:lang w:val="en-US"/>
        </w:rPr>
        <w:t xml:space="preserve"> 4, p. 818, abr. 2020, doi: 10.3390/polym12040818.</w:t>
      </w:r>
    </w:p>
    <w:p w14:paraId="0295E337" w14:textId="77777777" w:rsidR="00564928" w:rsidRPr="0078562D" w:rsidRDefault="00564928" w:rsidP="00564928">
      <w:pPr>
        <w:jc w:val="both"/>
        <w:rPr>
          <w:sz w:val="20"/>
          <w:szCs w:val="20"/>
          <w:lang w:val="en-US"/>
        </w:rPr>
      </w:pPr>
      <w:r w:rsidRPr="0078562D">
        <w:rPr>
          <w:sz w:val="20"/>
          <w:szCs w:val="20"/>
          <w:lang w:val="en-US"/>
        </w:rPr>
        <w:t>[53]</w:t>
      </w:r>
      <w:r w:rsidRPr="0078562D">
        <w:rPr>
          <w:sz w:val="20"/>
          <w:szCs w:val="20"/>
          <w:lang w:val="en-US"/>
        </w:rPr>
        <w:tab/>
        <w:t xml:space="preserve">N. Shetty, S. M. Shahabaz, S. S. Sharma, y S. Divakara Shetty, «A review on finite element method for machining of composite materials», </w:t>
      </w:r>
      <w:r w:rsidRPr="0078562D">
        <w:rPr>
          <w:i/>
          <w:iCs/>
          <w:sz w:val="20"/>
          <w:szCs w:val="20"/>
          <w:lang w:val="en-US"/>
        </w:rPr>
        <w:t>Compos. Struct.</w:t>
      </w:r>
      <w:r w:rsidRPr="0078562D">
        <w:rPr>
          <w:sz w:val="20"/>
          <w:szCs w:val="20"/>
          <w:lang w:val="en-US"/>
        </w:rPr>
        <w:t>, vol. 176, pp. 790-802, sep. 2017, doi: 10.1016/j.compstruct.2017.06.012.</w:t>
      </w:r>
    </w:p>
    <w:p w14:paraId="4B3A76D8" w14:textId="77777777" w:rsidR="00564928" w:rsidRPr="0078562D" w:rsidRDefault="00564928" w:rsidP="00564928">
      <w:pPr>
        <w:jc w:val="both"/>
        <w:rPr>
          <w:sz w:val="20"/>
          <w:szCs w:val="20"/>
          <w:lang w:val="en-US"/>
        </w:rPr>
      </w:pPr>
      <w:r w:rsidRPr="0078562D">
        <w:rPr>
          <w:sz w:val="20"/>
          <w:szCs w:val="20"/>
          <w:lang w:val="en-US"/>
        </w:rPr>
        <w:t>[54]</w:t>
      </w:r>
      <w:r w:rsidRPr="0078562D">
        <w:rPr>
          <w:sz w:val="20"/>
          <w:szCs w:val="20"/>
          <w:lang w:val="en-US"/>
        </w:rPr>
        <w:tab/>
        <w:t xml:space="preserve">W. Hou, X. Xu, H. Wang, y L. Tong, «Bending behavior of single hat-shaped composite T-joints under out-of-plane loading for lightweight automobile structures», </w:t>
      </w:r>
      <w:r w:rsidRPr="0078562D">
        <w:rPr>
          <w:i/>
          <w:iCs/>
          <w:sz w:val="20"/>
          <w:szCs w:val="20"/>
          <w:lang w:val="en-US"/>
        </w:rPr>
        <w:t>J. Reinf. Plast. Compos.</w:t>
      </w:r>
      <w:r w:rsidRPr="0078562D">
        <w:rPr>
          <w:sz w:val="20"/>
          <w:szCs w:val="20"/>
          <w:lang w:val="en-US"/>
        </w:rPr>
        <w:t>, vol. 37, n.</w:t>
      </w:r>
      <w:r w:rsidRPr="0078562D">
        <w:rPr>
          <w:sz w:val="20"/>
          <w:szCs w:val="20"/>
          <w:vertAlign w:val="superscript"/>
          <w:lang w:val="en-US"/>
        </w:rPr>
        <w:t>o</w:t>
      </w:r>
      <w:r w:rsidRPr="0078562D">
        <w:rPr>
          <w:sz w:val="20"/>
          <w:szCs w:val="20"/>
          <w:lang w:val="en-US"/>
        </w:rPr>
        <w:t xml:space="preserve"> 12, pp. 808-823, 2018, doi: 10.1177/0731684418764608.</w:t>
      </w:r>
    </w:p>
    <w:p w14:paraId="1CEE095A" w14:textId="77777777" w:rsidR="00564928" w:rsidRPr="0078562D" w:rsidRDefault="00564928" w:rsidP="00564928">
      <w:pPr>
        <w:jc w:val="both"/>
        <w:rPr>
          <w:sz w:val="20"/>
          <w:szCs w:val="20"/>
          <w:lang w:val="en-US"/>
        </w:rPr>
      </w:pPr>
      <w:r w:rsidRPr="0078562D">
        <w:rPr>
          <w:sz w:val="20"/>
          <w:szCs w:val="20"/>
          <w:lang w:val="en-US"/>
        </w:rPr>
        <w:t>[55]</w:t>
      </w:r>
      <w:r w:rsidRPr="0078562D">
        <w:rPr>
          <w:sz w:val="20"/>
          <w:szCs w:val="20"/>
          <w:lang w:val="en-US"/>
        </w:rPr>
        <w:tab/>
        <w:t xml:space="preserve">A. Alade y A. Ibrahim, «Application of Finite Element Method for Mechanical Characterization of Wood and Reconstituted Lignocellulosic-Based Composites – A Review», </w:t>
      </w:r>
      <w:r w:rsidRPr="0078562D">
        <w:rPr>
          <w:i/>
          <w:iCs/>
          <w:sz w:val="20"/>
          <w:szCs w:val="20"/>
          <w:lang w:val="en-US"/>
        </w:rPr>
        <w:t>Recent Prog. Mater.</w:t>
      </w:r>
      <w:r w:rsidRPr="0078562D">
        <w:rPr>
          <w:sz w:val="20"/>
          <w:szCs w:val="20"/>
          <w:lang w:val="en-US"/>
        </w:rPr>
        <w:t>, vol. 05, n.</w:t>
      </w:r>
      <w:r w:rsidRPr="0078562D">
        <w:rPr>
          <w:sz w:val="20"/>
          <w:szCs w:val="20"/>
          <w:vertAlign w:val="superscript"/>
          <w:lang w:val="en-US"/>
        </w:rPr>
        <w:t>o</w:t>
      </w:r>
      <w:r w:rsidRPr="0078562D">
        <w:rPr>
          <w:sz w:val="20"/>
          <w:szCs w:val="20"/>
          <w:lang w:val="en-US"/>
        </w:rPr>
        <w:t xml:space="preserve"> 01, pp. 1-37, ene. 2023, doi: 10.21926/rpm.2301003.</w:t>
      </w:r>
    </w:p>
    <w:p w14:paraId="72E973BF" w14:textId="77777777" w:rsidR="00564928" w:rsidRPr="0078562D" w:rsidRDefault="00564928" w:rsidP="00564928">
      <w:pPr>
        <w:jc w:val="both"/>
        <w:rPr>
          <w:sz w:val="20"/>
          <w:szCs w:val="20"/>
          <w:lang w:val="en-US"/>
        </w:rPr>
      </w:pPr>
      <w:r w:rsidRPr="0078562D">
        <w:rPr>
          <w:sz w:val="20"/>
          <w:szCs w:val="20"/>
          <w:lang w:val="en-US"/>
        </w:rPr>
        <w:t>[56]</w:t>
      </w:r>
      <w:r w:rsidRPr="0078562D">
        <w:rPr>
          <w:sz w:val="20"/>
          <w:szCs w:val="20"/>
          <w:lang w:val="en-US"/>
        </w:rPr>
        <w:tab/>
        <w:t xml:space="preserve">M.-K. Hsu </w:t>
      </w:r>
      <w:r w:rsidRPr="0078562D">
        <w:rPr>
          <w:i/>
          <w:iCs/>
          <w:sz w:val="20"/>
          <w:szCs w:val="20"/>
          <w:lang w:val="en-US"/>
        </w:rPr>
        <w:t>et al.</w:t>
      </w:r>
      <w:r w:rsidRPr="0078562D">
        <w:rPr>
          <w:sz w:val="20"/>
          <w:szCs w:val="20"/>
          <w:lang w:val="en-US"/>
        </w:rPr>
        <w:t xml:space="preserve">, «A deep learning empowered smart representative volume element method for long fiber woven composites», </w:t>
      </w:r>
      <w:r w:rsidRPr="0078562D">
        <w:rPr>
          <w:i/>
          <w:iCs/>
          <w:sz w:val="20"/>
          <w:szCs w:val="20"/>
          <w:lang w:val="en-US"/>
        </w:rPr>
        <w:t>Front. Mater.</w:t>
      </w:r>
      <w:r w:rsidRPr="0078562D">
        <w:rPr>
          <w:sz w:val="20"/>
          <w:szCs w:val="20"/>
          <w:lang w:val="en-US"/>
        </w:rPr>
        <w:t>, vol. 10, p. 1179710, may 2023, doi: 10.3389/fmats.2023.1179710.</w:t>
      </w:r>
    </w:p>
    <w:p w14:paraId="010A4D1E" w14:textId="77777777" w:rsidR="00564928" w:rsidRPr="0078562D" w:rsidRDefault="00564928" w:rsidP="00564928">
      <w:pPr>
        <w:jc w:val="both"/>
        <w:rPr>
          <w:sz w:val="20"/>
          <w:szCs w:val="20"/>
          <w:lang w:val="en-US"/>
        </w:rPr>
      </w:pPr>
      <w:r w:rsidRPr="0078562D">
        <w:rPr>
          <w:sz w:val="20"/>
          <w:szCs w:val="20"/>
          <w:lang w:val="en-US"/>
        </w:rPr>
        <w:t>[57]</w:t>
      </w:r>
      <w:r w:rsidRPr="0078562D">
        <w:rPr>
          <w:sz w:val="20"/>
          <w:szCs w:val="20"/>
          <w:lang w:val="en-US"/>
        </w:rPr>
        <w:tab/>
        <w:t xml:space="preserve">A. Wendling, J. L. Daniel, G. Hivet, E. Vidal-Sallé, y P. Boisse, «Meshing Preprocessor for the </w:t>
      </w:r>
      <w:r w:rsidRPr="0078562D">
        <w:rPr>
          <w:sz w:val="20"/>
          <w:szCs w:val="20"/>
          <w:lang w:val="en-US"/>
        </w:rPr>
        <w:lastRenderedPageBreak/>
        <w:t xml:space="preserve">Mesoscopic 3D Finite Element Simulation of 2D and Interlock Fabric Deformation», </w:t>
      </w:r>
      <w:r w:rsidRPr="0078562D">
        <w:rPr>
          <w:i/>
          <w:iCs/>
          <w:sz w:val="20"/>
          <w:szCs w:val="20"/>
          <w:lang w:val="en-US"/>
        </w:rPr>
        <w:t>Appl. Compos. Mater.</w:t>
      </w:r>
      <w:r w:rsidRPr="0078562D">
        <w:rPr>
          <w:sz w:val="20"/>
          <w:szCs w:val="20"/>
          <w:lang w:val="en-US"/>
        </w:rPr>
        <w:t>, vol. 22, n.</w:t>
      </w:r>
      <w:r w:rsidRPr="0078562D">
        <w:rPr>
          <w:sz w:val="20"/>
          <w:szCs w:val="20"/>
          <w:vertAlign w:val="superscript"/>
          <w:lang w:val="en-US"/>
        </w:rPr>
        <w:t>o</w:t>
      </w:r>
      <w:r w:rsidRPr="0078562D">
        <w:rPr>
          <w:sz w:val="20"/>
          <w:szCs w:val="20"/>
          <w:lang w:val="en-US"/>
        </w:rPr>
        <w:t xml:space="preserve"> 6, pp. 869-886, dic. 2015, doi: 10.1007/s10443-015-9441-8.</w:t>
      </w:r>
    </w:p>
    <w:p w14:paraId="033D2C94" w14:textId="77777777" w:rsidR="00564928" w:rsidRPr="0078562D" w:rsidRDefault="00564928" w:rsidP="00564928">
      <w:pPr>
        <w:jc w:val="both"/>
        <w:rPr>
          <w:sz w:val="20"/>
          <w:szCs w:val="20"/>
          <w:lang w:val="en-US"/>
        </w:rPr>
      </w:pPr>
      <w:r w:rsidRPr="0078562D">
        <w:rPr>
          <w:sz w:val="20"/>
          <w:szCs w:val="20"/>
          <w:lang w:val="en-US"/>
        </w:rPr>
        <w:t>[58]</w:t>
      </w:r>
      <w:r w:rsidRPr="0078562D">
        <w:rPr>
          <w:sz w:val="20"/>
          <w:szCs w:val="20"/>
          <w:lang w:val="en-US"/>
        </w:rPr>
        <w:tab/>
        <w:t xml:space="preserve">M. Rehan, T. He, D. Tahir, A. K. Khalil, W. S. Yip, y S. S. To, «3D Finite element modeling and experimental investigation of micro milling of laser powder bed fusion fabricated Ti6Al4V», </w:t>
      </w:r>
      <w:r w:rsidRPr="0078562D">
        <w:rPr>
          <w:i/>
          <w:iCs/>
          <w:sz w:val="20"/>
          <w:szCs w:val="20"/>
          <w:lang w:val="en-US"/>
        </w:rPr>
        <w:t>Results Eng.</w:t>
      </w:r>
      <w:r w:rsidRPr="0078562D">
        <w:rPr>
          <w:sz w:val="20"/>
          <w:szCs w:val="20"/>
          <w:lang w:val="en-US"/>
        </w:rPr>
        <w:t>, vol. 26, p. 104635, jun. 2025, doi: 10.1016/j.rineng.2025.104635.</w:t>
      </w:r>
    </w:p>
    <w:p w14:paraId="5CE3D17A" w14:textId="77777777" w:rsidR="00564928" w:rsidRPr="0078562D" w:rsidRDefault="00564928" w:rsidP="00564928">
      <w:pPr>
        <w:jc w:val="both"/>
        <w:rPr>
          <w:sz w:val="20"/>
          <w:szCs w:val="20"/>
          <w:lang w:val="en-US"/>
        </w:rPr>
      </w:pPr>
      <w:r w:rsidRPr="0078562D">
        <w:rPr>
          <w:sz w:val="20"/>
          <w:szCs w:val="20"/>
          <w:lang w:val="en-US"/>
        </w:rPr>
        <w:t>[59]</w:t>
      </w:r>
      <w:r w:rsidRPr="0078562D">
        <w:rPr>
          <w:sz w:val="20"/>
          <w:szCs w:val="20"/>
          <w:lang w:val="en-US"/>
        </w:rPr>
        <w:tab/>
        <w:t xml:space="preserve">M. Mudabbirudin, J. Takacs, A. Mosavi, F. Imre, y N. Nabipour, «Deep Learning and Machine Learning for Materials Design», en </w:t>
      </w:r>
      <w:r w:rsidRPr="0078562D">
        <w:rPr>
          <w:i/>
          <w:iCs/>
          <w:sz w:val="20"/>
          <w:szCs w:val="20"/>
          <w:lang w:val="en-US"/>
        </w:rPr>
        <w:t>2024 IEEE 6th International Symposium on Logistics and Industrial Informatics (LINDI)</w:t>
      </w:r>
      <w:r w:rsidRPr="0078562D">
        <w:rPr>
          <w:sz w:val="20"/>
          <w:szCs w:val="20"/>
          <w:lang w:val="en-US"/>
        </w:rPr>
        <w:t>, 2024, pp. 73-82. doi: 10.1109/LINDI63813.2024.10820388.</w:t>
      </w:r>
    </w:p>
    <w:p w14:paraId="2AE82500" w14:textId="77777777" w:rsidR="00564928" w:rsidRPr="0078562D" w:rsidRDefault="00564928" w:rsidP="00564928">
      <w:pPr>
        <w:jc w:val="both"/>
        <w:rPr>
          <w:sz w:val="20"/>
          <w:szCs w:val="20"/>
          <w:lang w:val="en-US"/>
        </w:rPr>
      </w:pPr>
      <w:r w:rsidRPr="0078562D">
        <w:rPr>
          <w:sz w:val="20"/>
          <w:szCs w:val="20"/>
          <w:lang w:val="en-US"/>
        </w:rPr>
        <w:t>[60]</w:t>
      </w:r>
      <w:r w:rsidRPr="0078562D">
        <w:rPr>
          <w:sz w:val="20"/>
          <w:szCs w:val="20"/>
          <w:lang w:val="en-US"/>
        </w:rPr>
        <w:tab/>
        <w:t xml:space="preserve">W. Gao </w:t>
      </w:r>
      <w:r w:rsidRPr="0078562D">
        <w:rPr>
          <w:i/>
          <w:iCs/>
          <w:sz w:val="20"/>
          <w:szCs w:val="20"/>
          <w:lang w:val="en-US"/>
        </w:rPr>
        <w:t>et al.</w:t>
      </w:r>
      <w:r w:rsidRPr="0078562D">
        <w:rPr>
          <w:sz w:val="20"/>
          <w:szCs w:val="20"/>
          <w:lang w:val="en-US"/>
        </w:rPr>
        <w:t xml:space="preserve">, «Accurately Predicting Multiple Performance of 3D Printing Photopolymers Using Ensemble Learning», </w:t>
      </w:r>
      <w:r w:rsidRPr="0078562D">
        <w:rPr>
          <w:i/>
          <w:iCs/>
          <w:sz w:val="20"/>
          <w:szCs w:val="20"/>
          <w:lang w:val="en-US"/>
        </w:rPr>
        <w:t>ACS Appl. Polym. Mater.</w:t>
      </w:r>
      <w:r w:rsidRPr="0078562D">
        <w:rPr>
          <w:sz w:val="20"/>
          <w:szCs w:val="20"/>
          <w:lang w:val="en-US"/>
        </w:rPr>
        <w:t>, vol. 6, n.</w:t>
      </w:r>
      <w:r w:rsidRPr="0078562D">
        <w:rPr>
          <w:sz w:val="20"/>
          <w:szCs w:val="20"/>
          <w:vertAlign w:val="superscript"/>
          <w:lang w:val="en-US"/>
        </w:rPr>
        <w:t>o</w:t>
      </w:r>
      <w:r w:rsidRPr="0078562D">
        <w:rPr>
          <w:sz w:val="20"/>
          <w:szCs w:val="20"/>
          <w:lang w:val="en-US"/>
        </w:rPr>
        <w:t xml:space="preserve"> 8, pp. 4501-4508, 2024, doi: 10.1021/acsapm.3c03102.</w:t>
      </w:r>
    </w:p>
    <w:p w14:paraId="26E03CE7" w14:textId="77777777" w:rsidR="00564928" w:rsidRPr="0078562D" w:rsidRDefault="00564928" w:rsidP="00564928">
      <w:pPr>
        <w:jc w:val="both"/>
        <w:rPr>
          <w:sz w:val="20"/>
          <w:szCs w:val="20"/>
          <w:lang w:val="en-US"/>
        </w:rPr>
      </w:pPr>
      <w:r w:rsidRPr="0078562D">
        <w:rPr>
          <w:sz w:val="20"/>
          <w:szCs w:val="20"/>
          <w:lang w:val="en-US"/>
        </w:rPr>
        <w:t>[61]</w:t>
      </w:r>
      <w:r w:rsidRPr="0078562D">
        <w:rPr>
          <w:sz w:val="20"/>
          <w:szCs w:val="20"/>
          <w:lang w:val="en-US"/>
        </w:rPr>
        <w:tab/>
        <w:t xml:space="preserve">P. Guo, W. Meng, M. Xu, V. C. Li, y Y. Bao, «Predicting Mechanical Properties of High-Performance Fiber-Reinforced Cementitious Composites by Integrating Micromechanics and Machine Learning», </w:t>
      </w:r>
      <w:r w:rsidRPr="0078562D">
        <w:rPr>
          <w:i/>
          <w:iCs/>
          <w:sz w:val="20"/>
          <w:szCs w:val="20"/>
          <w:lang w:val="en-US"/>
        </w:rPr>
        <w:t>Materials</w:t>
      </w:r>
      <w:r w:rsidRPr="0078562D">
        <w:rPr>
          <w:sz w:val="20"/>
          <w:szCs w:val="20"/>
          <w:lang w:val="en-US"/>
        </w:rPr>
        <w:t>, vol. 14, n.</w:t>
      </w:r>
      <w:r w:rsidRPr="0078562D">
        <w:rPr>
          <w:sz w:val="20"/>
          <w:szCs w:val="20"/>
          <w:vertAlign w:val="superscript"/>
          <w:lang w:val="en-US"/>
        </w:rPr>
        <w:t>o</w:t>
      </w:r>
      <w:r w:rsidRPr="0078562D">
        <w:rPr>
          <w:sz w:val="20"/>
          <w:szCs w:val="20"/>
          <w:lang w:val="en-US"/>
        </w:rPr>
        <w:t xml:space="preserve"> 12, p. 3143, jun. 2021, doi: 10.3390/ma14123143.</w:t>
      </w:r>
    </w:p>
    <w:p w14:paraId="038D43D6" w14:textId="77777777" w:rsidR="00564928" w:rsidRPr="0078562D" w:rsidRDefault="00564928" w:rsidP="00564928">
      <w:pPr>
        <w:jc w:val="both"/>
        <w:rPr>
          <w:sz w:val="20"/>
          <w:szCs w:val="20"/>
          <w:lang w:val="en-US"/>
        </w:rPr>
      </w:pPr>
      <w:r w:rsidRPr="0078562D">
        <w:rPr>
          <w:sz w:val="20"/>
          <w:szCs w:val="20"/>
          <w:lang w:val="en-US"/>
        </w:rPr>
        <w:t>[62]</w:t>
      </w:r>
      <w:r w:rsidRPr="0078562D">
        <w:rPr>
          <w:sz w:val="20"/>
          <w:szCs w:val="20"/>
          <w:lang w:val="en-US"/>
        </w:rPr>
        <w:tab/>
        <w:t xml:space="preserve">S.-J. Huang, Y. Adityawardhana, y J. Sanjaya, «Predicting Mechanical Properties of Magnesium Matrix Composites with Regression Models by Machine Learning», </w:t>
      </w:r>
      <w:r w:rsidRPr="0078562D">
        <w:rPr>
          <w:i/>
          <w:iCs/>
          <w:sz w:val="20"/>
          <w:szCs w:val="20"/>
          <w:lang w:val="en-US"/>
        </w:rPr>
        <w:t>J. Compos. Sci.</w:t>
      </w:r>
      <w:r w:rsidRPr="0078562D">
        <w:rPr>
          <w:sz w:val="20"/>
          <w:szCs w:val="20"/>
          <w:lang w:val="en-US"/>
        </w:rPr>
        <w:t>, vol. 7, n.</w:t>
      </w:r>
      <w:r w:rsidRPr="0078562D">
        <w:rPr>
          <w:sz w:val="20"/>
          <w:szCs w:val="20"/>
          <w:vertAlign w:val="superscript"/>
          <w:lang w:val="en-US"/>
        </w:rPr>
        <w:t>o</w:t>
      </w:r>
      <w:r w:rsidRPr="0078562D">
        <w:rPr>
          <w:sz w:val="20"/>
          <w:szCs w:val="20"/>
          <w:lang w:val="en-US"/>
        </w:rPr>
        <w:t xml:space="preserve"> 9, p. 347, ago. 2023, doi: 10.3390/jcs7090347.</w:t>
      </w:r>
    </w:p>
    <w:p w14:paraId="30C96416" w14:textId="55FE7838" w:rsidR="00564928" w:rsidRPr="0078562D" w:rsidRDefault="00564928" w:rsidP="00564928">
      <w:pPr>
        <w:jc w:val="both"/>
        <w:rPr>
          <w:sz w:val="20"/>
          <w:szCs w:val="20"/>
          <w:lang w:val="en-US"/>
        </w:rPr>
      </w:pPr>
      <w:r w:rsidRPr="0078562D">
        <w:rPr>
          <w:sz w:val="20"/>
          <w:szCs w:val="20"/>
          <w:lang w:val="en-US"/>
        </w:rPr>
        <w:t>[63]</w:t>
      </w:r>
      <w:r w:rsidRPr="0078562D">
        <w:rPr>
          <w:sz w:val="20"/>
          <w:szCs w:val="20"/>
          <w:lang w:val="en-US"/>
        </w:rPr>
        <w:tab/>
        <w:t xml:space="preserve">M. L. Bødker, M. Bauchy, T. Du, J. C. Mauro, y M. M. Smedskjaer, «Predicting glass structure by physics-informed machine learning», </w:t>
      </w:r>
      <w:r w:rsidRPr="0078562D">
        <w:rPr>
          <w:i/>
          <w:iCs/>
          <w:sz w:val="20"/>
          <w:szCs w:val="20"/>
          <w:lang w:val="en-US"/>
        </w:rPr>
        <w:t>Npj Comput. Mater.</w:t>
      </w:r>
      <w:r w:rsidRPr="0078562D">
        <w:rPr>
          <w:sz w:val="20"/>
          <w:szCs w:val="20"/>
          <w:lang w:val="en-US"/>
        </w:rPr>
        <w:t>, vol. 8, n.</w:t>
      </w:r>
      <w:r w:rsidRPr="0078562D">
        <w:rPr>
          <w:sz w:val="20"/>
          <w:szCs w:val="20"/>
          <w:vertAlign w:val="superscript"/>
          <w:lang w:val="en-US"/>
        </w:rPr>
        <w:t>o</w:t>
      </w:r>
      <w:r w:rsidRPr="0078562D">
        <w:rPr>
          <w:sz w:val="20"/>
          <w:szCs w:val="20"/>
          <w:lang w:val="en-US"/>
        </w:rPr>
        <w:t xml:space="preserve"> 1, p. 192, sep. 2022, doi: 10.1038/s41524-022-00882-9.</w:t>
      </w:r>
    </w:p>
    <w:p w14:paraId="39116E98" w14:textId="038C0473" w:rsidR="00564928" w:rsidRPr="0078562D" w:rsidRDefault="00564928" w:rsidP="00564928">
      <w:pPr>
        <w:jc w:val="both"/>
        <w:rPr>
          <w:sz w:val="20"/>
          <w:szCs w:val="20"/>
          <w:lang w:val="en-US"/>
        </w:rPr>
      </w:pPr>
      <w:r w:rsidRPr="0078562D">
        <w:rPr>
          <w:sz w:val="20"/>
          <w:szCs w:val="20"/>
          <w:lang w:val="en-US"/>
        </w:rPr>
        <w:t>[64]</w:t>
      </w:r>
      <w:r w:rsidRPr="0078562D">
        <w:rPr>
          <w:sz w:val="20"/>
          <w:szCs w:val="20"/>
          <w:lang w:val="en-US"/>
        </w:rPr>
        <w:tab/>
        <w:t xml:space="preserve">D. Jha </w:t>
      </w:r>
      <w:r w:rsidRPr="0078562D">
        <w:rPr>
          <w:i/>
          <w:iCs/>
          <w:sz w:val="20"/>
          <w:szCs w:val="20"/>
          <w:lang w:val="en-US"/>
        </w:rPr>
        <w:t>et al.</w:t>
      </w:r>
      <w:r w:rsidRPr="0078562D">
        <w:rPr>
          <w:sz w:val="20"/>
          <w:szCs w:val="20"/>
          <w:lang w:val="en-US"/>
        </w:rPr>
        <w:t xml:space="preserve">, «Enabling deeper learning on big data for materials informatics applications», </w:t>
      </w:r>
      <w:r w:rsidRPr="0078562D">
        <w:rPr>
          <w:i/>
          <w:iCs/>
          <w:sz w:val="20"/>
          <w:szCs w:val="20"/>
          <w:lang w:val="en-US"/>
        </w:rPr>
        <w:t>Sci. Rep.</w:t>
      </w:r>
      <w:r w:rsidRPr="0078562D">
        <w:rPr>
          <w:sz w:val="20"/>
          <w:szCs w:val="20"/>
          <w:lang w:val="en-US"/>
        </w:rPr>
        <w:t>, vol. 11, n.</w:t>
      </w:r>
      <w:r w:rsidRPr="0078562D">
        <w:rPr>
          <w:sz w:val="20"/>
          <w:szCs w:val="20"/>
          <w:vertAlign w:val="superscript"/>
          <w:lang w:val="en-US"/>
        </w:rPr>
        <w:t>o</w:t>
      </w:r>
      <w:r w:rsidRPr="0078562D">
        <w:rPr>
          <w:sz w:val="20"/>
          <w:szCs w:val="20"/>
          <w:lang w:val="en-US"/>
        </w:rPr>
        <w:t xml:space="preserve"> 1, p. 4244, feb. 2021, doi: 10.1038/s41598-021-83193-1.</w:t>
      </w:r>
    </w:p>
    <w:p w14:paraId="4735D1D3" w14:textId="26C33947" w:rsidR="00063982" w:rsidRPr="0078562D" w:rsidRDefault="00564928" w:rsidP="00063982">
      <w:pPr>
        <w:jc w:val="both"/>
        <w:rPr>
          <w:sz w:val="20"/>
          <w:szCs w:val="20"/>
          <w:lang w:val="en-US"/>
        </w:rPr>
      </w:pPr>
      <w:r w:rsidRPr="0078562D">
        <w:rPr>
          <w:sz w:val="20"/>
          <w:szCs w:val="20"/>
          <w:lang w:val="pl-PL"/>
        </w:rPr>
        <w:fldChar w:fldCharType="end"/>
      </w:r>
      <w:r w:rsidR="00063982" w:rsidRPr="0078562D">
        <w:rPr>
          <w:sz w:val="20"/>
          <w:szCs w:val="20"/>
          <w:lang w:val="en-US"/>
        </w:rPr>
        <w:t>[65]</w:t>
      </w:r>
      <w:r w:rsidR="00063982" w:rsidRPr="0078562D">
        <w:rPr>
          <w:sz w:val="20"/>
          <w:szCs w:val="20"/>
          <w:lang w:val="en-US"/>
        </w:rPr>
        <w:tab/>
        <w:t xml:space="preserve">M. </w:t>
      </w:r>
      <w:proofErr w:type="spellStart"/>
      <w:r w:rsidR="00063982" w:rsidRPr="0078562D">
        <w:rPr>
          <w:sz w:val="20"/>
          <w:szCs w:val="20"/>
          <w:lang w:val="en-US"/>
        </w:rPr>
        <w:t>Shirinbayan</w:t>
      </w:r>
      <w:proofErr w:type="spellEnd"/>
      <w:r w:rsidR="00063982" w:rsidRPr="0078562D">
        <w:rPr>
          <w:sz w:val="20"/>
          <w:szCs w:val="20"/>
          <w:lang w:val="en-US"/>
        </w:rPr>
        <w:t xml:space="preserve">, S. Nouira, J. </w:t>
      </w:r>
      <w:proofErr w:type="spellStart"/>
      <w:r w:rsidR="00063982" w:rsidRPr="0078562D">
        <w:rPr>
          <w:sz w:val="20"/>
          <w:szCs w:val="20"/>
          <w:lang w:val="en-US"/>
        </w:rPr>
        <w:t>Zghal</w:t>
      </w:r>
      <w:proofErr w:type="spellEnd"/>
      <w:r w:rsidR="00063982" w:rsidRPr="0078562D">
        <w:rPr>
          <w:sz w:val="20"/>
          <w:szCs w:val="20"/>
          <w:lang w:val="en-US"/>
        </w:rPr>
        <w:t xml:space="preserve">, y J. Fitoussi, «A hybrid approach for predicting fatigue life of fiber-reinforced polypropylene composite (PPGF40): Integrating micromechanical modelling», Compos. Part C Open Access, vol. 18, p. 100660, oct. 2025, </w:t>
      </w:r>
      <w:proofErr w:type="spellStart"/>
      <w:r w:rsidR="00063982" w:rsidRPr="0078562D">
        <w:rPr>
          <w:sz w:val="20"/>
          <w:szCs w:val="20"/>
          <w:lang w:val="en-US"/>
        </w:rPr>
        <w:t>doi</w:t>
      </w:r>
      <w:proofErr w:type="spellEnd"/>
      <w:r w:rsidR="00063982" w:rsidRPr="0078562D">
        <w:rPr>
          <w:sz w:val="20"/>
          <w:szCs w:val="20"/>
          <w:lang w:val="en-US"/>
        </w:rPr>
        <w:t>: 10.1016/j.jcomc.2025.100660.</w:t>
      </w:r>
    </w:p>
    <w:p w14:paraId="76AA5B74" w14:textId="65DE7C61" w:rsidR="00564928" w:rsidRPr="0078562D" w:rsidRDefault="00063982" w:rsidP="00564928">
      <w:pPr>
        <w:jc w:val="both"/>
        <w:rPr>
          <w:sz w:val="20"/>
          <w:szCs w:val="20"/>
          <w:lang w:val="en-US"/>
        </w:rPr>
      </w:pPr>
      <w:r w:rsidRPr="0078562D">
        <w:rPr>
          <w:sz w:val="20"/>
          <w:szCs w:val="20"/>
          <w:lang w:val="en-US"/>
        </w:rPr>
        <w:t>[66]</w:t>
      </w:r>
      <w:r w:rsidRPr="0078562D">
        <w:rPr>
          <w:sz w:val="20"/>
          <w:szCs w:val="20"/>
          <w:lang w:val="en-US"/>
        </w:rPr>
        <w:tab/>
        <w:t xml:space="preserve">A. Seidel, B. F. Sørensen, y K. Drechsler, «Modelling fatigue damage in unidirectional </w:t>
      </w:r>
      <w:proofErr w:type="spellStart"/>
      <w:r w:rsidRPr="0078562D">
        <w:rPr>
          <w:sz w:val="20"/>
          <w:szCs w:val="20"/>
          <w:lang w:val="en-US"/>
        </w:rPr>
        <w:t>fibre</w:t>
      </w:r>
      <w:proofErr w:type="spellEnd"/>
      <w:r w:rsidRPr="0078562D">
        <w:rPr>
          <w:sz w:val="20"/>
          <w:szCs w:val="20"/>
          <w:lang w:val="en-US"/>
        </w:rPr>
        <w:t xml:space="preserve"> composites using a hybrid analytical–numerical approach», Compos. Part B Eng., vol. 305, p. 112667, oct. 2025, </w:t>
      </w:r>
      <w:proofErr w:type="spellStart"/>
      <w:r w:rsidRPr="0078562D">
        <w:rPr>
          <w:sz w:val="20"/>
          <w:szCs w:val="20"/>
          <w:lang w:val="en-US"/>
        </w:rPr>
        <w:t>doi</w:t>
      </w:r>
      <w:proofErr w:type="spellEnd"/>
      <w:r w:rsidRPr="0078562D">
        <w:rPr>
          <w:sz w:val="20"/>
          <w:szCs w:val="20"/>
          <w:lang w:val="en-US"/>
        </w:rPr>
        <w:t>: 10.1016/j.compositesb.2025.112667.</w:t>
      </w:r>
    </w:p>
    <w:p w14:paraId="47E44D6F" w14:textId="77777777" w:rsidR="0078562D" w:rsidRPr="0078562D" w:rsidRDefault="0078562D" w:rsidP="00564928">
      <w:pPr>
        <w:jc w:val="both"/>
        <w:rPr>
          <w:lang w:val="en-US"/>
        </w:rPr>
      </w:pPr>
    </w:p>
    <w:sectPr w:rsidR="0078562D" w:rsidRPr="0078562D">
      <w:headerReference w:type="default" r:id="rId29"/>
      <w:type w:val="continuous"/>
      <w:pgSz w:w="12240" w:h="15840"/>
      <w:pgMar w:top="713" w:right="1041" w:bottom="1417" w:left="1275" w:header="713" w:footer="708" w:gutter="0"/>
      <w:cols w:num="2" w:space="720" w:equalWidth="0">
        <w:col w:w="4602" w:space="720"/>
        <w:col w:w="460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89AFC" w14:textId="77777777" w:rsidR="00F9031B" w:rsidRDefault="00F9031B">
      <w:r>
        <w:separator/>
      </w:r>
    </w:p>
  </w:endnote>
  <w:endnote w:type="continuationSeparator" w:id="0">
    <w:p w14:paraId="21C0998C" w14:textId="77777777" w:rsidR="00F9031B" w:rsidRDefault="00F90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 Garamond">
    <w:charset w:val="00"/>
    <w:family w:val="auto"/>
    <w:pitch w:val="variable"/>
    <w:sig w:usb0="E00002FF" w:usb1="02000413" w:usb2="00000000"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CC2D1" w14:textId="77777777" w:rsidR="004B311C" w:rsidRDefault="00FF6F5A">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14:paraId="627AAD08" w14:textId="77777777" w:rsidR="004B311C" w:rsidRDefault="004B311C">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E33D" w14:textId="600F07A7" w:rsidR="00B97747" w:rsidRDefault="00B97747">
    <w:pPr>
      <w:pStyle w:val="Piedepgina"/>
      <w:jc w:val="right"/>
    </w:pPr>
    <w:r>
      <w:rPr>
        <w:rFonts w:ascii="EB Garamond" w:eastAsia="EB Garamond" w:hAnsi="EB Garamond" w:cs="EB Garamond"/>
        <w:b/>
        <w:noProof/>
        <w:color w:val="000000"/>
        <w:sz w:val="28"/>
        <w:szCs w:val="28"/>
        <w:lang w:eastAsia="es-VE"/>
      </w:rPr>
      <mc:AlternateContent>
        <mc:Choice Requires="wps">
          <w:drawing>
            <wp:anchor distT="0" distB="0" distL="114300" distR="114300" simplePos="0" relativeHeight="251668480" behindDoc="0" locked="0" layoutInCell="1" allowOverlap="1" wp14:anchorId="36FBCFF3" wp14:editId="562E0AFA">
              <wp:simplePos x="0" y="0"/>
              <wp:positionH relativeFrom="column">
                <wp:posOffset>-444500</wp:posOffset>
              </wp:positionH>
              <wp:positionV relativeFrom="paragraph">
                <wp:posOffset>192405</wp:posOffset>
              </wp:positionV>
              <wp:extent cx="4483100" cy="736600"/>
              <wp:effectExtent l="0" t="0" r="0" b="6350"/>
              <wp:wrapNone/>
              <wp:docPr id="1397548902" name="Text Box 9"/>
              <wp:cNvGraphicFramePr/>
              <a:graphic xmlns:a="http://schemas.openxmlformats.org/drawingml/2006/main">
                <a:graphicData uri="http://schemas.microsoft.com/office/word/2010/wordprocessingShape">
                  <wps:wsp>
                    <wps:cNvSpPr txBox="1"/>
                    <wps:spPr>
                      <a:xfrm>
                        <a:off x="0" y="0"/>
                        <a:ext cx="4483100" cy="736600"/>
                      </a:xfrm>
                      <a:prstGeom prst="rect">
                        <a:avLst/>
                      </a:prstGeom>
                      <a:noFill/>
                      <a:ln w="6350">
                        <a:noFill/>
                      </a:ln>
                    </wps:spPr>
                    <wps:txbx>
                      <w:txbxContent>
                        <w:p w14:paraId="706D8136" w14:textId="77777777" w:rsidR="00B97747" w:rsidRDefault="00B97747" w:rsidP="00B97747">
                          <w:pPr>
                            <w:rPr>
                              <w:rFonts w:ascii="EB Garamond" w:hAnsi="EB Garamond"/>
                              <w:sz w:val="16"/>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3402F6EB" w14:textId="77777777" w:rsidR="00B97747" w:rsidRPr="00341E40" w:rsidRDefault="00B97747" w:rsidP="00B97747">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"https://creativecommons.org/</w:t>
                          </w:r>
                          <w:proofErr w:type="spellStart"/>
                          <w:r w:rsidRPr="00341E40">
                            <w:rPr>
                              <w:rFonts w:ascii="EB Garamond" w:hAnsi="EB Garamond"/>
                              <w:spacing w:val="-1"/>
                              <w:sz w:val="16"/>
                              <w:lang w:val="pt-BR"/>
                            </w:rPr>
                            <w:t>licenses</w:t>
                          </w:r>
                          <w:proofErr w:type="spellEnd"/>
                          <w:r w:rsidRPr="00341E40">
                            <w:rPr>
                              <w:rFonts w:ascii="EB Garamond" w:hAnsi="EB Garamond"/>
                              <w:spacing w:val="-1"/>
                              <w:sz w:val="16"/>
                              <w:lang w:val="pt-BR"/>
                            </w:rPr>
                            <w:t>/</w:t>
                          </w:r>
                          <w:proofErr w:type="spellStart"/>
                          <w:r w:rsidRPr="00341E40">
                            <w:rPr>
                              <w:rFonts w:ascii="EB Garamond" w:hAnsi="EB Garamond"/>
                              <w:spacing w:val="-1"/>
                              <w:sz w:val="16"/>
                              <w:lang w:val="pt-BR"/>
                            </w:rPr>
                            <w:t>by-nc-sa</w:t>
                          </w:r>
                          <w:proofErr w:type="spellEnd"/>
                          <w:r w:rsidRPr="00341E40">
                            <w:rPr>
                              <w:rFonts w:ascii="EB Garamond" w:hAnsi="EB Garamond"/>
                              <w:spacing w:val="-1"/>
                              <w:sz w:val="16"/>
                              <w:lang w:val="pt-BR"/>
                            </w:rPr>
                            <w:t>/3.0/</w:t>
                          </w:r>
                          <w:proofErr w:type="spellStart"/>
                          <w:r w:rsidRPr="00341E40">
                            <w:rPr>
                              <w:rFonts w:ascii="EB Garamond" w:hAnsi="EB Garamond"/>
                              <w:spacing w:val="-1"/>
                              <w:sz w:val="16"/>
                              <w:lang w:val="pt-BR"/>
                            </w:rPr>
                            <w:t>deed.es_ES</w:t>
                          </w:r>
                          <w:proofErr w:type="spellEnd"/>
                          <w:r w:rsidRPr="00341E40">
                            <w:rPr>
                              <w:rFonts w:ascii="EB Garamond" w:hAnsi="EB Garamond"/>
                              <w:spacing w:val="-1"/>
                              <w:sz w:val="16"/>
                              <w:lang w:val="pt-BR"/>
                            </w:rPr>
                            <w:t>"</w:t>
                          </w:r>
                          <w:r w:rsidRPr="00341E40">
                            <w:rPr>
                              <w:rFonts w:ascii="EB Garamond" w:hAnsi="EB Garamond"/>
                              <w:sz w:val="16"/>
                              <w:lang w:val="pt-BR"/>
                            </w:rPr>
                            <w:t xml:space="preserve"> </w:t>
                          </w:r>
                        </w:p>
                        <w:p w14:paraId="70C76A69" w14:textId="77777777" w:rsidR="00B97747" w:rsidRPr="00341E40" w:rsidRDefault="00B97747" w:rsidP="00B97747">
                          <w:pPr>
                            <w:rPr>
                              <w:rFonts w:ascii="EB Garamond" w:hAnsi="EB Garamond"/>
                              <w:color w:val="0462C1"/>
                              <w:spacing w:val="1"/>
                              <w:sz w:val="16"/>
                              <w:lang w:val="pt-BR"/>
                            </w:rPr>
                          </w:pPr>
                          <w:hyperlink r:id="rId1"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14:paraId="2D4A4491" w14:textId="77777777" w:rsidR="00B97747" w:rsidRPr="00341E40" w:rsidRDefault="00B97747" w:rsidP="00B97747">
                          <w:pPr>
                            <w:rPr>
                              <w:rFonts w:ascii="EB Garamond" w:hAnsi="EB Garamond"/>
                              <w:sz w:val="16"/>
                              <w:lang w:val="pt-BR"/>
                            </w:rPr>
                          </w:pPr>
                          <w:r w:rsidRPr="00341E40">
                            <w:rPr>
                              <w:rFonts w:ascii="EB Garamond" w:hAnsi="EB Garamond"/>
                              <w:color w:val="0462C1"/>
                              <w:sz w:val="16"/>
                              <w:u w:val="single" w:color="0462C1"/>
                              <w:lang w:val="pt-BR"/>
                            </w:rPr>
                            <w:t>https://revistasenlinea.saber.ucab.edu.ve/index.php/tekhne/index</w:t>
                          </w:r>
                        </w:p>
                        <w:p w14:paraId="1535436C" w14:textId="77777777" w:rsidR="00B97747" w:rsidRPr="00341E40" w:rsidRDefault="00B97747" w:rsidP="00B97747">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FBCFF3" id="_x0000_t202" coordsize="21600,21600" o:spt="202" path="m,l,21600r21600,l21600,xe">
              <v:stroke joinstyle="miter"/>
              <v:path gradientshapeok="t" o:connecttype="rect"/>
            </v:shapetype>
            <v:shape id="Text Box 9" o:spid="_x0000_s1029" type="#_x0000_t202" style="position:absolute;left:0;text-align:left;margin-left:-35pt;margin-top:15.15pt;width:353pt;height: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" filled="f" stroked="f" strokeweight=".5pt">
              <v:textbox>
                <w:txbxContent>
                  <w:p w14:paraId="706D8136" w14:textId="77777777" w:rsidR="00B97747" w:rsidRDefault="00B97747" w:rsidP="00B97747">
                    <w:pPr>
                      <w:rPr>
                        <w:rFonts w:ascii="EB Garamond" w:hAnsi="EB Garamond"/>
                        <w:sz w:val="16"/>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3402F6EB" w14:textId="77777777" w:rsidR="00B97747" w:rsidRPr="00341E40" w:rsidRDefault="00B97747" w:rsidP="00B97747">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"https://creativecommons.org/</w:t>
                    </w:r>
                    <w:proofErr w:type="spellStart"/>
                    <w:r w:rsidRPr="00341E40">
                      <w:rPr>
                        <w:rFonts w:ascii="EB Garamond" w:hAnsi="EB Garamond"/>
                        <w:spacing w:val="-1"/>
                        <w:sz w:val="16"/>
                        <w:lang w:val="pt-BR"/>
                      </w:rPr>
                      <w:t>licenses</w:t>
                    </w:r>
                    <w:proofErr w:type="spellEnd"/>
                    <w:r w:rsidRPr="00341E40">
                      <w:rPr>
                        <w:rFonts w:ascii="EB Garamond" w:hAnsi="EB Garamond"/>
                        <w:spacing w:val="-1"/>
                        <w:sz w:val="16"/>
                        <w:lang w:val="pt-BR"/>
                      </w:rPr>
                      <w:t>/</w:t>
                    </w:r>
                    <w:proofErr w:type="spellStart"/>
                    <w:r w:rsidRPr="00341E40">
                      <w:rPr>
                        <w:rFonts w:ascii="EB Garamond" w:hAnsi="EB Garamond"/>
                        <w:spacing w:val="-1"/>
                        <w:sz w:val="16"/>
                        <w:lang w:val="pt-BR"/>
                      </w:rPr>
                      <w:t>by-nc-sa</w:t>
                    </w:r>
                    <w:proofErr w:type="spellEnd"/>
                    <w:r w:rsidRPr="00341E40">
                      <w:rPr>
                        <w:rFonts w:ascii="EB Garamond" w:hAnsi="EB Garamond"/>
                        <w:spacing w:val="-1"/>
                        <w:sz w:val="16"/>
                        <w:lang w:val="pt-BR"/>
                      </w:rPr>
                      <w:t>/3.0/</w:t>
                    </w:r>
                    <w:proofErr w:type="spellStart"/>
                    <w:r w:rsidRPr="00341E40">
                      <w:rPr>
                        <w:rFonts w:ascii="EB Garamond" w:hAnsi="EB Garamond"/>
                        <w:spacing w:val="-1"/>
                        <w:sz w:val="16"/>
                        <w:lang w:val="pt-BR"/>
                      </w:rPr>
                      <w:t>deed.es_ES</w:t>
                    </w:r>
                    <w:proofErr w:type="spellEnd"/>
                    <w:r w:rsidRPr="00341E40">
                      <w:rPr>
                        <w:rFonts w:ascii="EB Garamond" w:hAnsi="EB Garamond"/>
                        <w:spacing w:val="-1"/>
                        <w:sz w:val="16"/>
                        <w:lang w:val="pt-BR"/>
                      </w:rPr>
                      <w:t>"</w:t>
                    </w:r>
                    <w:r w:rsidRPr="00341E40">
                      <w:rPr>
                        <w:rFonts w:ascii="EB Garamond" w:hAnsi="EB Garamond"/>
                        <w:sz w:val="16"/>
                        <w:lang w:val="pt-BR"/>
                      </w:rPr>
                      <w:t xml:space="preserve"> </w:t>
                    </w:r>
                  </w:p>
                  <w:p w14:paraId="70C76A69" w14:textId="77777777" w:rsidR="00B97747" w:rsidRPr="00341E40" w:rsidRDefault="00B97747" w:rsidP="00B97747">
                    <w:pPr>
                      <w:rPr>
                        <w:rFonts w:ascii="EB Garamond" w:hAnsi="EB Garamond"/>
                        <w:color w:val="0462C1"/>
                        <w:spacing w:val="1"/>
                        <w:sz w:val="16"/>
                        <w:lang w:val="pt-BR"/>
                      </w:rPr>
                    </w:pPr>
                    <w:hyperlink r:id="rId2"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14:paraId="2D4A4491" w14:textId="77777777" w:rsidR="00B97747" w:rsidRPr="00341E40" w:rsidRDefault="00B97747" w:rsidP="00B97747">
                    <w:pPr>
                      <w:rPr>
                        <w:rFonts w:ascii="EB Garamond" w:hAnsi="EB Garamond"/>
                        <w:sz w:val="16"/>
                        <w:lang w:val="pt-BR"/>
                      </w:rPr>
                    </w:pPr>
                    <w:r w:rsidRPr="00341E40">
                      <w:rPr>
                        <w:rFonts w:ascii="EB Garamond" w:hAnsi="EB Garamond"/>
                        <w:color w:val="0462C1"/>
                        <w:sz w:val="16"/>
                        <w:u w:val="single" w:color="0462C1"/>
                        <w:lang w:val="pt-BR"/>
                      </w:rPr>
                      <w:t>https://revistasenlinea.saber.ucab.edu.ve/index.php/tekhne/index</w:t>
                    </w:r>
                  </w:p>
                  <w:p w14:paraId="1535436C" w14:textId="77777777" w:rsidR="00B97747" w:rsidRPr="00341E40" w:rsidRDefault="00B97747" w:rsidP="00B97747">
                    <w:pPr>
                      <w:rPr>
                        <w:lang w:val="pt-BR"/>
                      </w:rPr>
                    </w:pPr>
                  </w:p>
                </w:txbxContent>
              </v:textbox>
            </v:shape>
          </w:pict>
        </mc:Fallback>
      </mc:AlternateContent>
    </w:r>
  </w:p>
  <w:sdt>
    <w:sdtPr>
      <w:id w:val="-289131395"/>
      <w:docPartObj>
        <w:docPartGallery w:val="Page Numbers (Bottom of Page)"/>
        <w:docPartUnique/>
      </w:docPartObj>
    </w:sdtPr>
    <w:sdtContent>
      <w:p w14:paraId="542EE752" w14:textId="009C702E" w:rsidR="00B97747" w:rsidRDefault="009860B3">
        <w:pPr>
          <w:pStyle w:val="Piedepgina"/>
          <w:jc w:val="right"/>
        </w:pPr>
        <w:r>
          <w:rPr>
            <w:rFonts w:ascii="EB Garamond" w:eastAsia="EB Garamond" w:hAnsi="EB Garamond" w:cs="EB Garamond"/>
            <w:b/>
            <w:noProof/>
            <w:color w:val="000000"/>
            <w:sz w:val="28"/>
            <w:szCs w:val="28"/>
            <w:lang w:eastAsia="es-VE"/>
          </w:rPr>
          <mc:AlternateContent>
            <mc:Choice Requires="wps">
              <w:drawing>
                <wp:anchor distT="0" distB="0" distL="114300" distR="114300" simplePos="0" relativeHeight="251670528" behindDoc="0" locked="0" layoutInCell="1" allowOverlap="1" wp14:anchorId="07508EA8" wp14:editId="6D9C17EF">
                  <wp:simplePos x="0" y="0"/>
                  <wp:positionH relativeFrom="margin">
                    <wp:align>right</wp:align>
                  </wp:positionH>
                  <wp:positionV relativeFrom="paragraph">
                    <wp:posOffset>8890</wp:posOffset>
                  </wp:positionV>
                  <wp:extent cx="1838325" cy="736600"/>
                  <wp:effectExtent l="0" t="0" r="0" b="6350"/>
                  <wp:wrapNone/>
                  <wp:docPr id="6" name="Text Box 9"/>
                  <wp:cNvGraphicFramePr/>
                  <a:graphic xmlns:a="http://schemas.openxmlformats.org/drawingml/2006/main">
                    <a:graphicData uri="http://schemas.microsoft.com/office/word/2010/wordprocessingShape">
                      <wps:wsp>
                        <wps:cNvSpPr txBox="1"/>
                        <wps:spPr>
                          <a:xfrm>
                            <a:off x="0" y="0"/>
                            <a:ext cx="1838325" cy="736600"/>
                          </a:xfrm>
                          <a:prstGeom prst="rect">
                            <a:avLst/>
                          </a:prstGeom>
                          <a:noFill/>
                          <a:ln w="6350">
                            <a:noFill/>
                          </a:ln>
                        </wps:spPr>
                        <wps:txbx>
                          <w:txbxContent>
                            <w:p w14:paraId="1BBCF461" w14:textId="77777777" w:rsidR="00B97747" w:rsidRDefault="00B97747" w:rsidP="00B97747">
                              <w:pPr>
                                <w:pBdr>
                                  <w:top w:val="nil"/>
                                  <w:left w:val="nil"/>
                                  <w:bottom w:val="nil"/>
                                  <w:right w:val="nil"/>
                                  <w:between w:val="nil"/>
                                </w:pBdr>
                                <w:ind w:right="710"/>
                                <w:jc w:val="right"/>
                                <w:rPr>
                                  <w:rFonts w:ascii="EB Garamond" w:eastAsia="EB Garamond" w:hAnsi="EB Garamond" w:cs="EB Garamond"/>
                                  <w:sz w:val="16"/>
                                  <w:szCs w:val="16"/>
                                </w:rPr>
                              </w:pPr>
                              <w:r>
                                <w:rPr>
                                  <w:rFonts w:ascii="EB Garamond" w:eastAsia="EB Garamond" w:hAnsi="EB Garamond" w:cs="EB Garamond"/>
                                  <w:sz w:val="16"/>
                                  <w:szCs w:val="16"/>
                                </w:rPr>
                                <w:t xml:space="preserve">Revista TEKHNÉ </w:t>
                              </w:r>
                              <w:proofErr w:type="spellStart"/>
                              <w:r>
                                <w:rPr>
                                  <w:rFonts w:ascii="EB Garamond" w:eastAsia="EB Garamond" w:hAnsi="EB Garamond" w:cs="EB Garamond"/>
                                  <w:sz w:val="16"/>
                                  <w:szCs w:val="16"/>
                                </w:rPr>
                                <w:t>Nº</w:t>
                              </w:r>
                              <w:proofErr w:type="spellEnd"/>
                              <w:r>
                                <w:rPr>
                                  <w:rFonts w:ascii="EB Garamond" w:eastAsia="EB Garamond" w:hAnsi="EB Garamond" w:cs="EB Garamond"/>
                                  <w:sz w:val="16"/>
                                  <w:szCs w:val="16"/>
                                </w:rPr>
                                <w:t xml:space="preserve"> 29.1</w:t>
                              </w:r>
                            </w:p>
                            <w:p w14:paraId="3AF7E4B0" w14:textId="77777777" w:rsidR="00B97747" w:rsidRDefault="00B97747" w:rsidP="00B97747">
                              <w:pPr>
                                <w:ind w:right="710"/>
                                <w:jc w:val="right"/>
                                <w:rPr>
                                  <w:rFonts w:ascii="EB Garamond" w:eastAsia="EB Garamond" w:hAnsi="EB Garamond" w:cs="EB Garamond"/>
                                  <w:sz w:val="16"/>
                                  <w:szCs w:val="16"/>
                                </w:rPr>
                              </w:pPr>
                              <w:r>
                                <w:rPr>
                                  <w:rFonts w:ascii="EB Garamond" w:eastAsia="EB Garamond" w:hAnsi="EB Garamond" w:cs="EB Garamond"/>
                                  <w:sz w:val="16"/>
                                  <w:szCs w:val="16"/>
                                </w:rPr>
                                <w:t>Semestre marzo - julio 2026</w:t>
                              </w:r>
                            </w:p>
                            <w:p w14:paraId="530CF74C" w14:textId="77777777" w:rsidR="00B97747" w:rsidRDefault="00B97747" w:rsidP="00B97747">
                              <w:pPr>
                                <w:spacing w:line="288" w:lineRule="auto"/>
                                <w:ind w:right="710"/>
                                <w:jc w:val="right"/>
                                <w:rPr>
                                  <w:rFonts w:ascii="EB Garamond" w:eastAsia="EB Garamond" w:hAnsi="EB Garamond" w:cs="EB Garamond"/>
                                  <w:sz w:val="16"/>
                                  <w:szCs w:val="16"/>
                                </w:rPr>
                              </w:pPr>
                              <w:r>
                                <w:rPr>
                                  <w:rFonts w:ascii="EB Garamond" w:eastAsia="EB Garamond" w:hAnsi="EB Garamond" w:cs="EB Garamond"/>
                                  <w:sz w:val="16"/>
                                  <w:szCs w:val="16"/>
                                </w:rPr>
                                <w:t>ISSN electrónico: 2790-5195</w:t>
                              </w:r>
                            </w:p>
                            <w:p w14:paraId="337803C3" w14:textId="77777777" w:rsidR="00B97747" w:rsidRDefault="00B97747" w:rsidP="00B97747">
                              <w:pPr>
                                <w:pBdr>
                                  <w:top w:val="nil"/>
                                  <w:left w:val="nil"/>
                                  <w:bottom w:val="nil"/>
                                  <w:right w:val="nil"/>
                                  <w:between w:val="nil"/>
                                </w:pBdr>
                                <w:ind w:right="710"/>
                                <w:jc w:val="right"/>
                                <w:rPr>
                                  <w:rFonts w:ascii="EB Garamond" w:eastAsia="EB Garamond" w:hAnsi="EB Garamond" w:cs="EB Garamond"/>
                                  <w:color w:val="000000"/>
                                  <w:sz w:val="16"/>
                                  <w:szCs w:val="16"/>
                                </w:rPr>
                              </w:pPr>
                              <w:r>
                                <w:rPr>
                                  <w:rFonts w:ascii="EB Garamond" w:eastAsia="EB Garamond" w:hAnsi="EB Garamond" w:cs="EB Garamond"/>
                                  <w:sz w:val="16"/>
                                  <w:szCs w:val="16"/>
                                </w:rPr>
                                <w:t xml:space="preserve"> ISSN: 1316-3930</w:t>
                              </w:r>
                            </w:p>
                            <w:p w14:paraId="41C0C0BE" w14:textId="77777777" w:rsidR="00B97747" w:rsidRPr="00341E40" w:rsidRDefault="00B97747" w:rsidP="00B97747">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08EA8" id="_x0000_s1030" type="#_x0000_t202" style="position:absolute;left:0;text-align:left;margin-left:93.55pt;margin-top:.7pt;width:144.75pt;height:58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" filled="f" stroked="f" strokeweight=".5pt">
                  <v:textbox>
                    <w:txbxContent>
                      <w:p w14:paraId="1BBCF461" w14:textId="77777777" w:rsidR="00B97747" w:rsidRDefault="00B97747" w:rsidP="00B97747">
                        <w:pPr>
                          <w:pBdr>
                            <w:top w:val="nil"/>
                            <w:left w:val="nil"/>
                            <w:bottom w:val="nil"/>
                            <w:right w:val="nil"/>
                            <w:between w:val="nil"/>
                          </w:pBdr>
                          <w:ind w:right="710"/>
                          <w:jc w:val="right"/>
                          <w:rPr>
                            <w:rFonts w:ascii="EB Garamond" w:eastAsia="EB Garamond" w:hAnsi="EB Garamond" w:cs="EB Garamond"/>
                            <w:sz w:val="16"/>
                            <w:szCs w:val="16"/>
                          </w:rPr>
                        </w:pPr>
                        <w:r>
                          <w:rPr>
                            <w:rFonts w:ascii="EB Garamond" w:eastAsia="EB Garamond" w:hAnsi="EB Garamond" w:cs="EB Garamond"/>
                            <w:sz w:val="16"/>
                            <w:szCs w:val="16"/>
                          </w:rPr>
                          <w:t xml:space="preserve">Revista TEKHNÉ </w:t>
                        </w:r>
                        <w:proofErr w:type="spellStart"/>
                        <w:r>
                          <w:rPr>
                            <w:rFonts w:ascii="EB Garamond" w:eastAsia="EB Garamond" w:hAnsi="EB Garamond" w:cs="EB Garamond"/>
                            <w:sz w:val="16"/>
                            <w:szCs w:val="16"/>
                          </w:rPr>
                          <w:t>Nº</w:t>
                        </w:r>
                        <w:proofErr w:type="spellEnd"/>
                        <w:r>
                          <w:rPr>
                            <w:rFonts w:ascii="EB Garamond" w:eastAsia="EB Garamond" w:hAnsi="EB Garamond" w:cs="EB Garamond"/>
                            <w:sz w:val="16"/>
                            <w:szCs w:val="16"/>
                          </w:rPr>
                          <w:t xml:space="preserve"> 29.1</w:t>
                        </w:r>
                      </w:p>
                      <w:p w14:paraId="3AF7E4B0" w14:textId="77777777" w:rsidR="00B97747" w:rsidRDefault="00B97747" w:rsidP="00B97747">
                        <w:pPr>
                          <w:ind w:right="710"/>
                          <w:jc w:val="right"/>
                          <w:rPr>
                            <w:rFonts w:ascii="EB Garamond" w:eastAsia="EB Garamond" w:hAnsi="EB Garamond" w:cs="EB Garamond"/>
                            <w:sz w:val="16"/>
                            <w:szCs w:val="16"/>
                          </w:rPr>
                        </w:pPr>
                        <w:r>
                          <w:rPr>
                            <w:rFonts w:ascii="EB Garamond" w:eastAsia="EB Garamond" w:hAnsi="EB Garamond" w:cs="EB Garamond"/>
                            <w:sz w:val="16"/>
                            <w:szCs w:val="16"/>
                          </w:rPr>
                          <w:t>Semestre marzo - julio 2026</w:t>
                        </w:r>
                      </w:p>
                      <w:p w14:paraId="530CF74C" w14:textId="77777777" w:rsidR="00B97747" w:rsidRDefault="00B97747" w:rsidP="00B97747">
                        <w:pPr>
                          <w:spacing w:line="288" w:lineRule="auto"/>
                          <w:ind w:right="710"/>
                          <w:jc w:val="right"/>
                          <w:rPr>
                            <w:rFonts w:ascii="EB Garamond" w:eastAsia="EB Garamond" w:hAnsi="EB Garamond" w:cs="EB Garamond"/>
                            <w:sz w:val="16"/>
                            <w:szCs w:val="16"/>
                          </w:rPr>
                        </w:pPr>
                        <w:r>
                          <w:rPr>
                            <w:rFonts w:ascii="EB Garamond" w:eastAsia="EB Garamond" w:hAnsi="EB Garamond" w:cs="EB Garamond"/>
                            <w:sz w:val="16"/>
                            <w:szCs w:val="16"/>
                          </w:rPr>
                          <w:t>ISSN electrónico: 2790-5195</w:t>
                        </w:r>
                      </w:p>
                      <w:p w14:paraId="337803C3" w14:textId="77777777" w:rsidR="00B97747" w:rsidRDefault="00B97747" w:rsidP="00B97747">
                        <w:pPr>
                          <w:pBdr>
                            <w:top w:val="nil"/>
                            <w:left w:val="nil"/>
                            <w:bottom w:val="nil"/>
                            <w:right w:val="nil"/>
                            <w:between w:val="nil"/>
                          </w:pBdr>
                          <w:ind w:right="710"/>
                          <w:jc w:val="right"/>
                          <w:rPr>
                            <w:rFonts w:ascii="EB Garamond" w:eastAsia="EB Garamond" w:hAnsi="EB Garamond" w:cs="EB Garamond"/>
                            <w:color w:val="000000"/>
                            <w:sz w:val="16"/>
                            <w:szCs w:val="16"/>
                          </w:rPr>
                        </w:pPr>
                        <w:r>
                          <w:rPr>
                            <w:rFonts w:ascii="EB Garamond" w:eastAsia="EB Garamond" w:hAnsi="EB Garamond" w:cs="EB Garamond"/>
                            <w:sz w:val="16"/>
                            <w:szCs w:val="16"/>
                          </w:rPr>
                          <w:t xml:space="preserve"> ISSN: 1316-3930</w:t>
                        </w:r>
                      </w:p>
                      <w:p w14:paraId="41C0C0BE" w14:textId="77777777" w:rsidR="00B97747" w:rsidRPr="00341E40" w:rsidRDefault="00B97747" w:rsidP="00B97747">
                        <w:pPr>
                          <w:rPr>
                            <w:lang w:val="pt-BR"/>
                          </w:rPr>
                        </w:pPr>
                      </w:p>
                    </w:txbxContent>
                  </v:textbox>
                  <w10:wrap anchorx="margin"/>
                </v:shape>
              </w:pict>
            </mc:Fallback>
          </mc:AlternateContent>
        </w:r>
        <w:r w:rsidR="00B97747">
          <w:rPr>
            <w:rFonts w:ascii="EB Garamond" w:eastAsia="EB Garamond" w:hAnsi="EB Garamond" w:cs="EB Garamond"/>
            <w:noProof/>
            <w:color w:val="000000"/>
            <w:sz w:val="16"/>
            <w:szCs w:val="16"/>
          </w:rPr>
          <mc:AlternateContent>
            <mc:Choice Requires="wps">
              <w:drawing>
                <wp:anchor distT="0" distB="0" distL="114300" distR="114300" simplePos="0" relativeHeight="251672576" behindDoc="0" locked="0" layoutInCell="1" allowOverlap="1" wp14:anchorId="30312DEA" wp14:editId="3A2B7234">
                  <wp:simplePos x="0" y="0"/>
                  <wp:positionH relativeFrom="column">
                    <wp:posOffset>5991853</wp:posOffset>
                  </wp:positionH>
                  <wp:positionV relativeFrom="paragraph">
                    <wp:posOffset>75154</wp:posOffset>
                  </wp:positionV>
                  <wp:extent cx="0" cy="479941"/>
                  <wp:effectExtent l="0" t="0" r="38100" b="34925"/>
                  <wp:wrapNone/>
                  <wp:docPr id="1" name="Conector recto 1"/>
                  <wp:cNvGraphicFramePr/>
                  <a:graphic xmlns:a="http://schemas.openxmlformats.org/drawingml/2006/main">
                    <a:graphicData uri="http://schemas.microsoft.com/office/word/2010/wordprocessingShape">
                      <wps:wsp>
                        <wps:cNvCnPr/>
                        <wps:spPr>
                          <a:xfrm>
                            <a:off x="0" y="0"/>
                            <a:ext cx="0" cy="4799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CA0E6C" id="Conector recto 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8pt,5.9pt" to="471.8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" strokecolor="black [3213]" strokeweight=".5pt">
                  <v:stroke joinstyle="miter"/>
                </v:line>
              </w:pict>
            </mc:Fallback>
          </mc:AlternateContent>
        </w:r>
      </w:p>
      <w:p w14:paraId="4874E63B" w14:textId="7118324F" w:rsidR="00B97747" w:rsidRDefault="00B97747">
        <w:pPr>
          <w:pStyle w:val="Piedepgina"/>
          <w:jc w:val="right"/>
        </w:pPr>
        <w:r>
          <w:fldChar w:fldCharType="begin"/>
        </w:r>
        <w:r>
          <w:instrText>PAGE   \* MERGEFORMAT</w:instrText>
        </w:r>
        <w:r>
          <w:fldChar w:fldCharType="separate"/>
        </w:r>
        <w:r>
          <w:rPr>
            <w:lang w:val="es-ES"/>
          </w:rPr>
          <w:t>2</w:t>
        </w:r>
        <w:r>
          <w:fldChar w:fldCharType="end"/>
        </w:r>
      </w:p>
    </w:sdtContent>
  </w:sdt>
  <w:p w14:paraId="5073B142" w14:textId="1D8C4EF8" w:rsidR="004B311C" w:rsidRDefault="004B311C">
    <w:pPr>
      <w:pBdr>
        <w:top w:val="nil"/>
        <w:left w:val="nil"/>
        <w:bottom w:val="nil"/>
        <w:right w:val="nil"/>
        <w:between w:val="nil"/>
      </w:pBdr>
      <w:ind w:right="710"/>
      <w:jc w:val="right"/>
      <w:rPr>
        <w:rFonts w:ascii="EB Garamond" w:eastAsia="EB Garamond" w:hAnsi="EB Garamond" w:cs="EB Garamond"/>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57C94" w14:textId="77777777" w:rsidR="004B311C" w:rsidRDefault="004B311C">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63A11525" w14:textId="23F2B435" w:rsidR="004B311C" w:rsidRDefault="004B311C">
    <w:pPr>
      <w:ind w:right="292"/>
      <w:jc w:val="right"/>
      <w:rPr>
        <w:rFonts w:ascii="EB Garamond" w:eastAsia="EB Garamond" w:hAnsi="EB Garamond" w:cs="EB 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96AD2" w14:textId="77777777" w:rsidR="00F9031B" w:rsidRDefault="00F9031B">
      <w:r>
        <w:separator/>
      </w:r>
    </w:p>
  </w:footnote>
  <w:footnote w:type="continuationSeparator" w:id="0">
    <w:p w14:paraId="58FA1070" w14:textId="77777777" w:rsidR="00F9031B" w:rsidRDefault="00F90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9B4A5" w14:textId="77777777" w:rsidR="0078562D" w:rsidRPr="0078562D" w:rsidRDefault="0078562D" w:rsidP="00D156DB">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i/>
        <w:iCs/>
        <w:sz w:val="22"/>
        <w:szCs w:val="22"/>
      </w:rPr>
    </w:pPr>
    <w:r>
      <w:rPr>
        <w:noProof/>
        <w:lang w:val="es-CO"/>
      </w:rPr>
      <mc:AlternateContent>
        <mc:Choice Requires="wps">
          <w:drawing>
            <wp:anchor distT="0" distB="0" distL="114300" distR="114300" simplePos="0" relativeHeight="251666432" behindDoc="0" locked="0" layoutInCell="1" hidden="0" allowOverlap="1" wp14:anchorId="39A38783" wp14:editId="519278A4">
              <wp:simplePos x="0" y="0"/>
              <wp:positionH relativeFrom="margin">
                <wp:align>center</wp:align>
              </wp:positionH>
              <wp:positionV relativeFrom="paragraph">
                <wp:posOffset>194734</wp:posOffset>
              </wp:positionV>
              <wp:extent cx="6219825" cy="12700"/>
              <wp:effectExtent l="0" t="0" r="28575" b="25400"/>
              <wp:wrapNone/>
              <wp:docPr id="1916611434" name="Conector recto de flecha 9"/>
              <wp:cNvGraphicFramePr/>
              <a:graphic xmlns:a="http://schemas.openxmlformats.org/drawingml/2006/main">
                <a:graphicData uri="http://schemas.microsoft.com/office/word/2010/wordprocessingShape">
                  <wps:wsp>
                    <wps:cNvCnPr/>
                    <wps:spPr>
                      <a:xfrm rot="10800000">
                        <a:off x="0" y="0"/>
                        <a:ext cx="6219825" cy="127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4A7698DF" id="_x0000_t32" coordsize="21600,21600" o:spt="32" o:oned="t" path="m,l21600,21600e" filled="f">
              <v:path arrowok="t" fillok="f" o:connecttype="none"/>
              <o:lock v:ext="edit" shapetype="t"/>
            </v:shapetype>
            <v:shape id="Conector recto de flecha 9" o:spid="_x0000_s1026" type="#_x0000_t32" style="position:absolute;margin-left:0;margin-top:15.35pt;width:489.75pt;height:1pt;rotation:180;z-index:251666432;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" strokecolor="black [3200]">
              <v:stroke joinstyle="miter"/>
              <w10:wrap anchorx="margin"/>
            </v:shape>
          </w:pict>
        </mc:Fallback>
      </mc:AlternateContent>
    </w:r>
    <w:r w:rsidRPr="0078562D">
      <w:rPr>
        <w:rFonts w:ascii="EB Garamond" w:eastAsia="EB Garamond" w:hAnsi="EB Garamond" w:cs="EB Garamond"/>
        <w:i/>
        <w:iCs/>
        <w:sz w:val="22"/>
        <w:szCs w:val="22"/>
      </w:rPr>
      <w:t>Análisis comparativo de metodologías para la predicción de propiedades mecánicas de materiales compuestos</w:t>
    </w:r>
  </w:p>
  <w:p w14:paraId="4624EB4C" w14:textId="47017ABE" w:rsidR="004B311C" w:rsidRDefault="0078562D" w:rsidP="0078562D">
    <w:pPr>
      <w:ind w:right="143"/>
      <w:jc w:val="right"/>
      <w:rPr>
        <w:rFonts w:ascii="EB Garamond" w:eastAsia="EB Garamond" w:hAnsi="EB Garamond" w:cs="EB Garamond"/>
        <w:smallCaps/>
        <w:sz w:val="22"/>
        <w:szCs w:val="22"/>
      </w:rPr>
    </w:pPr>
    <w:r w:rsidRPr="0035472D">
      <w:rPr>
        <w:rFonts w:ascii="EB Garamond" w:eastAsia="EB Garamond" w:hAnsi="EB Garamond" w:cs="EB Garamond"/>
        <w:smallCaps/>
        <w:sz w:val="22"/>
        <w:szCs w:val="22"/>
      </w:rPr>
      <w:t>Sergio G</w:t>
    </w:r>
    <w:r w:rsidR="00D156DB">
      <w:rPr>
        <w:rFonts w:ascii="EB Garamond" w:eastAsia="EB Garamond" w:hAnsi="EB Garamond" w:cs="EB Garamond"/>
        <w:smallCaps/>
        <w:sz w:val="22"/>
        <w:szCs w:val="22"/>
      </w:rPr>
      <w:t>ó</w:t>
    </w:r>
    <w:r w:rsidRPr="0035472D">
      <w:rPr>
        <w:rFonts w:ascii="EB Garamond" w:eastAsia="EB Garamond" w:hAnsi="EB Garamond" w:cs="EB Garamond"/>
        <w:smallCaps/>
        <w:sz w:val="22"/>
        <w:szCs w:val="22"/>
      </w:rPr>
      <w:t>mez</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2E51" w14:textId="04E21DEF" w:rsidR="004B311C" w:rsidRDefault="00FF6F5A">
    <w:pPr>
      <w:ind w:left="142"/>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Pr>
        <w:rFonts w:ascii="EB Garamond" w:eastAsia="EB Garamond" w:hAnsi="EB Garamond" w:cs="EB Garamond"/>
        <w:color w:val="000000"/>
        <w:sz w:val="15"/>
        <w:szCs w:val="15"/>
      </w:rPr>
      <w:t xml:space="preserve">echa de recepción </w:t>
    </w:r>
    <w:r w:rsidR="00B97747">
      <w:rPr>
        <w:rFonts w:ascii="EB Garamond" w:eastAsia="EB Garamond" w:hAnsi="EB Garamond" w:cs="EB Garamond"/>
        <w:color w:val="000000"/>
        <w:sz w:val="15"/>
        <w:szCs w:val="15"/>
      </w:rPr>
      <w:t>16</w:t>
    </w:r>
    <w:r>
      <w:rPr>
        <w:rFonts w:ascii="EB Garamond" w:eastAsia="EB Garamond" w:hAnsi="EB Garamond" w:cs="EB Garamond"/>
        <w:color w:val="000000"/>
        <w:sz w:val="15"/>
        <w:szCs w:val="15"/>
      </w:rPr>
      <w:t>/</w:t>
    </w:r>
    <w:r w:rsidR="00B97747">
      <w:rPr>
        <w:rFonts w:ascii="EB Garamond" w:eastAsia="EB Garamond" w:hAnsi="EB Garamond" w:cs="EB Garamond"/>
        <w:color w:val="000000"/>
        <w:sz w:val="15"/>
        <w:szCs w:val="15"/>
      </w:rPr>
      <w:t>07</w:t>
    </w:r>
    <w:r>
      <w:rPr>
        <w:rFonts w:ascii="EB Garamond" w:eastAsia="EB Garamond" w:hAnsi="EB Garamond" w:cs="EB Garamond"/>
        <w:color w:val="000000"/>
        <w:sz w:val="15"/>
        <w:szCs w:val="15"/>
      </w:rPr>
      <w:t>/</w:t>
    </w:r>
    <w:r>
      <w:rPr>
        <w:noProof/>
        <w:lang w:val="es-CO"/>
      </w:rPr>
      <mc:AlternateContent>
        <mc:Choice Requires="wpg">
          <w:drawing>
            <wp:anchor distT="0" distB="0" distL="114300" distR="114300" simplePos="0" relativeHeight="251659264" behindDoc="0" locked="0" layoutInCell="1" hidden="0" allowOverlap="1" wp14:anchorId="4F4BE03B" wp14:editId="2CE60D01">
              <wp:simplePos x="0" y="0"/>
              <wp:positionH relativeFrom="column">
                <wp:posOffset>1</wp:posOffset>
              </wp:positionH>
              <wp:positionV relativeFrom="paragraph">
                <wp:posOffset>0</wp:posOffset>
              </wp:positionV>
              <wp:extent cx="12700" cy="339725"/>
              <wp:effectExtent l="0" t="0" r="0" b="0"/>
              <wp:wrapNone/>
              <wp:docPr id="14" name="Conector recto de flecha 14"/>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1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2700" cy="339725"/>
                      </a:xfrm>
                      <a:prstGeom prst="rect"/>
                      <a:ln/>
                    </pic:spPr>
                  </pic:pic>
                </a:graphicData>
              </a:graphic>
            </wp:anchor>
          </w:drawing>
        </mc:Fallback>
      </mc:AlternateContent>
    </w:r>
    <w:r w:rsidR="00A976C7">
      <w:rPr>
        <w:rFonts w:ascii="EB Garamond" w:eastAsia="EB Garamond" w:hAnsi="EB Garamond" w:cs="EB Garamond"/>
        <w:color w:val="000000"/>
        <w:sz w:val="15"/>
        <w:szCs w:val="15"/>
      </w:rPr>
      <w:t>2025</w:t>
    </w:r>
  </w:p>
  <w:p w14:paraId="79CECC4A" w14:textId="24292097" w:rsidR="004B311C" w:rsidRDefault="00FF6F5A">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 xml:space="preserve">Fecha de aceptación: </w:t>
    </w:r>
    <w:r w:rsidR="006606E0">
      <w:rPr>
        <w:rFonts w:ascii="EB Garamond" w:eastAsia="EB Garamond" w:hAnsi="EB Garamond" w:cs="EB Garamond"/>
        <w:color w:val="000000"/>
        <w:sz w:val="15"/>
        <w:szCs w:val="15"/>
      </w:rPr>
      <w:t>15</w:t>
    </w:r>
    <w:r>
      <w:rPr>
        <w:rFonts w:ascii="EB Garamond" w:eastAsia="EB Garamond" w:hAnsi="EB Garamond" w:cs="EB Garamond"/>
        <w:color w:val="000000"/>
        <w:sz w:val="15"/>
        <w:szCs w:val="15"/>
      </w:rPr>
      <w:t>/</w:t>
    </w:r>
    <w:r w:rsidR="006606E0">
      <w:rPr>
        <w:rFonts w:ascii="EB Garamond" w:eastAsia="EB Garamond" w:hAnsi="EB Garamond" w:cs="EB Garamond"/>
        <w:color w:val="000000"/>
        <w:sz w:val="15"/>
        <w:szCs w:val="15"/>
      </w:rPr>
      <w:t>01</w:t>
    </w:r>
    <w:r>
      <w:rPr>
        <w:rFonts w:ascii="EB Garamond" w:eastAsia="EB Garamond" w:hAnsi="EB Garamond" w:cs="EB Garamond"/>
        <w:color w:val="000000"/>
        <w:sz w:val="15"/>
        <w:szCs w:val="15"/>
      </w:rPr>
      <w:t>/</w:t>
    </w:r>
    <w:r w:rsidR="006606E0">
      <w:rPr>
        <w:rFonts w:ascii="EB Garamond" w:eastAsia="EB Garamond" w:hAnsi="EB Garamond" w:cs="EB Garamond"/>
        <w:color w:val="000000"/>
        <w:sz w:val="15"/>
        <w:szCs w:val="15"/>
      </w:rPr>
      <w:t>2026</w:t>
    </w:r>
  </w:p>
  <w:p w14:paraId="0D8029CC" w14:textId="5499DD5F" w:rsidR="004B311C" w:rsidRDefault="00FF6F5A">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Pp</w:t>
    </w:r>
    <w:r w:rsidR="004B516D">
      <w:rPr>
        <w:rFonts w:ascii="EB Garamond" w:eastAsia="EB Garamond" w:hAnsi="EB Garamond" w:cs="EB Garamond"/>
        <w:color w:val="000000"/>
        <w:sz w:val="15"/>
        <w:szCs w:val="15"/>
      </w:rPr>
      <w:t>.</w:t>
    </w:r>
    <w:r w:rsidR="00386362">
      <w:rPr>
        <w:rFonts w:ascii="EB Garamond" w:eastAsia="EB Garamond" w:hAnsi="EB Garamond" w:cs="EB Garamond"/>
        <w:color w:val="000000"/>
        <w:sz w:val="15"/>
        <w:szCs w:val="15"/>
      </w:rPr>
      <w:t xml:space="preserve"> 1</w:t>
    </w:r>
    <w:r>
      <w:rPr>
        <w:rFonts w:ascii="EB Garamond" w:eastAsia="EB Garamond" w:hAnsi="EB Garamond" w:cs="EB Garamond"/>
        <w:color w:val="000000"/>
        <w:sz w:val="15"/>
        <w:szCs w:val="15"/>
      </w:rPr>
      <w:t xml:space="preserve"> – Pp</w:t>
    </w:r>
    <w:r w:rsidR="00386362">
      <w:rPr>
        <w:rFonts w:ascii="EB Garamond" w:eastAsia="EB Garamond" w:hAnsi="EB Garamond" w:cs="EB Garamond"/>
        <w:color w:val="000000"/>
        <w:sz w:val="15"/>
        <w:szCs w:val="15"/>
      </w:rPr>
      <w:t>. 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49707" w14:textId="4A324CFA" w:rsidR="004B311C" w:rsidRPr="0078562D" w:rsidRDefault="0078562D" w:rsidP="00D156DB">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i/>
        <w:iCs/>
        <w:sz w:val="22"/>
        <w:szCs w:val="22"/>
      </w:rPr>
    </w:pPr>
    <w:r>
      <w:rPr>
        <w:noProof/>
        <w:lang w:val="es-CO"/>
      </w:rPr>
      <mc:AlternateContent>
        <mc:Choice Requires="wps">
          <w:drawing>
            <wp:anchor distT="0" distB="0" distL="114300" distR="114300" simplePos="0" relativeHeight="251662336" behindDoc="0" locked="0" layoutInCell="1" hidden="0" allowOverlap="1" wp14:anchorId="3CDE6669" wp14:editId="06BFFF18">
              <wp:simplePos x="0" y="0"/>
              <wp:positionH relativeFrom="margin">
                <wp:align>center</wp:align>
              </wp:positionH>
              <wp:positionV relativeFrom="paragraph">
                <wp:posOffset>194734</wp:posOffset>
              </wp:positionV>
              <wp:extent cx="6219825" cy="12700"/>
              <wp:effectExtent l="0" t="0" r="28575" b="25400"/>
              <wp:wrapNone/>
              <wp:docPr id="9" name="Conector recto de flecha 9"/>
              <wp:cNvGraphicFramePr/>
              <a:graphic xmlns:a="http://schemas.openxmlformats.org/drawingml/2006/main">
                <a:graphicData uri="http://schemas.microsoft.com/office/word/2010/wordprocessingShape">
                  <wps:wsp>
                    <wps:cNvCnPr/>
                    <wps:spPr>
                      <a:xfrm rot="10800000">
                        <a:off x="0" y="0"/>
                        <a:ext cx="6219825" cy="127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76C7E2E6" id="_x0000_t32" coordsize="21600,21600" o:spt="32" o:oned="t" path="m,l21600,21600e" filled="f">
              <v:path arrowok="t" fillok="f" o:connecttype="none"/>
              <o:lock v:ext="edit" shapetype="t"/>
            </v:shapetype>
            <v:shape id="Conector recto de flecha 9" o:spid="_x0000_s1026" type="#_x0000_t32" style="position:absolute;margin-left:0;margin-top:15.35pt;width:489.75pt;height:1pt;rotation:180;z-index:25166233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" strokecolor="black [3200]">
              <v:stroke joinstyle="miter"/>
              <w10:wrap anchorx="margin"/>
            </v:shape>
          </w:pict>
        </mc:Fallback>
      </mc:AlternateContent>
    </w:r>
    <w:r w:rsidR="0035472D" w:rsidRPr="0078562D">
      <w:rPr>
        <w:rFonts w:ascii="EB Garamond" w:eastAsia="EB Garamond" w:hAnsi="EB Garamond" w:cs="EB Garamond"/>
        <w:i/>
        <w:iCs/>
        <w:sz w:val="22"/>
        <w:szCs w:val="22"/>
      </w:rPr>
      <w:t>Análisis comparativo de metodologías para la predicción de propiedades mecánicas de materiales compuestos</w:t>
    </w:r>
  </w:p>
  <w:p w14:paraId="0112D611" w14:textId="7B668417" w:rsidR="004B311C" w:rsidRDefault="0035472D">
    <w:pPr>
      <w:ind w:right="143"/>
      <w:jc w:val="right"/>
      <w:rPr>
        <w:rFonts w:ascii="EB Garamond" w:eastAsia="EB Garamond" w:hAnsi="EB Garamond" w:cs="EB Garamond"/>
        <w:smallCaps/>
        <w:sz w:val="22"/>
        <w:szCs w:val="22"/>
      </w:rPr>
    </w:pPr>
    <w:r w:rsidRPr="0035472D">
      <w:rPr>
        <w:rFonts w:ascii="EB Garamond" w:eastAsia="EB Garamond" w:hAnsi="EB Garamond" w:cs="EB Garamond"/>
        <w:smallCaps/>
        <w:sz w:val="22"/>
        <w:szCs w:val="22"/>
      </w:rPr>
      <w:t>Sergio G</w:t>
    </w:r>
    <w:r w:rsidR="00D156DB">
      <w:rPr>
        <w:rFonts w:ascii="EB Garamond" w:eastAsia="EB Garamond" w:hAnsi="EB Garamond" w:cs="EB Garamond"/>
        <w:smallCaps/>
        <w:sz w:val="22"/>
        <w:szCs w:val="22"/>
      </w:rPr>
      <w:t>ó</w:t>
    </w:r>
    <w:r w:rsidRPr="0035472D">
      <w:rPr>
        <w:rFonts w:ascii="EB Garamond" w:eastAsia="EB Garamond" w:hAnsi="EB Garamond" w:cs="EB Garamond"/>
        <w:smallCaps/>
        <w:sz w:val="22"/>
        <w:szCs w:val="22"/>
      </w:rPr>
      <w:t>mez</w:t>
    </w:r>
  </w:p>
  <w:p w14:paraId="26E6674F" w14:textId="77777777" w:rsidR="0072408A" w:rsidRDefault="0072408A">
    <w:pPr>
      <w:ind w:right="143"/>
      <w:jc w:val="right"/>
      <w:rPr>
        <w:rFonts w:ascii="EB Garamond" w:eastAsia="EB Garamond" w:hAnsi="EB Garamond" w:cs="EB Garamond"/>
        <w:smallCap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C54D5"/>
    <w:multiLevelType w:val="hybridMultilevel"/>
    <w:tmpl w:val="79623D1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1D9812AA"/>
    <w:multiLevelType w:val="hybridMultilevel"/>
    <w:tmpl w:val="7F7410DE"/>
    <w:lvl w:ilvl="0" w:tplc="729AF35A">
      <w:start w:val="1"/>
      <w:numFmt w:val="upperLetter"/>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39134E41"/>
    <w:multiLevelType w:val="hybridMultilevel"/>
    <w:tmpl w:val="AE821F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0B944B4"/>
    <w:multiLevelType w:val="multilevel"/>
    <w:tmpl w:val="DEF60AFA"/>
    <w:lvl w:ilvl="0">
      <w:start w:val="1"/>
      <w:numFmt w:val="decimal"/>
      <w:lvlText w:val="[%1]"/>
      <w:lvlJc w:val="left"/>
      <w:pPr>
        <w:ind w:left="1425" w:hanging="360"/>
      </w:pPr>
      <w:rPr>
        <w:rFonts w:ascii="EB Garamond" w:eastAsia="EB Garamond" w:hAnsi="EB Garamond" w:cs="EB Garamond"/>
        <w:b/>
        <w:color w:val="333333"/>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4" w15:restartNumberingAfterBreak="0">
    <w:nsid w:val="466B2B48"/>
    <w:multiLevelType w:val="multilevel"/>
    <w:tmpl w:val="652844C0"/>
    <w:lvl w:ilvl="0">
      <w:start w:val="3"/>
      <w:numFmt w:val="upperLetter"/>
      <w:lvlText w:val="%1."/>
      <w:lvlJc w:val="left"/>
      <w:pPr>
        <w:ind w:left="720" w:hanging="36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C22784A"/>
    <w:multiLevelType w:val="multilevel"/>
    <w:tmpl w:val="1F7EAF8E"/>
    <w:lvl w:ilvl="0">
      <w:start w:val="1"/>
      <w:numFmt w:val="decimal"/>
      <w:lvlText w:val="%1."/>
      <w:lvlJc w:val="left"/>
      <w:pPr>
        <w:ind w:left="720" w:hanging="360"/>
      </w:pPr>
      <w:rPr>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C8B0EE5"/>
    <w:multiLevelType w:val="multilevel"/>
    <w:tmpl w:val="0F8256AE"/>
    <w:lvl w:ilvl="0">
      <w:start w:val="2"/>
      <w:numFmt w:val="upperLetter"/>
      <w:lvlText w:val="%1."/>
      <w:lvlJc w:val="left"/>
      <w:pPr>
        <w:ind w:left="720" w:hanging="360"/>
      </w:pPr>
      <w:rPr>
        <w:i w:val="0"/>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612462A2"/>
    <w:multiLevelType w:val="hybridMultilevel"/>
    <w:tmpl w:val="4448DA06"/>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699078D9"/>
    <w:multiLevelType w:val="multilevel"/>
    <w:tmpl w:val="D7E04A02"/>
    <w:lvl w:ilvl="0">
      <w:start w:val="5"/>
      <w:numFmt w:val="upperLetter"/>
      <w:lvlText w:val="%1."/>
      <w:lvlJc w:val="left"/>
      <w:pPr>
        <w:ind w:left="360" w:hanging="360"/>
      </w:pPr>
      <w:rPr>
        <w:i w:val="0"/>
        <w:sz w:val="4"/>
        <w:szCs w:val="4"/>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72AB66AE"/>
    <w:multiLevelType w:val="multilevel"/>
    <w:tmpl w:val="D3923AB0"/>
    <w:lvl w:ilvl="0">
      <w:numFmt w:val="upperLetter"/>
      <w:lvlText w:val="%1."/>
      <w:lvlJc w:val="left"/>
      <w:pPr>
        <w:ind w:left="0" w:firstLine="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7C8D012F"/>
    <w:multiLevelType w:val="hybridMultilevel"/>
    <w:tmpl w:val="4900079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6"/>
  </w:num>
  <w:num w:numId="2">
    <w:abstractNumId w:val="9"/>
  </w:num>
  <w:num w:numId="3">
    <w:abstractNumId w:val="8"/>
  </w:num>
  <w:num w:numId="4">
    <w:abstractNumId w:val="5"/>
  </w:num>
  <w:num w:numId="5">
    <w:abstractNumId w:val="3"/>
  </w:num>
  <w:num w:numId="6">
    <w:abstractNumId w:val="4"/>
  </w:num>
  <w:num w:numId="7">
    <w:abstractNumId w:val="7"/>
  </w:num>
  <w:num w:numId="8">
    <w:abstractNumId w:val="1"/>
  </w:num>
  <w:num w:numId="9">
    <w:abstractNumId w:val="10"/>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11C"/>
    <w:rsid w:val="000007B3"/>
    <w:rsid w:val="00002F41"/>
    <w:rsid w:val="00024817"/>
    <w:rsid w:val="000613C1"/>
    <w:rsid w:val="00063982"/>
    <w:rsid w:val="00082566"/>
    <w:rsid w:val="00083F1F"/>
    <w:rsid w:val="00090C98"/>
    <w:rsid w:val="000C25F9"/>
    <w:rsid w:val="000D7B17"/>
    <w:rsid w:val="000E5FD4"/>
    <w:rsid w:val="000F2E71"/>
    <w:rsid w:val="000F4E32"/>
    <w:rsid w:val="00100600"/>
    <w:rsid w:val="00100B50"/>
    <w:rsid w:val="00101457"/>
    <w:rsid w:val="00111F25"/>
    <w:rsid w:val="00126FEC"/>
    <w:rsid w:val="00134D08"/>
    <w:rsid w:val="001406E4"/>
    <w:rsid w:val="00144B47"/>
    <w:rsid w:val="00154DEE"/>
    <w:rsid w:val="001729A7"/>
    <w:rsid w:val="001820E6"/>
    <w:rsid w:val="001969DD"/>
    <w:rsid w:val="00197EB9"/>
    <w:rsid w:val="001C2B55"/>
    <w:rsid w:val="001C4E1F"/>
    <w:rsid w:val="001D3DAB"/>
    <w:rsid w:val="001F1AE1"/>
    <w:rsid w:val="00217560"/>
    <w:rsid w:val="00217938"/>
    <w:rsid w:val="0027695E"/>
    <w:rsid w:val="002B4CFC"/>
    <w:rsid w:val="002D38F6"/>
    <w:rsid w:val="00301B16"/>
    <w:rsid w:val="00320829"/>
    <w:rsid w:val="0035472D"/>
    <w:rsid w:val="003573C3"/>
    <w:rsid w:val="003646B2"/>
    <w:rsid w:val="00386362"/>
    <w:rsid w:val="003B217A"/>
    <w:rsid w:val="003E6F87"/>
    <w:rsid w:val="003F53CA"/>
    <w:rsid w:val="00401C99"/>
    <w:rsid w:val="00402343"/>
    <w:rsid w:val="004100A1"/>
    <w:rsid w:val="00426BC9"/>
    <w:rsid w:val="004312DC"/>
    <w:rsid w:val="0046750E"/>
    <w:rsid w:val="004A4FBB"/>
    <w:rsid w:val="004B311C"/>
    <w:rsid w:val="004B516D"/>
    <w:rsid w:val="004C6747"/>
    <w:rsid w:val="004D3959"/>
    <w:rsid w:val="004E56AF"/>
    <w:rsid w:val="00514B9A"/>
    <w:rsid w:val="00533010"/>
    <w:rsid w:val="00537F80"/>
    <w:rsid w:val="0054303A"/>
    <w:rsid w:val="00553AFA"/>
    <w:rsid w:val="00564833"/>
    <w:rsid w:val="00564928"/>
    <w:rsid w:val="00585AF0"/>
    <w:rsid w:val="005909D3"/>
    <w:rsid w:val="005B2080"/>
    <w:rsid w:val="006556F0"/>
    <w:rsid w:val="006606E0"/>
    <w:rsid w:val="006E062A"/>
    <w:rsid w:val="00700068"/>
    <w:rsid w:val="0072408A"/>
    <w:rsid w:val="00741422"/>
    <w:rsid w:val="0078562D"/>
    <w:rsid w:val="00791290"/>
    <w:rsid w:val="007B6999"/>
    <w:rsid w:val="007C1D21"/>
    <w:rsid w:val="007C708B"/>
    <w:rsid w:val="00807FC7"/>
    <w:rsid w:val="00825855"/>
    <w:rsid w:val="00825C54"/>
    <w:rsid w:val="0084171E"/>
    <w:rsid w:val="00873345"/>
    <w:rsid w:val="008939A7"/>
    <w:rsid w:val="009015A8"/>
    <w:rsid w:val="00930815"/>
    <w:rsid w:val="009313BB"/>
    <w:rsid w:val="00936B92"/>
    <w:rsid w:val="00941DA7"/>
    <w:rsid w:val="00961900"/>
    <w:rsid w:val="00966BCD"/>
    <w:rsid w:val="00970208"/>
    <w:rsid w:val="00982497"/>
    <w:rsid w:val="009860B3"/>
    <w:rsid w:val="00990D18"/>
    <w:rsid w:val="009A5F32"/>
    <w:rsid w:val="009B6818"/>
    <w:rsid w:val="009C57F0"/>
    <w:rsid w:val="009D0A86"/>
    <w:rsid w:val="00A22960"/>
    <w:rsid w:val="00A23FBE"/>
    <w:rsid w:val="00A317EA"/>
    <w:rsid w:val="00A34973"/>
    <w:rsid w:val="00A45DCB"/>
    <w:rsid w:val="00A47F98"/>
    <w:rsid w:val="00A52732"/>
    <w:rsid w:val="00A6685D"/>
    <w:rsid w:val="00A833EB"/>
    <w:rsid w:val="00A84BFE"/>
    <w:rsid w:val="00A85B88"/>
    <w:rsid w:val="00A976C7"/>
    <w:rsid w:val="00AA4F7D"/>
    <w:rsid w:val="00AC19C1"/>
    <w:rsid w:val="00AC4958"/>
    <w:rsid w:val="00AD0444"/>
    <w:rsid w:val="00AD3EAC"/>
    <w:rsid w:val="00AE472B"/>
    <w:rsid w:val="00B1158A"/>
    <w:rsid w:val="00B1415C"/>
    <w:rsid w:val="00B173C9"/>
    <w:rsid w:val="00B35219"/>
    <w:rsid w:val="00B96258"/>
    <w:rsid w:val="00B96C83"/>
    <w:rsid w:val="00B97747"/>
    <w:rsid w:val="00BC5A04"/>
    <w:rsid w:val="00BE022C"/>
    <w:rsid w:val="00BE3AAA"/>
    <w:rsid w:val="00BF172D"/>
    <w:rsid w:val="00C43F3E"/>
    <w:rsid w:val="00C56C1A"/>
    <w:rsid w:val="00C62E22"/>
    <w:rsid w:val="00CD0546"/>
    <w:rsid w:val="00CE02A1"/>
    <w:rsid w:val="00D01914"/>
    <w:rsid w:val="00D07385"/>
    <w:rsid w:val="00D10863"/>
    <w:rsid w:val="00D156DB"/>
    <w:rsid w:val="00D27C65"/>
    <w:rsid w:val="00D35B1B"/>
    <w:rsid w:val="00D55AF0"/>
    <w:rsid w:val="00D57D49"/>
    <w:rsid w:val="00D6514A"/>
    <w:rsid w:val="00D87101"/>
    <w:rsid w:val="00DB084C"/>
    <w:rsid w:val="00DB1E1C"/>
    <w:rsid w:val="00E07401"/>
    <w:rsid w:val="00E529DE"/>
    <w:rsid w:val="00E5584E"/>
    <w:rsid w:val="00E57E96"/>
    <w:rsid w:val="00E969A3"/>
    <w:rsid w:val="00E96B99"/>
    <w:rsid w:val="00EA7337"/>
    <w:rsid w:val="00EC2F86"/>
    <w:rsid w:val="00EC4561"/>
    <w:rsid w:val="00F358FE"/>
    <w:rsid w:val="00F76B35"/>
    <w:rsid w:val="00F813EA"/>
    <w:rsid w:val="00F862C1"/>
    <w:rsid w:val="00F9031B"/>
    <w:rsid w:val="00F92832"/>
    <w:rsid w:val="00FB7E26"/>
    <w:rsid w:val="00FD1D02"/>
    <w:rsid w:val="00FD677E"/>
    <w:rsid w:val="00FE1DD6"/>
    <w:rsid w:val="00FF6F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10295"/>
  <w15:docId w15:val="{763769EA-B719-42C3-9D4B-4BF09FF3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ES_tradnl"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paragraph" w:styleId="Prrafodelista">
    <w:name w:val="List Paragraph"/>
    <w:basedOn w:val="Normal"/>
    <w:uiPriority w:val="34"/>
    <w:qFormat/>
    <w:rsid w:val="00EC4561"/>
    <w:pPr>
      <w:ind w:left="720"/>
      <w:contextualSpacing/>
    </w:pPr>
  </w:style>
  <w:style w:type="character" w:styleId="Textoennegrita">
    <w:name w:val="Strong"/>
    <w:basedOn w:val="Fuentedeprrafopredeter"/>
    <w:uiPriority w:val="22"/>
    <w:qFormat/>
    <w:rsid w:val="00EC4561"/>
    <w:rPr>
      <w:b/>
      <w:bCs/>
    </w:rPr>
  </w:style>
  <w:style w:type="paragraph" w:styleId="Bibliografa">
    <w:name w:val="Bibliography"/>
    <w:basedOn w:val="Normal"/>
    <w:next w:val="Normal"/>
    <w:uiPriority w:val="37"/>
    <w:semiHidden/>
    <w:unhideWhenUsed/>
    <w:rsid w:val="000F2E71"/>
  </w:style>
  <w:style w:type="character" w:styleId="Hipervnculo">
    <w:name w:val="Hyperlink"/>
    <w:basedOn w:val="Fuentedeprrafopredeter"/>
    <w:uiPriority w:val="99"/>
    <w:unhideWhenUsed/>
    <w:rsid w:val="0078562D"/>
    <w:rPr>
      <w:color w:val="0000FF"/>
      <w:u w:val="single"/>
    </w:rPr>
  </w:style>
  <w:style w:type="character" w:styleId="Mencinsinresolver">
    <w:name w:val="Unresolved Mention"/>
    <w:basedOn w:val="Fuentedeprrafopredeter"/>
    <w:uiPriority w:val="99"/>
    <w:semiHidden/>
    <w:unhideWhenUsed/>
    <w:rsid w:val="004B51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diagramColors" Target="diagrams/colors1.xml"/><Relationship Id="rId26"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diagramLayout" Target="diagrams/layout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diagramData" Target="diagrams/data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07/relationships/diagramDrawing" Target="diagrams/drawing2.xml"/><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image" Target="media/image4.png"/><Relationship Id="rId10" Type="http://schemas.openxmlformats.org/officeDocument/2006/relationships/header" Target="header1.xml"/><Relationship Id="rId19" Type="http://schemas.microsoft.com/office/2007/relationships/diagramDrawing" Target="diagrams/drawing1.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revistasenlinea.saber.ucab.edu.ve/index.php/tekhne/article/view/7607" TargetMode="External"/><Relationship Id="rId14" Type="http://schemas.openxmlformats.org/officeDocument/2006/relationships/footer" Target="footer3.xml"/><Relationship Id="rId22" Type="http://schemas.openxmlformats.org/officeDocument/2006/relationships/diagramQuickStyle" Target="diagrams/quickStyle2.xml"/><Relationship Id="rId27" Type="http://schemas.openxmlformats.org/officeDocument/2006/relationships/image" Target="media/image3.png"/><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8F6336-549B-4B3A-961B-42ADBBE2846D}" type="doc">
      <dgm:prSet loTypeId="urn:microsoft.com/office/officeart/2005/8/layout/process2" loCatId="process" qsTypeId="urn:microsoft.com/office/officeart/2005/8/quickstyle/simple1" qsCatId="simple" csTypeId="urn:microsoft.com/office/officeart/2005/8/colors/accent0_1" csCatId="mainScheme" phldr="1"/>
      <dgm:spPr/>
    </dgm:pt>
    <dgm:pt modelId="{06E7ACE5-270D-4FC6-8C2B-0CEB09F6E01C}">
      <dgm:prSet phldrT="[Texto]"/>
      <dgm:spPr/>
      <dgm:t>
        <a:bodyPr/>
        <a:lstStyle/>
        <a:p>
          <a:r>
            <a:rPr lang="es-ES">
              <a:latin typeface="+mn-lt"/>
            </a:rPr>
            <a:t>Revisión Bibliografica</a:t>
          </a:r>
        </a:p>
      </dgm:t>
    </dgm:pt>
    <dgm:pt modelId="{B99AEF33-CB74-4635-B0C1-2B6332ADC0FC}" type="parTrans" cxnId="{B1E91942-2D32-4F07-94FD-E0AEF643D46E}">
      <dgm:prSet/>
      <dgm:spPr/>
      <dgm:t>
        <a:bodyPr/>
        <a:lstStyle/>
        <a:p>
          <a:endParaRPr lang="es-ES"/>
        </a:p>
      </dgm:t>
    </dgm:pt>
    <dgm:pt modelId="{25EFA996-6DE5-4CD8-B8F5-46A8102F3F56}" type="sibTrans" cxnId="{B1E91942-2D32-4F07-94FD-E0AEF643D46E}">
      <dgm:prSet/>
      <dgm:spPr/>
      <dgm:t>
        <a:bodyPr/>
        <a:lstStyle/>
        <a:p>
          <a:endParaRPr lang="es-ES"/>
        </a:p>
      </dgm:t>
    </dgm:pt>
    <dgm:pt modelId="{D681B1D8-A499-4C5E-BFE1-DE7A8D453F16}">
      <dgm:prSet phldrT="[Texto]"/>
      <dgm:spPr/>
      <dgm:t>
        <a:bodyPr/>
        <a:lstStyle/>
        <a:p>
          <a:r>
            <a:rPr lang="es-ES">
              <a:latin typeface="+mn-lt"/>
            </a:rPr>
            <a:t>Identificación y clasificación de metodologías </a:t>
          </a:r>
        </a:p>
      </dgm:t>
    </dgm:pt>
    <dgm:pt modelId="{9D7A73A5-9693-4E50-BCDD-019AD42E29B3}" type="parTrans" cxnId="{3E84E675-E91D-4A5E-BB47-87A843EC61D3}">
      <dgm:prSet/>
      <dgm:spPr/>
      <dgm:t>
        <a:bodyPr/>
        <a:lstStyle/>
        <a:p>
          <a:endParaRPr lang="es-ES"/>
        </a:p>
      </dgm:t>
    </dgm:pt>
    <dgm:pt modelId="{6DC93835-D5DD-44E4-94ED-94382EEE62EC}" type="sibTrans" cxnId="{3E84E675-E91D-4A5E-BB47-87A843EC61D3}">
      <dgm:prSet/>
      <dgm:spPr/>
      <dgm:t>
        <a:bodyPr/>
        <a:lstStyle/>
        <a:p>
          <a:endParaRPr lang="es-ES"/>
        </a:p>
      </dgm:t>
    </dgm:pt>
    <dgm:pt modelId="{DF858122-67FF-429C-9496-11D541CB8CB5}">
      <dgm:prSet phldrT="[Texto]"/>
      <dgm:spPr/>
      <dgm:t>
        <a:bodyPr/>
        <a:lstStyle/>
        <a:p>
          <a:r>
            <a:rPr lang="es-ES">
              <a:latin typeface="+mn-lt"/>
            </a:rPr>
            <a:t>Análisis de beneficios y limitaciones</a:t>
          </a:r>
        </a:p>
      </dgm:t>
    </dgm:pt>
    <dgm:pt modelId="{EE0E2819-72AC-4CD2-A6BF-7FCEBC00D109}" type="parTrans" cxnId="{4D57542A-6E24-47B8-A21F-759ACFCE38F5}">
      <dgm:prSet/>
      <dgm:spPr/>
      <dgm:t>
        <a:bodyPr/>
        <a:lstStyle/>
        <a:p>
          <a:endParaRPr lang="es-ES"/>
        </a:p>
      </dgm:t>
    </dgm:pt>
    <dgm:pt modelId="{D164BD83-2D57-417E-BCA5-D71AE1412753}" type="sibTrans" cxnId="{4D57542A-6E24-47B8-A21F-759ACFCE38F5}">
      <dgm:prSet/>
      <dgm:spPr/>
      <dgm:t>
        <a:bodyPr/>
        <a:lstStyle/>
        <a:p>
          <a:endParaRPr lang="es-ES"/>
        </a:p>
      </dgm:t>
    </dgm:pt>
    <dgm:pt modelId="{19AB3F8B-34F7-491B-808B-C8D67B405C00}" type="pres">
      <dgm:prSet presAssocID="{FC8F6336-549B-4B3A-961B-42ADBBE2846D}" presName="linearFlow" presStyleCnt="0">
        <dgm:presLayoutVars>
          <dgm:resizeHandles val="exact"/>
        </dgm:presLayoutVars>
      </dgm:prSet>
      <dgm:spPr/>
    </dgm:pt>
    <dgm:pt modelId="{B13E750F-0819-4EB3-B94D-EE3E50995EB8}" type="pres">
      <dgm:prSet presAssocID="{06E7ACE5-270D-4FC6-8C2B-0CEB09F6E01C}" presName="node" presStyleLbl="node1" presStyleIdx="0" presStyleCnt="3">
        <dgm:presLayoutVars>
          <dgm:bulletEnabled val="1"/>
        </dgm:presLayoutVars>
      </dgm:prSet>
      <dgm:spPr/>
    </dgm:pt>
    <dgm:pt modelId="{7C5A8763-6ED3-4990-874B-767193DF0DD5}" type="pres">
      <dgm:prSet presAssocID="{25EFA996-6DE5-4CD8-B8F5-46A8102F3F56}" presName="sibTrans" presStyleLbl="sibTrans2D1" presStyleIdx="0" presStyleCnt="2"/>
      <dgm:spPr/>
    </dgm:pt>
    <dgm:pt modelId="{13C8A081-377E-409E-BF94-01B5D1423B08}" type="pres">
      <dgm:prSet presAssocID="{25EFA996-6DE5-4CD8-B8F5-46A8102F3F56}" presName="connectorText" presStyleLbl="sibTrans2D1" presStyleIdx="0" presStyleCnt="2"/>
      <dgm:spPr/>
    </dgm:pt>
    <dgm:pt modelId="{70808C02-0D88-468E-AF52-6B6E91E08E23}" type="pres">
      <dgm:prSet presAssocID="{D681B1D8-A499-4C5E-BFE1-DE7A8D453F16}" presName="node" presStyleLbl="node1" presStyleIdx="1" presStyleCnt="3">
        <dgm:presLayoutVars>
          <dgm:bulletEnabled val="1"/>
        </dgm:presLayoutVars>
      </dgm:prSet>
      <dgm:spPr/>
    </dgm:pt>
    <dgm:pt modelId="{5AF23756-08AE-4664-ADB2-AEB63E1E32CF}" type="pres">
      <dgm:prSet presAssocID="{6DC93835-D5DD-44E4-94ED-94382EEE62EC}" presName="sibTrans" presStyleLbl="sibTrans2D1" presStyleIdx="1" presStyleCnt="2"/>
      <dgm:spPr/>
    </dgm:pt>
    <dgm:pt modelId="{D1DD102E-2C63-410F-B905-B75CF95C6744}" type="pres">
      <dgm:prSet presAssocID="{6DC93835-D5DD-44E4-94ED-94382EEE62EC}" presName="connectorText" presStyleLbl="sibTrans2D1" presStyleIdx="1" presStyleCnt="2"/>
      <dgm:spPr/>
    </dgm:pt>
    <dgm:pt modelId="{45F72B75-A929-4B21-B7A1-F34926585D63}" type="pres">
      <dgm:prSet presAssocID="{DF858122-67FF-429C-9496-11D541CB8CB5}" presName="node" presStyleLbl="node1" presStyleIdx="2" presStyleCnt="3">
        <dgm:presLayoutVars>
          <dgm:bulletEnabled val="1"/>
        </dgm:presLayoutVars>
      </dgm:prSet>
      <dgm:spPr/>
    </dgm:pt>
  </dgm:ptLst>
  <dgm:cxnLst>
    <dgm:cxn modelId="{C2C01D0A-FA88-4041-8986-39C3C6400150}" type="presOf" srcId="{DF858122-67FF-429C-9496-11D541CB8CB5}" destId="{45F72B75-A929-4B21-B7A1-F34926585D63}" srcOrd="0" destOrd="0" presId="urn:microsoft.com/office/officeart/2005/8/layout/process2"/>
    <dgm:cxn modelId="{BCAC9D16-E87E-47C0-AE8C-4DADC105C58F}" type="presOf" srcId="{6DC93835-D5DD-44E4-94ED-94382EEE62EC}" destId="{D1DD102E-2C63-410F-B905-B75CF95C6744}" srcOrd="1" destOrd="0" presId="urn:microsoft.com/office/officeart/2005/8/layout/process2"/>
    <dgm:cxn modelId="{4D57542A-6E24-47B8-A21F-759ACFCE38F5}" srcId="{FC8F6336-549B-4B3A-961B-42ADBBE2846D}" destId="{DF858122-67FF-429C-9496-11D541CB8CB5}" srcOrd="2" destOrd="0" parTransId="{EE0E2819-72AC-4CD2-A6BF-7FCEBC00D109}" sibTransId="{D164BD83-2D57-417E-BCA5-D71AE1412753}"/>
    <dgm:cxn modelId="{B1E91942-2D32-4F07-94FD-E0AEF643D46E}" srcId="{FC8F6336-549B-4B3A-961B-42ADBBE2846D}" destId="{06E7ACE5-270D-4FC6-8C2B-0CEB09F6E01C}" srcOrd="0" destOrd="0" parTransId="{B99AEF33-CB74-4635-B0C1-2B6332ADC0FC}" sibTransId="{25EFA996-6DE5-4CD8-B8F5-46A8102F3F56}"/>
    <dgm:cxn modelId="{05B9C768-C2A7-4263-B93F-1450A714089F}" type="presOf" srcId="{D681B1D8-A499-4C5E-BFE1-DE7A8D453F16}" destId="{70808C02-0D88-468E-AF52-6B6E91E08E23}" srcOrd="0" destOrd="0" presId="urn:microsoft.com/office/officeart/2005/8/layout/process2"/>
    <dgm:cxn modelId="{3E84E675-E91D-4A5E-BB47-87A843EC61D3}" srcId="{FC8F6336-549B-4B3A-961B-42ADBBE2846D}" destId="{D681B1D8-A499-4C5E-BFE1-DE7A8D453F16}" srcOrd="1" destOrd="0" parTransId="{9D7A73A5-9693-4E50-BCDD-019AD42E29B3}" sibTransId="{6DC93835-D5DD-44E4-94ED-94382EEE62EC}"/>
    <dgm:cxn modelId="{A752A956-8C21-49E7-A6A6-D6C52D459FE8}" type="presOf" srcId="{25EFA996-6DE5-4CD8-B8F5-46A8102F3F56}" destId="{13C8A081-377E-409E-BF94-01B5D1423B08}" srcOrd="1" destOrd="0" presId="urn:microsoft.com/office/officeart/2005/8/layout/process2"/>
    <dgm:cxn modelId="{FB9E0BA9-B499-4852-9FAE-566FB764B0D0}" type="presOf" srcId="{06E7ACE5-270D-4FC6-8C2B-0CEB09F6E01C}" destId="{B13E750F-0819-4EB3-B94D-EE3E50995EB8}" srcOrd="0" destOrd="0" presId="urn:microsoft.com/office/officeart/2005/8/layout/process2"/>
    <dgm:cxn modelId="{8FCCB8AE-16F9-486D-BA89-1E9AAAD2F212}" type="presOf" srcId="{FC8F6336-549B-4B3A-961B-42ADBBE2846D}" destId="{19AB3F8B-34F7-491B-808B-C8D67B405C00}" srcOrd="0" destOrd="0" presId="urn:microsoft.com/office/officeart/2005/8/layout/process2"/>
    <dgm:cxn modelId="{D60FDFB8-C61A-4B35-868B-299B514A8830}" type="presOf" srcId="{25EFA996-6DE5-4CD8-B8F5-46A8102F3F56}" destId="{7C5A8763-6ED3-4990-874B-767193DF0DD5}" srcOrd="0" destOrd="0" presId="urn:microsoft.com/office/officeart/2005/8/layout/process2"/>
    <dgm:cxn modelId="{649788DA-F58A-4797-B1F8-B192129157E3}" type="presOf" srcId="{6DC93835-D5DD-44E4-94ED-94382EEE62EC}" destId="{5AF23756-08AE-4664-ADB2-AEB63E1E32CF}" srcOrd="0" destOrd="0" presId="urn:microsoft.com/office/officeart/2005/8/layout/process2"/>
    <dgm:cxn modelId="{27B3BE84-AEAD-4A46-B5D1-3553FD14882B}" type="presParOf" srcId="{19AB3F8B-34F7-491B-808B-C8D67B405C00}" destId="{B13E750F-0819-4EB3-B94D-EE3E50995EB8}" srcOrd="0" destOrd="0" presId="urn:microsoft.com/office/officeart/2005/8/layout/process2"/>
    <dgm:cxn modelId="{0FB20BE3-F4AE-4B84-96CA-C3BF4415E86A}" type="presParOf" srcId="{19AB3F8B-34F7-491B-808B-C8D67B405C00}" destId="{7C5A8763-6ED3-4990-874B-767193DF0DD5}" srcOrd="1" destOrd="0" presId="urn:microsoft.com/office/officeart/2005/8/layout/process2"/>
    <dgm:cxn modelId="{4F5E8AD4-3C50-4D34-96EA-6E7AFE1BFDC1}" type="presParOf" srcId="{7C5A8763-6ED3-4990-874B-767193DF0DD5}" destId="{13C8A081-377E-409E-BF94-01B5D1423B08}" srcOrd="0" destOrd="0" presId="urn:microsoft.com/office/officeart/2005/8/layout/process2"/>
    <dgm:cxn modelId="{3C573FC5-C0E9-422D-AA63-2A69F92575F7}" type="presParOf" srcId="{19AB3F8B-34F7-491B-808B-C8D67B405C00}" destId="{70808C02-0D88-468E-AF52-6B6E91E08E23}" srcOrd="2" destOrd="0" presId="urn:microsoft.com/office/officeart/2005/8/layout/process2"/>
    <dgm:cxn modelId="{4356E5AF-E667-44A0-A711-59372D106E1D}" type="presParOf" srcId="{19AB3F8B-34F7-491B-808B-C8D67B405C00}" destId="{5AF23756-08AE-4664-ADB2-AEB63E1E32CF}" srcOrd="3" destOrd="0" presId="urn:microsoft.com/office/officeart/2005/8/layout/process2"/>
    <dgm:cxn modelId="{6B4E070D-4DCE-4F58-9BA8-1E5A580AB5BF}" type="presParOf" srcId="{5AF23756-08AE-4664-ADB2-AEB63E1E32CF}" destId="{D1DD102E-2C63-410F-B905-B75CF95C6744}" srcOrd="0" destOrd="0" presId="urn:microsoft.com/office/officeart/2005/8/layout/process2"/>
    <dgm:cxn modelId="{9C4DE525-4517-4ED1-84A5-58C347154E82}" type="presParOf" srcId="{19AB3F8B-34F7-491B-808B-C8D67B405C00}" destId="{45F72B75-A929-4B21-B7A1-F34926585D63}" srcOrd="4" destOrd="0" presId="urn:microsoft.com/office/officeart/2005/8/layout/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25B680E-4D42-426A-8539-0BD79A9884C5}"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es-ES"/>
        </a:p>
      </dgm:t>
    </dgm:pt>
    <dgm:pt modelId="{70E060F1-30AA-4A78-84F1-D2F5096744F1}">
      <dgm:prSet phldrT="[Texto]" custT="1"/>
      <dgm:spPr/>
      <dgm:t>
        <a:bodyPr/>
        <a:lstStyle/>
        <a:p>
          <a:pPr algn="ctr"/>
          <a:r>
            <a:rPr lang="es-ES" sz="800">
              <a:latin typeface="+mn-lt"/>
              <a:cs typeface="Times New Roman" panose="02020603050405020304" pitchFamily="18" charset="0"/>
            </a:rPr>
            <a:t>Definición tema y pregunta de investigación</a:t>
          </a:r>
        </a:p>
      </dgm:t>
    </dgm:pt>
    <dgm:pt modelId="{0703AE7E-EF3E-4950-92E3-6C1A9576641C}" type="parTrans" cxnId="{901D551D-4044-43BB-BE84-5B32E8481DDD}">
      <dgm:prSet/>
      <dgm:spPr/>
      <dgm:t>
        <a:bodyPr/>
        <a:lstStyle/>
        <a:p>
          <a:pPr algn="ctr"/>
          <a:endParaRPr lang="es-ES" sz="800">
            <a:latin typeface="+mn-lt"/>
            <a:cs typeface="Times New Roman" panose="02020603050405020304" pitchFamily="18" charset="0"/>
          </a:endParaRPr>
        </a:p>
      </dgm:t>
    </dgm:pt>
    <dgm:pt modelId="{EF93D860-A2B7-4E11-B262-7EF90E6AB90E}" type="sibTrans" cxnId="{901D551D-4044-43BB-BE84-5B32E8481DDD}">
      <dgm:prSet custT="1"/>
      <dgm:spPr/>
      <dgm:t>
        <a:bodyPr/>
        <a:lstStyle/>
        <a:p>
          <a:pPr algn="ctr"/>
          <a:endParaRPr lang="es-ES" sz="800">
            <a:latin typeface="+mn-lt"/>
            <a:cs typeface="Times New Roman" panose="02020603050405020304" pitchFamily="18" charset="0"/>
          </a:endParaRPr>
        </a:p>
      </dgm:t>
    </dgm:pt>
    <dgm:pt modelId="{76EBB89F-499A-494D-B912-8EB6E46DCAC5}">
      <dgm:prSet phldrT="[Texto]" custT="1"/>
      <dgm:spPr/>
      <dgm:t>
        <a:bodyPr/>
        <a:lstStyle/>
        <a:p>
          <a:pPr algn="ctr"/>
          <a:r>
            <a:rPr lang="es-ES" sz="800">
              <a:latin typeface="+mn-lt"/>
              <a:cs typeface="Times New Roman" panose="02020603050405020304" pitchFamily="18" charset="0"/>
            </a:rPr>
            <a:t>Identificación de terminos clave</a:t>
          </a:r>
        </a:p>
      </dgm:t>
    </dgm:pt>
    <dgm:pt modelId="{96D9260C-BD07-400F-955B-AFB8EC49DB7E}" type="parTrans" cxnId="{7EDF6F3B-C470-40C2-9DCF-A943BD78B446}">
      <dgm:prSet/>
      <dgm:spPr/>
      <dgm:t>
        <a:bodyPr/>
        <a:lstStyle/>
        <a:p>
          <a:pPr algn="ctr"/>
          <a:endParaRPr lang="es-ES" sz="800">
            <a:latin typeface="+mn-lt"/>
            <a:cs typeface="Times New Roman" panose="02020603050405020304" pitchFamily="18" charset="0"/>
          </a:endParaRPr>
        </a:p>
      </dgm:t>
    </dgm:pt>
    <dgm:pt modelId="{833152EC-3D89-4CAF-9313-CF47E2EA87C5}" type="sibTrans" cxnId="{7EDF6F3B-C470-40C2-9DCF-A943BD78B446}">
      <dgm:prSet custT="1"/>
      <dgm:spPr/>
      <dgm:t>
        <a:bodyPr/>
        <a:lstStyle/>
        <a:p>
          <a:pPr algn="ctr"/>
          <a:endParaRPr lang="es-ES" sz="800">
            <a:latin typeface="+mn-lt"/>
            <a:cs typeface="Times New Roman" panose="02020603050405020304" pitchFamily="18" charset="0"/>
          </a:endParaRPr>
        </a:p>
      </dgm:t>
    </dgm:pt>
    <dgm:pt modelId="{B2167917-586C-4758-8EC5-C9A41CEAC481}">
      <dgm:prSet phldrT="[Texto]" custT="1"/>
      <dgm:spPr/>
      <dgm:t>
        <a:bodyPr/>
        <a:lstStyle/>
        <a:p>
          <a:pPr algn="ctr"/>
          <a:r>
            <a:rPr lang="es-ES" sz="800">
              <a:latin typeface="+mn-lt"/>
              <a:cs typeface="Times New Roman" panose="02020603050405020304" pitchFamily="18" charset="0"/>
            </a:rPr>
            <a:t>Selección de base de datos</a:t>
          </a:r>
        </a:p>
      </dgm:t>
    </dgm:pt>
    <dgm:pt modelId="{84EB1719-8C3E-41B6-BF7E-CAE0B62ADD25}" type="parTrans" cxnId="{AA9575B5-E494-40BE-8302-A7239AFE47F5}">
      <dgm:prSet/>
      <dgm:spPr/>
      <dgm:t>
        <a:bodyPr/>
        <a:lstStyle/>
        <a:p>
          <a:pPr algn="ctr"/>
          <a:endParaRPr lang="es-ES" sz="800">
            <a:latin typeface="+mn-lt"/>
            <a:cs typeface="Times New Roman" panose="02020603050405020304" pitchFamily="18" charset="0"/>
          </a:endParaRPr>
        </a:p>
      </dgm:t>
    </dgm:pt>
    <dgm:pt modelId="{E5D519E5-3629-4DC8-BC92-6C0DB72876C8}" type="sibTrans" cxnId="{AA9575B5-E494-40BE-8302-A7239AFE47F5}">
      <dgm:prSet custT="1"/>
      <dgm:spPr/>
      <dgm:t>
        <a:bodyPr/>
        <a:lstStyle/>
        <a:p>
          <a:pPr algn="ctr"/>
          <a:endParaRPr lang="es-ES" sz="800">
            <a:latin typeface="+mn-lt"/>
            <a:cs typeface="Times New Roman" panose="02020603050405020304" pitchFamily="18" charset="0"/>
          </a:endParaRPr>
        </a:p>
      </dgm:t>
    </dgm:pt>
    <dgm:pt modelId="{098FB426-722B-45F8-9969-97E63373A9D4}">
      <dgm:prSet phldrT="[Texto]" custT="1"/>
      <dgm:spPr/>
      <dgm:t>
        <a:bodyPr/>
        <a:lstStyle/>
        <a:p>
          <a:pPr algn="ctr"/>
          <a:r>
            <a:rPr lang="es-ES" sz="800">
              <a:latin typeface="+mn-lt"/>
              <a:cs typeface="Times New Roman" panose="02020603050405020304" pitchFamily="18" charset="0"/>
            </a:rPr>
            <a:t>Desarrollo de estrategias de busqueda</a:t>
          </a:r>
        </a:p>
      </dgm:t>
    </dgm:pt>
    <dgm:pt modelId="{212C355A-4FCD-4E95-AAEB-E27E48C00179}" type="parTrans" cxnId="{984286D3-37A6-4549-85C2-9A03A1B43D83}">
      <dgm:prSet/>
      <dgm:spPr/>
      <dgm:t>
        <a:bodyPr/>
        <a:lstStyle/>
        <a:p>
          <a:pPr algn="ctr"/>
          <a:endParaRPr lang="es-ES" sz="800">
            <a:latin typeface="+mn-lt"/>
            <a:cs typeface="Times New Roman" panose="02020603050405020304" pitchFamily="18" charset="0"/>
          </a:endParaRPr>
        </a:p>
      </dgm:t>
    </dgm:pt>
    <dgm:pt modelId="{60EF57B0-9096-4D66-B6BA-BA02BBF100F6}" type="sibTrans" cxnId="{984286D3-37A6-4549-85C2-9A03A1B43D83}">
      <dgm:prSet custT="1"/>
      <dgm:spPr/>
      <dgm:t>
        <a:bodyPr/>
        <a:lstStyle/>
        <a:p>
          <a:pPr algn="ctr"/>
          <a:endParaRPr lang="es-ES" sz="800">
            <a:latin typeface="+mn-lt"/>
            <a:cs typeface="Times New Roman" panose="02020603050405020304" pitchFamily="18" charset="0"/>
          </a:endParaRPr>
        </a:p>
      </dgm:t>
    </dgm:pt>
    <dgm:pt modelId="{C2EB8FEF-660A-4503-A7D2-DBC24CF7542E}">
      <dgm:prSet phldrT="[Texto]" custT="1"/>
      <dgm:spPr/>
      <dgm:t>
        <a:bodyPr/>
        <a:lstStyle/>
        <a:p>
          <a:pPr algn="ctr"/>
          <a:r>
            <a:rPr lang="es-ES" sz="800">
              <a:latin typeface="+mn-lt"/>
              <a:cs typeface="Times New Roman" panose="02020603050405020304" pitchFamily="18" charset="0"/>
            </a:rPr>
            <a:t>Filtrado de la literatura</a:t>
          </a:r>
        </a:p>
      </dgm:t>
    </dgm:pt>
    <dgm:pt modelId="{0A2B13DB-90CA-40C5-B62C-562BE97213B2}" type="parTrans" cxnId="{6EA3E90C-1B78-4C57-AF65-2368757339C6}">
      <dgm:prSet/>
      <dgm:spPr/>
      <dgm:t>
        <a:bodyPr/>
        <a:lstStyle/>
        <a:p>
          <a:pPr algn="ctr"/>
          <a:endParaRPr lang="es-ES" sz="800">
            <a:latin typeface="+mn-lt"/>
            <a:cs typeface="Times New Roman" panose="02020603050405020304" pitchFamily="18" charset="0"/>
          </a:endParaRPr>
        </a:p>
      </dgm:t>
    </dgm:pt>
    <dgm:pt modelId="{26920D2B-50F9-4F40-AF97-158DCD22B11C}" type="sibTrans" cxnId="{6EA3E90C-1B78-4C57-AF65-2368757339C6}">
      <dgm:prSet custT="1"/>
      <dgm:spPr/>
      <dgm:t>
        <a:bodyPr/>
        <a:lstStyle/>
        <a:p>
          <a:pPr algn="ctr"/>
          <a:endParaRPr lang="es-ES" sz="800">
            <a:latin typeface="+mn-lt"/>
            <a:cs typeface="Times New Roman" panose="02020603050405020304" pitchFamily="18" charset="0"/>
          </a:endParaRPr>
        </a:p>
      </dgm:t>
    </dgm:pt>
    <dgm:pt modelId="{AFEAEF56-EAC7-466F-9017-7A0B6C3563B7}">
      <dgm:prSet phldrT="[Texto]" custT="1"/>
      <dgm:spPr/>
      <dgm:t>
        <a:bodyPr/>
        <a:lstStyle/>
        <a:p>
          <a:pPr algn="ctr"/>
          <a:r>
            <a:rPr lang="es-ES" sz="800">
              <a:latin typeface="+mn-lt"/>
              <a:cs typeface="Times New Roman" panose="02020603050405020304" pitchFamily="18" charset="0"/>
            </a:rPr>
            <a:t>Evaluación critica</a:t>
          </a:r>
        </a:p>
      </dgm:t>
    </dgm:pt>
    <dgm:pt modelId="{9FFC4A28-9FCB-4EC3-AD75-20CB4C2E4D48}" type="parTrans" cxnId="{D30D03B9-ADD0-42AA-B804-A4139814140B}">
      <dgm:prSet/>
      <dgm:spPr/>
      <dgm:t>
        <a:bodyPr/>
        <a:lstStyle/>
        <a:p>
          <a:pPr algn="ctr"/>
          <a:endParaRPr lang="es-ES" sz="800">
            <a:latin typeface="+mn-lt"/>
            <a:cs typeface="Times New Roman" panose="02020603050405020304" pitchFamily="18" charset="0"/>
          </a:endParaRPr>
        </a:p>
      </dgm:t>
    </dgm:pt>
    <dgm:pt modelId="{072A3088-C4F4-4922-941E-2DEBB2B7E88B}" type="sibTrans" cxnId="{D30D03B9-ADD0-42AA-B804-A4139814140B}">
      <dgm:prSet custT="1"/>
      <dgm:spPr/>
      <dgm:t>
        <a:bodyPr/>
        <a:lstStyle/>
        <a:p>
          <a:pPr algn="ctr"/>
          <a:endParaRPr lang="es-ES" sz="800">
            <a:latin typeface="+mn-lt"/>
            <a:cs typeface="Times New Roman" panose="02020603050405020304" pitchFamily="18" charset="0"/>
          </a:endParaRPr>
        </a:p>
      </dgm:t>
    </dgm:pt>
    <dgm:pt modelId="{A6004AA4-0560-4321-BBEC-676AF4CB0C4F}">
      <dgm:prSet phldrT="[Texto]" custT="1"/>
      <dgm:spPr/>
      <dgm:t>
        <a:bodyPr/>
        <a:lstStyle/>
        <a:p>
          <a:pPr algn="ctr"/>
          <a:r>
            <a:rPr lang="es-ES" sz="800">
              <a:latin typeface="+mn-lt"/>
              <a:cs typeface="Times New Roman" panose="02020603050405020304" pitchFamily="18" charset="0"/>
            </a:rPr>
            <a:t>Ejecucción de la busqueda</a:t>
          </a:r>
        </a:p>
      </dgm:t>
    </dgm:pt>
    <dgm:pt modelId="{F2392F4D-58C4-4EF7-A794-73230CA6333C}" type="sibTrans" cxnId="{3F1A7F2C-71A5-44F9-8CC8-C71F41E61186}">
      <dgm:prSet custT="1"/>
      <dgm:spPr/>
      <dgm:t>
        <a:bodyPr/>
        <a:lstStyle/>
        <a:p>
          <a:pPr algn="ctr"/>
          <a:endParaRPr lang="es-ES" sz="800">
            <a:latin typeface="+mn-lt"/>
            <a:cs typeface="Times New Roman" panose="02020603050405020304" pitchFamily="18" charset="0"/>
          </a:endParaRPr>
        </a:p>
      </dgm:t>
    </dgm:pt>
    <dgm:pt modelId="{0292FFA7-CF96-45EB-BF36-988F09E6DECD}" type="parTrans" cxnId="{3F1A7F2C-71A5-44F9-8CC8-C71F41E61186}">
      <dgm:prSet/>
      <dgm:spPr/>
      <dgm:t>
        <a:bodyPr/>
        <a:lstStyle/>
        <a:p>
          <a:pPr algn="ctr"/>
          <a:endParaRPr lang="es-ES" sz="800">
            <a:latin typeface="+mn-lt"/>
            <a:cs typeface="Times New Roman" panose="02020603050405020304" pitchFamily="18" charset="0"/>
          </a:endParaRPr>
        </a:p>
      </dgm:t>
    </dgm:pt>
    <dgm:pt modelId="{A155E7C3-5B8A-45A2-A1BE-A7DA5A2B650D}" type="pres">
      <dgm:prSet presAssocID="{D25B680E-4D42-426A-8539-0BD79A9884C5}" presName="diagram" presStyleCnt="0">
        <dgm:presLayoutVars>
          <dgm:dir/>
          <dgm:resizeHandles val="exact"/>
        </dgm:presLayoutVars>
      </dgm:prSet>
      <dgm:spPr/>
    </dgm:pt>
    <dgm:pt modelId="{239CE438-1662-4946-9DA0-0FD96C7CF395}" type="pres">
      <dgm:prSet presAssocID="{70E060F1-30AA-4A78-84F1-D2F5096744F1}" presName="node" presStyleLbl="node1" presStyleIdx="0" presStyleCnt="7">
        <dgm:presLayoutVars>
          <dgm:bulletEnabled val="1"/>
        </dgm:presLayoutVars>
      </dgm:prSet>
      <dgm:spPr/>
    </dgm:pt>
    <dgm:pt modelId="{79070732-50AB-49C9-B7C4-FEC360CF85F2}" type="pres">
      <dgm:prSet presAssocID="{EF93D860-A2B7-4E11-B262-7EF90E6AB90E}" presName="sibTrans" presStyleLbl="sibTrans2D1" presStyleIdx="0" presStyleCnt="6"/>
      <dgm:spPr/>
    </dgm:pt>
    <dgm:pt modelId="{00BFA911-AC27-4EF9-BDF9-F9E5FA652100}" type="pres">
      <dgm:prSet presAssocID="{EF93D860-A2B7-4E11-B262-7EF90E6AB90E}" presName="connectorText" presStyleLbl="sibTrans2D1" presStyleIdx="0" presStyleCnt="6"/>
      <dgm:spPr/>
    </dgm:pt>
    <dgm:pt modelId="{0531141B-B4B9-4C76-96BF-DF58C66D80AA}" type="pres">
      <dgm:prSet presAssocID="{76EBB89F-499A-494D-B912-8EB6E46DCAC5}" presName="node" presStyleLbl="node1" presStyleIdx="1" presStyleCnt="7">
        <dgm:presLayoutVars>
          <dgm:bulletEnabled val="1"/>
        </dgm:presLayoutVars>
      </dgm:prSet>
      <dgm:spPr/>
    </dgm:pt>
    <dgm:pt modelId="{EB5F57B8-C443-4733-9102-3FDF3942CE65}" type="pres">
      <dgm:prSet presAssocID="{833152EC-3D89-4CAF-9313-CF47E2EA87C5}" presName="sibTrans" presStyleLbl="sibTrans2D1" presStyleIdx="1" presStyleCnt="6"/>
      <dgm:spPr/>
    </dgm:pt>
    <dgm:pt modelId="{65099830-C88F-4B8B-B237-5C4B77315CD4}" type="pres">
      <dgm:prSet presAssocID="{833152EC-3D89-4CAF-9313-CF47E2EA87C5}" presName="connectorText" presStyleLbl="sibTrans2D1" presStyleIdx="1" presStyleCnt="6"/>
      <dgm:spPr/>
    </dgm:pt>
    <dgm:pt modelId="{9A0B658E-6059-44B0-9690-3E264972A750}" type="pres">
      <dgm:prSet presAssocID="{B2167917-586C-4758-8EC5-C9A41CEAC481}" presName="node" presStyleLbl="node1" presStyleIdx="2" presStyleCnt="7">
        <dgm:presLayoutVars>
          <dgm:bulletEnabled val="1"/>
        </dgm:presLayoutVars>
      </dgm:prSet>
      <dgm:spPr/>
    </dgm:pt>
    <dgm:pt modelId="{E8ED599A-4EEE-46B8-BAE5-04164A9150F7}" type="pres">
      <dgm:prSet presAssocID="{E5D519E5-3629-4DC8-BC92-6C0DB72876C8}" presName="sibTrans" presStyleLbl="sibTrans2D1" presStyleIdx="2" presStyleCnt="6"/>
      <dgm:spPr/>
    </dgm:pt>
    <dgm:pt modelId="{C2920661-6B0B-4D56-AD7C-5E8971A520E2}" type="pres">
      <dgm:prSet presAssocID="{E5D519E5-3629-4DC8-BC92-6C0DB72876C8}" presName="connectorText" presStyleLbl="sibTrans2D1" presStyleIdx="2" presStyleCnt="6"/>
      <dgm:spPr/>
    </dgm:pt>
    <dgm:pt modelId="{81890CCD-AE8A-4391-8C79-C79439F4D41E}" type="pres">
      <dgm:prSet presAssocID="{098FB426-722B-45F8-9969-97E63373A9D4}" presName="node" presStyleLbl="node1" presStyleIdx="3" presStyleCnt="7">
        <dgm:presLayoutVars>
          <dgm:bulletEnabled val="1"/>
        </dgm:presLayoutVars>
      </dgm:prSet>
      <dgm:spPr/>
    </dgm:pt>
    <dgm:pt modelId="{19FE40FF-8E7C-419C-AC37-86BF84E70862}" type="pres">
      <dgm:prSet presAssocID="{60EF57B0-9096-4D66-B6BA-BA02BBF100F6}" presName="sibTrans" presStyleLbl="sibTrans2D1" presStyleIdx="3" presStyleCnt="6"/>
      <dgm:spPr/>
    </dgm:pt>
    <dgm:pt modelId="{BE6AEA03-3C4B-4EBE-9F13-C6640D07AB89}" type="pres">
      <dgm:prSet presAssocID="{60EF57B0-9096-4D66-B6BA-BA02BBF100F6}" presName="connectorText" presStyleLbl="sibTrans2D1" presStyleIdx="3" presStyleCnt="6"/>
      <dgm:spPr/>
    </dgm:pt>
    <dgm:pt modelId="{901841B3-EA0F-4DAF-B62C-E354F1343467}" type="pres">
      <dgm:prSet presAssocID="{A6004AA4-0560-4321-BBEC-676AF4CB0C4F}" presName="node" presStyleLbl="node1" presStyleIdx="4" presStyleCnt="7">
        <dgm:presLayoutVars>
          <dgm:bulletEnabled val="1"/>
        </dgm:presLayoutVars>
      </dgm:prSet>
      <dgm:spPr/>
    </dgm:pt>
    <dgm:pt modelId="{80461D1F-6122-4DCA-A0A5-69E9D4E4F63D}" type="pres">
      <dgm:prSet presAssocID="{F2392F4D-58C4-4EF7-A794-73230CA6333C}" presName="sibTrans" presStyleLbl="sibTrans2D1" presStyleIdx="4" presStyleCnt="6"/>
      <dgm:spPr/>
    </dgm:pt>
    <dgm:pt modelId="{EDCED876-696F-4A76-A174-C55F6952E618}" type="pres">
      <dgm:prSet presAssocID="{F2392F4D-58C4-4EF7-A794-73230CA6333C}" presName="connectorText" presStyleLbl="sibTrans2D1" presStyleIdx="4" presStyleCnt="6"/>
      <dgm:spPr/>
    </dgm:pt>
    <dgm:pt modelId="{9F50EE17-19AC-4286-A719-C4B6CB7DE6F7}" type="pres">
      <dgm:prSet presAssocID="{C2EB8FEF-660A-4503-A7D2-DBC24CF7542E}" presName="node" presStyleLbl="node1" presStyleIdx="5" presStyleCnt="7">
        <dgm:presLayoutVars>
          <dgm:bulletEnabled val="1"/>
        </dgm:presLayoutVars>
      </dgm:prSet>
      <dgm:spPr/>
    </dgm:pt>
    <dgm:pt modelId="{FA538857-B411-475A-B800-CDAAB0D498C9}" type="pres">
      <dgm:prSet presAssocID="{26920D2B-50F9-4F40-AF97-158DCD22B11C}" presName="sibTrans" presStyleLbl="sibTrans2D1" presStyleIdx="5" presStyleCnt="6"/>
      <dgm:spPr/>
    </dgm:pt>
    <dgm:pt modelId="{8BB4A7FF-F295-445E-BFF3-F00BA5447E54}" type="pres">
      <dgm:prSet presAssocID="{26920D2B-50F9-4F40-AF97-158DCD22B11C}" presName="connectorText" presStyleLbl="sibTrans2D1" presStyleIdx="5" presStyleCnt="6"/>
      <dgm:spPr/>
    </dgm:pt>
    <dgm:pt modelId="{ECA29A74-D3FD-43B2-AEC7-A190CF21972C}" type="pres">
      <dgm:prSet presAssocID="{AFEAEF56-EAC7-466F-9017-7A0B6C3563B7}" presName="node" presStyleLbl="node1" presStyleIdx="6" presStyleCnt="7">
        <dgm:presLayoutVars>
          <dgm:bulletEnabled val="1"/>
        </dgm:presLayoutVars>
      </dgm:prSet>
      <dgm:spPr/>
    </dgm:pt>
  </dgm:ptLst>
  <dgm:cxnLst>
    <dgm:cxn modelId="{A03C420B-B960-4065-9FBC-E1AD35559FE4}" type="presOf" srcId="{AFEAEF56-EAC7-466F-9017-7A0B6C3563B7}" destId="{ECA29A74-D3FD-43B2-AEC7-A190CF21972C}" srcOrd="0" destOrd="0" presId="urn:microsoft.com/office/officeart/2005/8/layout/process5"/>
    <dgm:cxn modelId="{6EA3E90C-1B78-4C57-AF65-2368757339C6}" srcId="{D25B680E-4D42-426A-8539-0BD79A9884C5}" destId="{C2EB8FEF-660A-4503-A7D2-DBC24CF7542E}" srcOrd="5" destOrd="0" parTransId="{0A2B13DB-90CA-40C5-B62C-562BE97213B2}" sibTransId="{26920D2B-50F9-4F40-AF97-158DCD22B11C}"/>
    <dgm:cxn modelId="{AEE83114-A4DD-4EBC-B59D-437216FEE16F}" type="presOf" srcId="{F2392F4D-58C4-4EF7-A794-73230CA6333C}" destId="{80461D1F-6122-4DCA-A0A5-69E9D4E4F63D}" srcOrd="0" destOrd="0" presId="urn:microsoft.com/office/officeart/2005/8/layout/process5"/>
    <dgm:cxn modelId="{901D551D-4044-43BB-BE84-5B32E8481DDD}" srcId="{D25B680E-4D42-426A-8539-0BD79A9884C5}" destId="{70E060F1-30AA-4A78-84F1-D2F5096744F1}" srcOrd="0" destOrd="0" parTransId="{0703AE7E-EF3E-4950-92E3-6C1A9576641C}" sibTransId="{EF93D860-A2B7-4E11-B262-7EF90E6AB90E}"/>
    <dgm:cxn modelId="{A6A55E20-C741-4BDF-9502-C87D2E92E218}" type="presOf" srcId="{B2167917-586C-4758-8EC5-C9A41CEAC481}" destId="{9A0B658E-6059-44B0-9690-3E264972A750}" srcOrd="0" destOrd="0" presId="urn:microsoft.com/office/officeart/2005/8/layout/process5"/>
    <dgm:cxn modelId="{3F1A7F2C-71A5-44F9-8CC8-C71F41E61186}" srcId="{D25B680E-4D42-426A-8539-0BD79A9884C5}" destId="{A6004AA4-0560-4321-BBEC-676AF4CB0C4F}" srcOrd="4" destOrd="0" parTransId="{0292FFA7-CF96-45EB-BF36-988F09E6DECD}" sibTransId="{F2392F4D-58C4-4EF7-A794-73230CA6333C}"/>
    <dgm:cxn modelId="{059E832C-AE98-4C58-AB1C-6A4FC7FFE866}" type="presOf" srcId="{76EBB89F-499A-494D-B912-8EB6E46DCAC5}" destId="{0531141B-B4B9-4C76-96BF-DF58C66D80AA}" srcOrd="0" destOrd="0" presId="urn:microsoft.com/office/officeart/2005/8/layout/process5"/>
    <dgm:cxn modelId="{7EDF6F3B-C470-40C2-9DCF-A943BD78B446}" srcId="{D25B680E-4D42-426A-8539-0BD79A9884C5}" destId="{76EBB89F-499A-494D-B912-8EB6E46DCAC5}" srcOrd="1" destOrd="0" parTransId="{96D9260C-BD07-400F-955B-AFB8EC49DB7E}" sibTransId="{833152EC-3D89-4CAF-9313-CF47E2EA87C5}"/>
    <dgm:cxn modelId="{6C6AE33B-43F3-445D-B9A6-24EA35B56A9E}" type="presOf" srcId="{EF93D860-A2B7-4E11-B262-7EF90E6AB90E}" destId="{00BFA911-AC27-4EF9-BDF9-F9E5FA652100}" srcOrd="1" destOrd="0" presId="urn:microsoft.com/office/officeart/2005/8/layout/process5"/>
    <dgm:cxn modelId="{DE4A573D-4D61-412A-9128-5667EBB81518}" type="presOf" srcId="{EF93D860-A2B7-4E11-B262-7EF90E6AB90E}" destId="{79070732-50AB-49C9-B7C4-FEC360CF85F2}" srcOrd="0" destOrd="0" presId="urn:microsoft.com/office/officeart/2005/8/layout/process5"/>
    <dgm:cxn modelId="{9B4A643F-9C3E-4624-8C3C-A5F0B39F26B3}" type="presOf" srcId="{26920D2B-50F9-4F40-AF97-158DCD22B11C}" destId="{FA538857-B411-475A-B800-CDAAB0D498C9}" srcOrd="0" destOrd="0" presId="urn:microsoft.com/office/officeart/2005/8/layout/process5"/>
    <dgm:cxn modelId="{F6E8F242-4A38-445B-A136-2AB4C8C99CEA}" type="presOf" srcId="{833152EC-3D89-4CAF-9313-CF47E2EA87C5}" destId="{EB5F57B8-C443-4733-9102-3FDF3942CE65}" srcOrd="0" destOrd="0" presId="urn:microsoft.com/office/officeart/2005/8/layout/process5"/>
    <dgm:cxn modelId="{90A82768-4870-4D2A-A44C-294726F9F132}" type="presOf" srcId="{60EF57B0-9096-4D66-B6BA-BA02BBF100F6}" destId="{19FE40FF-8E7C-419C-AC37-86BF84E70862}" srcOrd="0" destOrd="0" presId="urn:microsoft.com/office/officeart/2005/8/layout/process5"/>
    <dgm:cxn modelId="{32E71771-25DE-42F4-B8A5-3190E4BD492B}" type="presOf" srcId="{60EF57B0-9096-4D66-B6BA-BA02BBF100F6}" destId="{BE6AEA03-3C4B-4EBE-9F13-C6640D07AB89}" srcOrd="1" destOrd="0" presId="urn:microsoft.com/office/officeart/2005/8/layout/process5"/>
    <dgm:cxn modelId="{CFEE2655-EBB7-464B-B198-6B34E987E171}" type="presOf" srcId="{70E060F1-30AA-4A78-84F1-D2F5096744F1}" destId="{239CE438-1662-4946-9DA0-0FD96C7CF395}" srcOrd="0" destOrd="0" presId="urn:microsoft.com/office/officeart/2005/8/layout/process5"/>
    <dgm:cxn modelId="{33B6A076-2D15-4FE1-89A1-B21C50A0AE97}" type="presOf" srcId="{833152EC-3D89-4CAF-9313-CF47E2EA87C5}" destId="{65099830-C88F-4B8B-B237-5C4B77315CD4}" srcOrd="1" destOrd="0" presId="urn:microsoft.com/office/officeart/2005/8/layout/process5"/>
    <dgm:cxn modelId="{E479B979-935C-40CC-A65F-67BB1D020408}" type="presOf" srcId="{098FB426-722B-45F8-9969-97E63373A9D4}" destId="{81890CCD-AE8A-4391-8C79-C79439F4D41E}" srcOrd="0" destOrd="0" presId="urn:microsoft.com/office/officeart/2005/8/layout/process5"/>
    <dgm:cxn modelId="{DA045D7D-BB6C-4799-AB7C-BF6E579BB810}" type="presOf" srcId="{E5D519E5-3629-4DC8-BC92-6C0DB72876C8}" destId="{E8ED599A-4EEE-46B8-BAE5-04164A9150F7}" srcOrd="0" destOrd="0" presId="urn:microsoft.com/office/officeart/2005/8/layout/process5"/>
    <dgm:cxn modelId="{7AFCA586-78C2-4376-B9E5-2715A364961B}" type="presOf" srcId="{A6004AA4-0560-4321-BBEC-676AF4CB0C4F}" destId="{901841B3-EA0F-4DAF-B62C-E354F1343467}" srcOrd="0" destOrd="0" presId="urn:microsoft.com/office/officeart/2005/8/layout/process5"/>
    <dgm:cxn modelId="{A169338F-B1D9-4DA4-A5E1-278EEB1068DE}" type="presOf" srcId="{F2392F4D-58C4-4EF7-A794-73230CA6333C}" destId="{EDCED876-696F-4A76-A174-C55F6952E618}" srcOrd="1" destOrd="0" presId="urn:microsoft.com/office/officeart/2005/8/layout/process5"/>
    <dgm:cxn modelId="{3B8B7596-C98F-4D08-9E5C-816470F42556}" type="presOf" srcId="{C2EB8FEF-660A-4503-A7D2-DBC24CF7542E}" destId="{9F50EE17-19AC-4286-A719-C4B6CB7DE6F7}" srcOrd="0" destOrd="0" presId="urn:microsoft.com/office/officeart/2005/8/layout/process5"/>
    <dgm:cxn modelId="{DA72C0B1-90BB-4CB7-A724-AB3E92CEAD3D}" type="presOf" srcId="{26920D2B-50F9-4F40-AF97-158DCD22B11C}" destId="{8BB4A7FF-F295-445E-BFF3-F00BA5447E54}" srcOrd="1" destOrd="0" presId="urn:microsoft.com/office/officeart/2005/8/layout/process5"/>
    <dgm:cxn modelId="{AA9575B5-E494-40BE-8302-A7239AFE47F5}" srcId="{D25B680E-4D42-426A-8539-0BD79A9884C5}" destId="{B2167917-586C-4758-8EC5-C9A41CEAC481}" srcOrd="2" destOrd="0" parTransId="{84EB1719-8C3E-41B6-BF7E-CAE0B62ADD25}" sibTransId="{E5D519E5-3629-4DC8-BC92-6C0DB72876C8}"/>
    <dgm:cxn modelId="{D30D03B9-ADD0-42AA-B804-A4139814140B}" srcId="{D25B680E-4D42-426A-8539-0BD79A9884C5}" destId="{AFEAEF56-EAC7-466F-9017-7A0B6C3563B7}" srcOrd="6" destOrd="0" parTransId="{9FFC4A28-9FCB-4EC3-AD75-20CB4C2E4D48}" sibTransId="{072A3088-C4F4-4922-941E-2DEBB2B7E88B}"/>
    <dgm:cxn modelId="{66974DBC-FF3A-4D25-B6ED-FD7379A50C42}" type="presOf" srcId="{E5D519E5-3629-4DC8-BC92-6C0DB72876C8}" destId="{C2920661-6B0B-4D56-AD7C-5E8971A520E2}" srcOrd="1" destOrd="0" presId="urn:microsoft.com/office/officeart/2005/8/layout/process5"/>
    <dgm:cxn modelId="{984286D3-37A6-4549-85C2-9A03A1B43D83}" srcId="{D25B680E-4D42-426A-8539-0BD79A9884C5}" destId="{098FB426-722B-45F8-9969-97E63373A9D4}" srcOrd="3" destOrd="0" parTransId="{212C355A-4FCD-4E95-AAEB-E27E48C00179}" sibTransId="{60EF57B0-9096-4D66-B6BA-BA02BBF100F6}"/>
    <dgm:cxn modelId="{8C6330E3-7DEC-4487-8134-1E20A382B490}" type="presOf" srcId="{D25B680E-4D42-426A-8539-0BD79A9884C5}" destId="{A155E7C3-5B8A-45A2-A1BE-A7DA5A2B650D}" srcOrd="0" destOrd="0" presId="urn:microsoft.com/office/officeart/2005/8/layout/process5"/>
    <dgm:cxn modelId="{D8E82DC9-087A-410A-BE9D-D4018C6EE49E}" type="presParOf" srcId="{A155E7C3-5B8A-45A2-A1BE-A7DA5A2B650D}" destId="{239CE438-1662-4946-9DA0-0FD96C7CF395}" srcOrd="0" destOrd="0" presId="urn:microsoft.com/office/officeart/2005/8/layout/process5"/>
    <dgm:cxn modelId="{29EC6186-6277-44CA-AA5F-6EAD94B10AAF}" type="presParOf" srcId="{A155E7C3-5B8A-45A2-A1BE-A7DA5A2B650D}" destId="{79070732-50AB-49C9-B7C4-FEC360CF85F2}" srcOrd="1" destOrd="0" presId="urn:microsoft.com/office/officeart/2005/8/layout/process5"/>
    <dgm:cxn modelId="{D5301B7A-D190-4EF6-A345-C814C6356BCF}" type="presParOf" srcId="{79070732-50AB-49C9-B7C4-FEC360CF85F2}" destId="{00BFA911-AC27-4EF9-BDF9-F9E5FA652100}" srcOrd="0" destOrd="0" presId="urn:microsoft.com/office/officeart/2005/8/layout/process5"/>
    <dgm:cxn modelId="{8929B460-99E5-4225-95EF-3F3B0368F255}" type="presParOf" srcId="{A155E7C3-5B8A-45A2-A1BE-A7DA5A2B650D}" destId="{0531141B-B4B9-4C76-96BF-DF58C66D80AA}" srcOrd="2" destOrd="0" presId="urn:microsoft.com/office/officeart/2005/8/layout/process5"/>
    <dgm:cxn modelId="{2858BA0C-1F9B-472C-9042-8EC24F821618}" type="presParOf" srcId="{A155E7C3-5B8A-45A2-A1BE-A7DA5A2B650D}" destId="{EB5F57B8-C443-4733-9102-3FDF3942CE65}" srcOrd="3" destOrd="0" presId="urn:microsoft.com/office/officeart/2005/8/layout/process5"/>
    <dgm:cxn modelId="{39D53ACD-60FE-49EA-A193-04FF4B565575}" type="presParOf" srcId="{EB5F57B8-C443-4733-9102-3FDF3942CE65}" destId="{65099830-C88F-4B8B-B237-5C4B77315CD4}" srcOrd="0" destOrd="0" presId="urn:microsoft.com/office/officeart/2005/8/layout/process5"/>
    <dgm:cxn modelId="{FB766C5B-C30A-4BCD-8AC5-8D5D586D81CE}" type="presParOf" srcId="{A155E7C3-5B8A-45A2-A1BE-A7DA5A2B650D}" destId="{9A0B658E-6059-44B0-9690-3E264972A750}" srcOrd="4" destOrd="0" presId="urn:microsoft.com/office/officeart/2005/8/layout/process5"/>
    <dgm:cxn modelId="{7FF35CA6-C83B-43DE-BF8F-8962C2B32D5E}" type="presParOf" srcId="{A155E7C3-5B8A-45A2-A1BE-A7DA5A2B650D}" destId="{E8ED599A-4EEE-46B8-BAE5-04164A9150F7}" srcOrd="5" destOrd="0" presId="urn:microsoft.com/office/officeart/2005/8/layout/process5"/>
    <dgm:cxn modelId="{7AEE8AB9-C023-4A36-8FB5-86B929FDB602}" type="presParOf" srcId="{E8ED599A-4EEE-46B8-BAE5-04164A9150F7}" destId="{C2920661-6B0B-4D56-AD7C-5E8971A520E2}" srcOrd="0" destOrd="0" presId="urn:microsoft.com/office/officeart/2005/8/layout/process5"/>
    <dgm:cxn modelId="{092DCDAE-F657-4F50-8D06-7C2F14C39885}" type="presParOf" srcId="{A155E7C3-5B8A-45A2-A1BE-A7DA5A2B650D}" destId="{81890CCD-AE8A-4391-8C79-C79439F4D41E}" srcOrd="6" destOrd="0" presId="urn:microsoft.com/office/officeart/2005/8/layout/process5"/>
    <dgm:cxn modelId="{048A9875-BF9D-4233-A540-A81DC6FD166E}" type="presParOf" srcId="{A155E7C3-5B8A-45A2-A1BE-A7DA5A2B650D}" destId="{19FE40FF-8E7C-419C-AC37-86BF84E70862}" srcOrd="7" destOrd="0" presId="urn:microsoft.com/office/officeart/2005/8/layout/process5"/>
    <dgm:cxn modelId="{3C583D4F-ADA8-4060-9A31-03FC7F2957F7}" type="presParOf" srcId="{19FE40FF-8E7C-419C-AC37-86BF84E70862}" destId="{BE6AEA03-3C4B-4EBE-9F13-C6640D07AB89}" srcOrd="0" destOrd="0" presId="urn:microsoft.com/office/officeart/2005/8/layout/process5"/>
    <dgm:cxn modelId="{74919E90-7C1D-42BF-B3C0-F1FEAC387BAF}" type="presParOf" srcId="{A155E7C3-5B8A-45A2-A1BE-A7DA5A2B650D}" destId="{901841B3-EA0F-4DAF-B62C-E354F1343467}" srcOrd="8" destOrd="0" presId="urn:microsoft.com/office/officeart/2005/8/layout/process5"/>
    <dgm:cxn modelId="{F1A27EC2-5D58-49D2-8011-B6F982C0C264}" type="presParOf" srcId="{A155E7C3-5B8A-45A2-A1BE-A7DA5A2B650D}" destId="{80461D1F-6122-4DCA-A0A5-69E9D4E4F63D}" srcOrd="9" destOrd="0" presId="urn:microsoft.com/office/officeart/2005/8/layout/process5"/>
    <dgm:cxn modelId="{B39E863A-F558-4FA9-9402-5772DBE37348}" type="presParOf" srcId="{80461D1F-6122-4DCA-A0A5-69E9D4E4F63D}" destId="{EDCED876-696F-4A76-A174-C55F6952E618}" srcOrd="0" destOrd="0" presId="urn:microsoft.com/office/officeart/2005/8/layout/process5"/>
    <dgm:cxn modelId="{D3F568B6-3D7D-4A5B-879C-8D34DFB2780A}" type="presParOf" srcId="{A155E7C3-5B8A-45A2-A1BE-A7DA5A2B650D}" destId="{9F50EE17-19AC-4286-A719-C4B6CB7DE6F7}" srcOrd="10" destOrd="0" presId="urn:microsoft.com/office/officeart/2005/8/layout/process5"/>
    <dgm:cxn modelId="{14A8DF6E-B06A-4D8F-8F5C-2023A28FC853}" type="presParOf" srcId="{A155E7C3-5B8A-45A2-A1BE-A7DA5A2B650D}" destId="{FA538857-B411-475A-B800-CDAAB0D498C9}" srcOrd="11" destOrd="0" presId="urn:microsoft.com/office/officeart/2005/8/layout/process5"/>
    <dgm:cxn modelId="{F0AB1B8E-A343-472C-9B5F-0D949F9249AC}" type="presParOf" srcId="{FA538857-B411-475A-B800-CDAAB0D498C9}" destId="{8BB4A7FF-F295-445E-BFF3-F00BA5447E54}" srcOrd="0" destOrd="0" presId="urn:microsoft.com/office/officeart/2005/8/layout/process5"/>
    <dgm:cxn modelId="{390949CC-156C-407B-82B9-C1348FCE5EBC}" type="presParOf" srcId="{A155E7C3-5B8A-45A2-A1BE-A7DA5A2B650D}" destId="{ECA29A74-D3FD-43B2-AEC7-A190CF21972C}" srcOrd="12" destOrd="0" presId="urn:microsoft.com/office/officeart/2005/8/layout/process5"/>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3E750F-0819-4EB3-B94D-EE3E50995EB8}">
      <dsp:nvSpPr>
        <dsp:cNvPr id="0" name=""/>
        <dsp:cNvSpPr/>
      </dsp:nvSpPr>
      <dsp:spPr>
        <a:xfrm>
          <a:off x="693949" y="0"/>
          <a:ext cx="1667148" cy="4387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kern="1200">
              <a:latin typeface="+mn-lt"/>
            </a:rPr>
            <a:t>Revisión Bibliografica</a:t>
          </a:r>
        </a:p>
      </dsp:txBody>
      <dsp:txXfrm>
        <a:off x="706798" y="12849"/>
        <a:ext cx="1641450" cy="413002"/>
      </dsp:txXfrm>
    </dsp:sp>
    <dsp:sp modelId="{7C5A8763-6ED3-4990-874B-767193DF0DD5}">
      <dsp:nvSpPr>
        <dsp:cNvPr id="0" name=""/>
        <dsp:cNvSpPr/>
      </dsp:nvSpPr>
      <dsp:spPr>
        <a:xfrm rot="5400000">
          <a:off x="1445267" y="449668"/>
          <a:ext cx="164512" cy="19741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p>
      </dsp:txBody>
      <dsp:txXfrm rot="-5400000">
        <a:off x="1468299" y="466119"/>
        <a:ext cx="118449" cy="115158"/>
      </dsp:txXfrm>
    </dsp:sp>
    <dsp:sp modelId="{70808C02-0D88-468E-AF52-6B6E91E08E23}">
      <dsp:nvSpPr>
        <dsp:cNvPr id="0" name=""/>
        <dsp:cNvSpPr/>
      </dsp:nvSpPr>
      <dsp:spPr>
        <a:xfrm>
          <a:off x="693949" y="658051"/>
          <a:ext cx="1667148" cy="4387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kern="1200">
              <a:latin typeface="+mn-lt"/>
            </a:rPr>
            <a:t>Identificación y clasificación de metodologías </a:t>
          </a:r>
        </a:p>
      </dsp:txBody>
      <dsp:txXfrm>
        <a:off x="706798" y="670900"/>
        <a:ext cx="1641450" cy="413002"/>
      </dsp:txXfrm>
    </dsp:sp>
    <dsp:sp modelId="{5AF23756-08AE-4664-ADB2-AEB63E1E32CF}">
      <dsp:nvSpPr>
        <dsp:cNvPr id="0" name=""/>
        <dsp:cNvSpPr/>
      </dsp:nvSpPr>
      <dsp:spPr>
        <a:xfrm rot="5400000">
          <a:off x="1445267" y="1107719"/>
          <a:ext cx="164512" cy="19741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p>
      </dsp:txBody>
      <dsp:txXfrm rot="-5400000">
        <a:off x="1468299" y="1124170"/>
        <a:ext cx="118449" cy="115158"/>
      </dsp:txXfrm>
    </dsp:sp>
    <dsp:sp modelId="{45F72B75-A929-4B21-B7A1-F34926585D63}">
      <dsp:nvSpPr>
        <dsp:cNvPr id="0" name=""/>
        <dsp:cNvSpPr/>
      </dsp:nvSpPr>
      <dsp:spPr>
        <a:xfrm>
          <a:off x="693949" y="1316102"/>
          <a:ext cx="1667148" cy="4387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kern="1200">
              <a:latin typeface="+mn-lt"/>
            </a:rPr>
            <a:t>Análisis de beneficios y limitaciones</a:t>
          </a:r>
        </a:p>
      </dsp:txBody>
      <dsp:txXfrm>
        <a:off x="706798" y="1328951"/>
        <a:ext cx="1641450" cy="4130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9CE438-1662-4946-9DA0-0FD96C7CF395}">
      <dsp:nvSpPr>
        <dsp:cNvPr id="0" name=""/>
        <dsp:cNvSpPr/>
      </dsp:nvSpPr>
      <dsp:spPr>
        <a:xfrm>
          <a:off x="2526" y="67674"/>
          <a:ext cx="755005" cy="45300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latin typeface="+mn-lt"/>
              <a:cs typeface="Times New Roman" panose="02020603050405020304" pitchFamily="18" charset="0"/>
            </a:rPr>
            <a:t>Definición tema y pregunta de investigación</a:t>
          </a:r>
        </a:p>
      </dsp:txBody>
      <dsp:txXfrm>
        <a:off x="15794" y="80942"/>
        <a:ext cx="728469" cy="426467"/>
      </dsp:txXfrm>
    </dsp:sp>
    <dsp:sp modelId="{79070732-50AB-49C9-B7C4-FEC360CF85F2}">
      <dsp:nvSpPr>
        <dsp:cNvPr id="0" name=""/>
        <dsp:cNvSpPr/>
      </dsp:nvSpPr>
      <dsp:spPr>
        <a:xfrm>
          <a:off x="823972" y="200555"/>
          <a:ext cx="160061" cy="18724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latin typeface="+mn-lt"/>
            <a:cs typeface="Times New Roman" panose="02020603050405020304" pitchFamily="18" charset="0"/>
          </a:endParaRPr>
        </a:p>
      </dsp:txBody>
      <dsp:txXfrm>
        <a:off x="823972" y="238003"/>
        <a:ext cx="112043" cy="112345"/>
      </dsp:txXfrm>
    </dsp:sp>
    <dsp:sp modelId="{0531141B-B4B9-4C76-96BF-DF58C66D80AA}">
      <dsp:nvSpPr>
        <dsp:cNvPr id="0" name=""/>
        <dsp:cNvSpPr/>
      </dsp:nvSpPr>
      <dsp:spPr>
        <a:xfrm>
          <a:off x="1059533" y="67674"/>
          <a:ext cx="755005" cy="45300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latin typeface="+mn-lt"/>
              <a:cs typeface="Times New Roman" panose="02020603050405020304" pitchFamily="18" charset="0"/>
            </a:rPr>
            <a:t>Identificación de terminos clave</a:t>
          </a:r>
        </a:p>
      </dsp:txBody>
      <dsp:txXfrm>
        <a:off x="1072801" y="80942"/>
        <a:ext cx="728469" cy="426467"/>
      </dsp:txXfrm>
    </dsp:sp>
    <dsp:sp modelId="{EB5F57B8-C443-4733-9102-3FDF3942CE65}">
      <dsp:nvSpPr>
        <dsp:cNvPr id="0" name=""/>
        <dsp:cNvSpPr/>
      </dsp:nvSpPr>
      <dsp:spPr>
        <a:xfrm>
          <a:off x="1880979" y="200555"/>
          <a:ext cx="160061" cy="18724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latin typeface="+mn-lt"/>
            <a:cs typeface="Times New Roman" panose="02020603050405020304" pitchFamily="18" charset="0"/>
          </a:endParaRPr>
        </a:p>
      </dsp:txBody>
      <dsp:txXfrm>
        <a:off x="1880979" y="238003"/>
        <a:ext cx="112043" cy="112345"/>
      </dsp:txXfrm>
    </dsp:sp>
    <dsp:sp modelId="{9A0B658E-6059-44B0-9690-3E264972A750}">
      <dsp:nvSpPr>
        <dsp:cNvPr id="0" name=""/>
        <dsp:cNvSpPr/>
      </dsp:nvSpPr>
      <dsp:spPr>
        <a:xfrm>
          <a:off x="2116541" y="67674"/>
          <a:ext cx="755005" cy="45300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latin typeface="+mn-lt"/>
              <a:cs typeface="Times New Roman" panose="02020603050405020304" pitchFamily="18" charset="0"/>
            </a:rPr>
            <a:t>Selección de base de datos</a:t>
          </a:r>
        </a:p>
      </dsp:txBody>
      <dsp:txXfrm>
        <a:off x="2129809" y="80942"/>
        <a:ext cx="728469" cy="426467"/>
      </dsp:txXfrm>
    </dsp:sp>
    <dsp:sp modelId="{E8ED599A-4EEE-46B8-BAE5-04164A9150F7}">
      <dsp:nvSpPr>
        <dsp:cNvPr id="0" name=""/>
        <dsp:cNvSpPr/>
      </dsp:nvSpPr>
      <dsp:spPr>
        <a:xfrm rot="5400000">
          <a:off x="2414013" y="573528"/>
          <a:ext cx="160061" cy="18724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latin typeface="+mn-lt"/>
            <a:cs typeface="Times New Roman" panose="02020603050405020304" pitchFamily="18" charset="0"/>
          </a:endParaRPr>
        </a:p>
      </dsp:txBody>
      <dsp:txXfrm rot="-5400000">
        <a:off x="2437871" y="587118"/>
        <a:ext cx="112345" cy="112043"/>
      </dsp:txXfrm>
    </dsp:sp>
    <dsp:sp modelId="{81890CCD-AE8A-4391-8C79-C79439F4D41E}">
      <dsp:nvSpPr>
        <dsp:cNvPr id="0" name=""/>
        <dsp:cNvSpPr/>
      </dsp:nvSpPr>
      <dsp:spPr>
        <a:xfrm>
          <a:off x="2116541" y="822679"/>
          <a:ext cx="755005" cy="45300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latin typeface="+mn-lt"/>
              <a:cs typeface="Times New Roman" panose="02020603050405020304" pitchFamily="18" charset="0"/>
            </a:rPr>
            <a:t>Desarrollo de estrategias de busqueda</a:t>
          </a:r>
        </a:p>
      </dsp:txBody>
      <dsp:txXfrm>
        <a:off x="2129809" y="835947"/>
        <a:ext cx="728469" cy="426467"/>
      </dsp:txXfrm>
    </dsp:sp>
    <dsp:sp modelId="{19FE40FF-8E7C-419C-AC37-86BF84E70862}">
      <dsp:nvSpPr>
        <dsp:cNvPr id="0" name=""/>
        <dsp:cNvSpPr/>
      </dsp:nvSpPr>
      <dsp:spPr>
        <a:xfrm rot="10800000">
          <a:off x="1890039" y="955560"/>
          <a:ext cx="160061" cy="18724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latin typeface="+mn-lt"/>
            <a:cs typeface="Times New Roman" panose="02020603050405020304" pitchFamily="18" charset="0"/>
          </a:endParaRPr>
        </a:p>
      </dsp:txBody>
      <dsp:txXfrm rot="10800000">
        <a:off x="1938057" y="993008"/>
        <a:ext cx="112043" cy="112345"/>
      </dsp:txXfrm>
    </dsp:sp>
    <dsp:sp modelId="{901841B3-EA0F-4DAF-B62C-E354F1343467}">
      <dsp:nvSpPr>
        <dsp:cNvPr id="0" name=""/>
        <dsp:cNvSpPr/>
      </dsp:nvSpPr>
      <dsp:spPr>
        <a:xfrm>
          <a:off x="1059533" y="822679"/>
          <a:ext cx="755005" cy="45300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latin typeface="+mn-lt"/>
              <a:cs typeface="Times New Roman" panose="02020603050405020304" pitchFamily="18" charset="0"/>
            </a:rPr>
            <a:t>Ejecucción de la busqueda</a:t>
          </a:r>
        </a:p>
      </dsp:txBody>
      <dsp:txXfrm>
        <a:off x="1072801" y="835947"/>
        <a:ext cx="728469" cy="426467"/>
      </dsp:txXfrm>
    </dsp:sp>
    <dsp:sp modelId="{80461D1F-6122-4DCA-A0A5-69E9D4E4F63D}">
      <dsp:nvSpPr>
        <dsp:cNvPr id="0" name=""/>
        <dsp:cNvSpPr/>
      </dsp:nvSpPr>
      <dsp:spPr>
        <a:xfrm rot="10800000">
          <a:off x="833032" y="955560"/>
          <a:ext cx="160061" cy="18724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latin typeface="+mn-lt"/>
            <a:cs typeface="Times New Roman" panose="02020603050405020304" pitchFamily="18" charset="0"/>
          </a:endParaRPr>
        </a:p>
      </dsp:txBody>
      <dsp:txXfrm rot="10800000">
        <a:off x="881050" y="993008"/>
        <a:ext cx="112043" cy="112345"/>
      </dsp:txXfrm>
    </dsp:sp>
    <dsp:sp modelId="{9F50EE17-19AC-4286-A719-C4B6CB7DE6F7}">
      <dsp:nvSpPr>
        <dsp:cNvPr id="0" name=""/>
        <dsp:cNvSpPr/>
      </dsp:nvSpPr>
      <dsp:spPr>
        <a:xfrm>
          <a:off x="2526" y="822679"/>
          <a:ext cx="755005" cy="45300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latin typeface="+mn-lt"/>
              <a:cs typeface="Times New Roman" panose="02020603050405020304" pitchFamily="18" charset="0"/>
            </a:rPr>
            <a:t>Filtrado de la literatura</a:t>
          </a:r>
        </a:p>
      </dsp:txBody>
      <dsp:txXfrm>
        <a:off x="15794" y="835947"/>
        <a:ext cx="728469" cy="426467"/>
      </dsp:txXfrm>
    </dsp:sp>
    <dsp:sp modelId="{FA538857-B411-475A-B800-CDAAB0D498C9}">
      <dsp:nvSpPr>
        <dsp:cNvPr id="0" name=""/>
        <dsp:cNvSpPr/>
      </dsp:nvSpPr>
      <dsp:spPr>
        <a:xfrm rot="5400000">
          <a:off x="299998" y="1328533"/>
          <a:ext cx="160061" cy="18724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latin typeface="+mn-lt"/>
            <a:cs typeface="Times New Roman" panose="02020603050405020304" pitchFamily="18" charset="0"/>
          </a:endParaRPr>
        </a:p>
      </dsp:txBody>
      <dsp:txXfrm rot="-5400000">
        <a:off x="323856" y="1342123"/>
        <a:ext cx="112345" cy="112043"/>
      </dsp:txXfrm>
    </dsp:sp>
    <dsp:sp modelId="{ECA29A74-D3FD-43B2-AEC7-A190CF21972C}">
      <dsp:nvSpPr>
        <dsp:cNvPr id="0" name=""/>
        <dsp:cNvSpPr/>
      </dsp:nvSpPr>
      <dsp:spPr>
        <a:xfrm>
          <a:off x="2526" y="1577685"/>
          <a:ext cx="755005" cy="45300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latin typeface="+mn-lt"/>
              <a:cs typeface="Times New Roman" panose="02020603050405020304" pitchFamily="18" charset="0"/>
            </a:rPr>
            <a:t>Evaluación critica</a:t>
          </a:r>
        </a:p>
      </dsp:txBody>
      <dsp:txXfrm>
        <a:off x="15794" y="1590953"/>
        <a:ext cx="728469" cy="42646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hcCrja6LJszMTSNZjEPP/LAWqQ==">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DAD44A8-2728-4E39-899C-9F1AA6819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10246</Words>
  <Characters>56353</Characters>
  <Application>Microsoft Office Word</Application>
  <DocSecurity>0</DocSecurity>
  <Lines>469</Lines>
  <Paragraphs>132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Simon Antonio Pernia Valero</cp:lastModifiedBy>
  <cp:revision>2</cp:revision>
  <dcterms:created xsi:type="dcterms:W3CDTF">2026-01-19T17:53:00Z</dcterms:created>
  <dcterms:modified xsi:type="dcterms:W3CDTF">2026-01-19T17:53:00Z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id="qSE4a0If"/&gt;&lt;style id="http://www.zotero.org/styles/ieee" locale="es-ES" hasBibliography="1" bibliographyStyleHasBeenSet="1"/&gt;&lt;prefs&gt;&lt;pref name="fieldType" value="Field"/&gt;&lt;/prefs&gt;&lt;/data&gt;</vt:lpwstr>
  </property>
</Properties>
</file>