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898A" w14:textId="40ECDFD3" w:rsidR="00876978" w:rsidRPr="0021196D" w:rsidRDefault="00876978" w:rsidP="0087697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Style w:val="Hipervnculo"/>
          <w:rFonts w:ascii="EB Garamond" w:eastAsia="EB Garamond" w:hAnsi="EB Garamond" w:cs="EB Garamond"/>
          <w:b/>
          <w:sz w:val="20"/>
          <w:szCs w:val="32"/>
          <w:lang w:val="en-US"/>
        </w:rPr>
      </w:pPr>
      <w:r w:rsidRPr="0021196D">
        <w:rPr>
          <w:rFonts w:ascii="EB Garamond" w:eastAsia="EB Garamond" w:hAnsi="EB Garamond" w:cs="EB Garamond"/>
          <w:b/>
          <w:sz w:val="20"/>
          <w:szCs w:val="32"/>
          <w:lang w:val="en-US"/>
        </w:rPr>
        <w:t>ARK:</w:t>
      </w:r>
      <w:r w:rsidR="0021196D" w:rsidRPr="0021196D">
        <w:rPr>
          <w:sz w:val="24"/>
          <w:szCs w:val="24"/>
          <w:lang w:val="en-US" w:eastAsia="en-US"/>
        </w:rPr>
        <w:t xml:space="preserve"> </w:t>
      </w:r>
      <w:r w:rsidR="0021196D">
        <w:rPr>
          <w:sz w:val="24"/>
          <w:szCs w:val="24"/>
          <w:lang w:val="en-US" w:eastAsia="en-US"/>
        </w:rPr>
        <w:fldChar w:fldCharType="begin"/>
      </w:r>
      <w:r w:rsidR="0021196D">
        <w:rPr>
          <w:sz w:val="24"/>
          <w:szCs w:val="24"/>
          <w:lang w:val="en-US" w:eastAsia="en-US"/>
        </w:rPr>
        <w:instrText xml:space="preserve"> HYPERLINK "https://revistasenlinea.saber.ucab.edu.ve/index.php/tekhne/article/view/7521" \o "https://revistasenlinea.saber.ucab.edu.ve/index.php/tekhne/article/view/0000" </w:instrText>
      </w:r>
      <w:r w:rsidR="0021196D">
        <w:rPr>
          <w:sz w:val="24"/>
          <w:szCs w:val="24"/>
          <w:lang w:val="en-US" w:eastAsia="en-US"/>
        </w:rPr>
        <w:fldChar w:fldCharType="separate"/>
      </w:r>
      <w:r w:rsidR="0021196D" w:rsidRPr="0021196D">
        <w:rPr>
          <w:rStyle w:val="Hipervnculo"/>
          <w:sz w:val="24"/>
          <w:szCs w:val="24"/>
          <w:lang w:val="en-US" w:eastAsia="en-US"/>
        </w:rPr>
        <w:t>https://n2t.net/ark:/87558/tekhne.28.2.3</w:t>
      </w:r>
    </w:p>
    <w:p w14:paraId="412D5752" w14:textId="29E9000C" w:rsidR="00876978" w:rsidRPr="0021196D" w:rsidRDefault="0021196D" w:rsidP="0087697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8"/>
          <w:szCs w:val="32"/>
          <w:lang w:val="en-US"/>
        </w:rPr>
      </w:pPr>
      <w:r>
        <w:rPr>
          <w:sz w:val="24"/>
          <w:szCs w:val="24"/>
          <w:lang w:val="en-US" w:eastAsia="en-US"/>
        </w:rPr>
        <w:fldChar w:fldCharType="end"/>
      </w:r>
    </w:p>
    <w:p w14:paraId="57809A1D" w14:textId="51977F96" w:rsidR="005B57E5" w:rsidRDefault="00E8579C" w:rsidP="0087697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r>
        <w:rPr>
          <w:rFonts w:ascii="EB Garamond" w:eastAsia="EB Garamond" w:hAnsi="EB Garamond" w:cs="EB Garamond"/>
          <w:b/>
          <w:sz w:val="32"/>
          <w:szCs w:val="32"/>
        </w:rPr>
        <w:t xml:space="preserve">Revisión bibliográfica de los factores sociodemográficos y académicos </w:t>
      </w:r>
      <w:r w:rsidRPr="00E00AEA">
        <w:rPr>
          <w:rFonts w:ascii="EB Garamond" w:eastAsia="EB Garamond" w:hAnsi="EB Garamond" w:cs="EB Garamond"/>
          <w:b/>
          <w:sz w:val="32"/>
          <w:szCs w:val="32"/>
        </w:rPr>
        <w:t>que influyen en la elección de carrera de ingeniería</w:t>
      </w:r>
      <w:r w:rsidR="00B952CB">
        <w:rPr>
          <w:rFonts w:ascii="EB Garamond" w:eastAsia="EB Garamond" w:hAnsi="EB Garamond" w:cs="EB Garamond"/>
          <w:b/>
          <w:sz w:val="32"/>
          <w:szCs w:val="32"/>
        </w:rPr>
        <w:t>, en el perfil</w:t>
      </w:r>
      <w:r w:rsidR="009A238B">
        <w:rPr>
          <w:rFonts w:ascii="EB Garamond" w:eastAsia="EB Garamond" w:hAnsi="EB Garamond" w:cs="EB Garamond"/>
          <w:b/>
          <w:sz w:val="32"/>
          <w:szCs w:val="32"/>
        </w:rPr>
        <w:t xml:space="preserve"> </w:t>
      </w:r>
      <w:r w:rsidR="00B952CB">
        <w:rPr>
          <w:rFonts w:ascii="EB Garamond" w:eastAsia="EB Garamond" w:hAnsi="EB Garamond" w:cs="EB Garamond"/>
          <w:b/>
          <w:sz w:val="32"/>
          <w:szCs w:val="32"/>
        </w:rPr>
        <w:t>y en su retención:</w:t>
      </w:r>
      <w:r w:rsidRPr="00E00AEA">
        <w:rPr>
          <w:rFonts w:ascii="EB Garamond" w:eastAsia="EB Garamond" w:hAnsi="EB Garamond" w:cs="EB Garamond"/>
          <w:b/>
          <w:sz w:val="32"/>
          <w:szCs w:val="32"/>
        </w:rPr>
        <w:t xml:space="preserve"> un análisis de </w:t>
      </w:r>
      <w:r w:rsidR="002E6283" w:rsidRPr="00E00AEA">
        <w:rPr>
          <w:rFonts w:ascii="EB Garamond" w:eastAsia="EB Garamond" w:hAnsi="EB Garamond" w:cs="EB Garamond"/>
          <w:b/>
          <w:sz w:val="32"/>
          <w:szCs w:val="32"/>
        </w:rPr>
        <w:t xml:space="preserve">los </w:t>
      </w:r>
      <w:r w:rsidRPr="00E00AEA">
        <w:rPr>
          <w:rFonts w:ascii="EB Garamond" w:eastAsia="EB Garamond" w:hAnsi="EB Garamond" w:cs="EB Garamond"/>
          <w:b/>
          <w:sz w:val="32"/>
          <w:szCs w:val="32"/>
        </w:rPr>
        <w:t xml:space="preserve">datos de </w:t>
      </w:r>
      <w:r w:rsidR="00CF6001" w:rsidRPr="00E00AEA">
        <w:rPr>
          <w:rFonts w:ascii="EB Garamond" w:eastAsia="EB Garamond" w:hAnsi="EB Garamond" w:cs="EB Garamond"/>
          <w:b/>
          <w:sz w:val="32"/>
          <w:szCs w:val="32"/>
        </w:rPr>
        <w:t>las</w:t>
      </w:r>
      <w:r w:rsidRPr="00E00AEA">
        <w:rPr>
          <w:rFonts w:ascii="EB Garamond" w:eastAsia="EB Garamond" w:hAnsi="EB Garamond" w:cs="EB Garamond"/>
          <w:b/>
          <w:sz w:val="32"/>
          <w:szCs w:val="32"/>
        </w:rPr>
        <w:t xml:space="preserve"> </w:t>
      </w:r>
      <w:r w:rsidR="00CF6001" w:rsidRPr="00E00AEA">
        <w:rPr>
          <w:rFonts w:ascii="EB Garamond" w:eastAsia="EB Garamond" w:hAnsi="EB Garamond" w:cs="EB Garamond"/>
          <w:b/>
          <w:sz w:val="32"/>
          <w:szCs w:val="32"/>
        </w:rPr>
        <w:t>universidades privada</w:t>
      </w:r>
      <w:r w:rsidRPr="00E00AEA">
        <w:rPr>
          <w:rFonts w:ascii="EB Garamond" w:eastAsia="EB Garamond" w:hAnsi="EB Garamond" w:cs="EB Garamond"/>
          <w:b/>
          <w:sz w:val="32"/>
          <w:szCs w:val="32"/>
        </w:rPr>
        <w:t>s</w:t>
      </w:r>
    </w:p>
    <w:p w14:paraId="068C2F67" w14:textId="7EDC490D" w:rsidR="000D4BFB" w:rsidRPr="002313E8" w:rsidRDefault="000D4BFB" w:rsidP="000D4B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bCs/>
          <w:i/>
          <w:iCs/>
          <w:sz w:val="28"/>
          <w:szCs w:val="28"/>
          <w:vertAlign w:val="superscript"/>
          <w:lang w:val="es-VE"/>
        </w:rPr>
      </w:pPr>
      <w:r w:rsidRPr="002313E8">
        <w:rPr>
          <w:rFonts w:ascii="EB Garamond" w:eastAsia="EB Garamond" w:hAnsi="EB Garamond"/>
          <w:bCs/>
          <w:i/>
          <w:iCs/>
          <w:sz w:val="28"/>
          <w:szCs w:val="28"/>
          <w:lang w:val="es-VE"/>
        </w:rPr>
        <w:t>Siro Tagliaferro</w:t>
      </w:r>
      <w:r w:rsidRPr="002313E8">
        <w:rPr>
          <w:rFonts w:ascii="EB Garamond" w:eastAsia="EB Garamond" w:hAnsi="EB Garamond"/>
          <w:bCs/>
          <w:sz w:val="28"/>
          <w:szCs w:val="28"/>
          <w:vertAlign w:val="superscript"/>
          <w:lang w:val="es-VE"/>
        </w:rPr>
        <w:t>1</w:t>
      </w:r>
      <w:r w:rsidRPr="002313E8">
        <w:rPr>
          <w:rFonts w:ascii="EB Garamond" w:eastAsia="EB Garamond" w:hAnsi="EB Garamond"/>
          <w:bCs/>
          <w:i/>
          <w:iCs/>
          <w:sz w:val="28"/>
          <w:szCs w:val="28"/>
          <w:lang w:val="es-VE"/>
        </w:rPr>
        <w:t>,</w:t>
      </w:r>
    </w:p>
    <w:p w14:paraId="4B032662" w14:textId="5D11F548" w:rsidR="000D4BFB" w:rsidRPr="002313E8" w:rsidRDefault="00E43F60" w:rsidP="000D4B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bCs/>
          <w:sz w:val="28"/>
          <w:szCs w:val="28"/>
          <w:lang w:val="es-VE"/>
        </w:rPr>
      </w:pPr>
      <w:hyperlink r:id="rId9" w:history="1">
        <w:r w:rsidR="000D4BFB" w:rsidRPr="002313E8">
          <w:rPr>
            <w:rStyle w:val="Hipervnculo"/>
            <w:rFonts w:ascii="EB Garamond" w:hAnsi="EB Garamond"/>
            <w:sz w:val="28"/>
            <w:szCs w:val="28"/>
            <w:lang w:val="es-VE"/>
          </w:rPr>
          <w:t>stagliaferro@unimet.edu.ve</w:t>
        </w:r>
      </w:hyperlink>
      <w:r w:rsidR="000D4BFB" w:rsidRPr="002313E8">
        <w:rPr>
          <w:rFonts w:ascii="EB Garamond" w:eastAsia="EB Garamond" w:hAnsi="EB Garamond"/>
          <w:bCs/>
          <w:sz w:val="28"/>
          <w:szCs w:val="28"/>
          <w:vertAlign w:val="superscript"/>
          <w:lang w:val="es-VE"/>
        </w:rPr>
        <w:t>1</w:t>
      </w:r>
      <w:r w:rsidR="000D4BFB" w:rsidRPr="002313E8">
        <w:rPr>
          <w:rFonts w:ascii="EB Garamond" w:eastAsia="EB Garamond" w:hAnsi="EB Garamond"/>
          <w:bCs/>
          <w:sz w:val="28"/>
          <w:szCs w:val="28"/>
          <w:lang w:val="es-VE"/>
        </w:rPr>
        <w:t xml:space="preserve"> </w:t>
      </w:r>
    </w:p>
    <w:p w14:paraId="52E45EA2" w14:textId="79DB2642" w:rsidR="000D4BFB" w:rsidRPr="002313E8" w:rsidRDefault="00E43F60" w:rsidP="000D4BFB">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sz w:val="28"/>
          <w:szCs w:val="28"/>
          <w:lang w:val="es-VE"/>
        </w:rPr>
      </w:pPr>
      <w:hyperlink r:id="rId10" w:history="1">
        <w:r w:rsidR="000D4BFB" w:rsidRPr="002313E8">
          <w:rPr>
            <w:rStyle w:val="Hipervnculo"/>
            <w:rFonts w:ascii="EB Garamond" w:eastAsia="EB Garamond" w:hAnsi="EB Garamond" w:cs="EB Garamond"/>
            <w:bCs/>
            <w:sz w:val="28"/>
            <w:szCs w:val="28"/>
            <w:lang w:val="es-VE"/>
          </w:rPr>
          <w:t>https://orcid.org/0000-0001-7501-3568</w:t>
        </w:r>
      </w:hyperlink>
      <w:r w:rsidR="000D4BFB" w:rsidRPr="002313E8">
        <w:rPr>
          <w:rFonts w:ascii="EB Garamond" w:eastAsia="EB Garamond" w:hAnsi="EB Garamond" w:cs="EB Garamond"/>
          <w:bCs/>
          <w:sz w:val="28"/>
          <w:szCs w:val="28"/>
          <w:vertAlign w:val="superscript"/>
          <w:lang w:val="es-VE"/>
        </w:rPr>
        <w:t>1</w:t>
      </w:r>
    </w:p>
    <w:p w14:paraId="7BA52ABD" w14:textId="6B5F7712" w:rsidR="005B57E5" w:rsidRDefault="000D4BFB" w:rsidP="0087697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ascii="EB Garamond" w:eastAsia="EB Garamond" w:hAnsi="EB Garamond"/>
          <w:bCs/>
          <w:sz w:val="28"/>
          <w:szCs w:val="28"/>
        </w:rPr>
      </w:pPr>
      <w:r w:rsidRPr="00984024">
        <w:rPr>
          <w:rFonts w:ascii="EB Garamond" w:eastAsia="EB Garamond" w:hAnsi="EB Garamond"/>
          <w:bCs/>
          <w:sz w:val="28"/>
          <w:szCs w:val="28"/>
        </w:rPr>
        <w:t xml:space="preserve">Universidad </w:t>
      </w:r>
      <w:r>
        <w:rPr>
          <w:rFonts w:ascii="EB Garamond" w:eastAsia="EB Garamond" w:hAnsi="EB Garamond"/>
          <w:bCs/>
          <w:sz w:val="28"/>
          <w:szCs w:val="28"/>
        </w:rPr>
        <w:t>Metropolitana</w:t>
      </w:r>
      <w:r w:rsidRPr="00984024">
        <w:rPr>
          <w:rFonts w:ascii="EB Garamond" w:eastAsia="EB Garamond" w:hAnsi="EB Garamond"/>
          <w:bCs/>
          <w:sz w:val="28"/>
          <w:szCs w:val="28"/>
          <w:vertAlign w:val="superscript"/>
        </w:rPr>
        <w:t>1</w:t>
      </w:r>
      <w:r w:rsidRPr="00984024">
        <w:rPr>
          <w:rFonts w:ascii="EB Garamond" w:eastAsia="EB Garamond" w:hAnsi="EB Garamond"/>
          <w:bCs/>
          <w:sz w:val="28"/>
          <w:szCs w:val="28"/>
        </w:rPr>
        <w:t>, Caracas, Venezuela</w:t>
      </w:r>
    </w:p>
    <w:p w14:paraId="4D02FB4C" w14:textId="0F65FF51" w:rsidR="00D10D69" w:rsidRDefault="00D10D69" w:rsidP="00D10D6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ascii="EB Garamond" w:eastAsia="EB Garamond" w:hAnsi="EB Garamond"/>
          <w:bCs/>
          <w:sz w:val="28"/>
          <w:szCs w:val="28"/>
        </w:rPr>
      </w:pPr>
      <w:r>
        <w:rPr>
          <w:rFonts w:ascii="EB Garamond" w:eastAsia="EB Garamond" w:hAnsi="EB Garamond"/>
          <w:bCs/>
          <w:sz w:val="28"/>
          <w:szCs w:val="28"/>
        </w:rPr>
        <w:t>Doctorando de Ingeniería, Universidad Católica Andrés Bello</w:t>
      </w:r>
      <w:r w:rsidRPr="002313E8">
        <w:rPr>
          <w:rFonts w:ascii="EB Garamond" w:eastAsia="EB Garamond" w:hAnsi="EB Garamond"/>
          <w:bCs/>
          <w:sz w:val="28"/>
          <w:szCs w:val="28"/>
          <w:vertAlign w:val="superscript"/>
          <w:lang w:val="es-VE"/>
        </w:rPr>
        <w:t>1</w:t>
      </w:r>
    </w:p>
    <w:p w14:paraId="4CC376EF" w14:textId="0F87B1AE" w:rsidR="00D10D69" w:rsidRDefault="00D10D69" w:rsidP="0087697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ascii="EB Garamond" w:eastAsia="EB Garamond" w:hAnsi="EB Garamond"/>
          <w:bCs/>
          <w:sz w:val="28"/>
          <w:szCs w:val="28"/>
        </w:rPr>
      </w:pPr>
      <w:r>
        <w:rPr>
          <w:rFonts w:ascii="Times New Roman" w:eastAsia="Times New Roman" w:hAnsi="Times New Roman" w:cs="Times New Roman"/>
          <w:b/>
          <w:noProof/>
          <w:sz w:val="24"/>
          <w:szCs w:val="24"/>
          <w:lang w:val="es-VE"/>
        </w:rPr>
        <mc:AlternateContent>
          <mc:Choice Requires="wps">
            <w:drawing>
              <wp:anchor distT="0" distB="0" distL="114300" distR="114300" simplePos="0" relativeHeight="251660288" behindDoc="0" locked="0" layoutInCell="1" allowOverlap="1" wp14:anchorId="366B3708" wp14:editId="1B4493B6">
                <wp:simplePos x="0" y="0"/>
                <wp:positionH relativeFrom="margin">
                  <wp:align>left</wp:align>
                </wp:positionH>
                <wp:positionV relativeFrom="paragraph">
                  <wp:posOffset>236855</wp:posOffset>
                </wp:positionV>
                <wp:extent cx="5944235" cy="3381375"/>
                <wp:effectExtent l="0" t="0" r="18415" b="28575"/>
                <wp:wrapTopAndBottom/>
                <wp:docPr id="8" name="8 Cuadro de texto"/>
                <wp:cNvGraphicFramePr/>
                <a:graphic xmlns:a="http://schemas.openxmlformats.org/drawingml/2006/main">
                  <a:graphicData uri="http://schemas.microsoft.com/office/word/2010/wordprocessingShape">
                    <wps:wsp>
                      <wps:cNvSpPr txBox="1"/>
                      <wps:spPr>
                        <a:xfrm>
                          <a:off x="0" y="0"/>
                          <a:ext cx="5944235" cy="3381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4EB597" w14:textId="77777777" w:rsidR="00876978" w:rsidRPr="00876978" w:rsidRDefault="00876978" w:rsidP="00876978">
                            <w:pPr>
                              <w:widowControl w:val="0"/>
                              <w:spacing w:line="240" w:lineRule="auto"/>
                              <w:jc w:val="both"/>
                              <w:rPr>
                                <w:rFonts w:ascii="EB Garamond" w:hAnsi="EB Garamond"/>
                                <w:b/>
                                <w:sz w:val="24"/>
                                <w:szCs w:val="20"/>
                              </w:rPr>
                            </w:pPr>
                            <w:r w:rsidRPr="00876978">
                              <w:rPr>
                                <w:rFonts w:ascii="EB Garamond" w:hAnsi="EB Garamond"/>
                                <w:b/>
                                <w:sz w:val="24"/>
                                <w:szCs w:val="20"/>
                              </w:rPr>
                              <w:t xml:space="preserve">Resumen </w:t>
                            </w:r>
                          </w:p>
                          <w:p w14:paraId="4C99243E" w14:textId="77777777" w:rsidR="00876978" w:rsidRPr="00E00AEA" w:rsidRDefault="00876978" w:rsidP="00876978">
                            <w:pPr>
                              <w:widowControl w:val="0"/>
                              <w:spacing w:line="240" w:lineRule="auto"/>
                              <w:ind w:left="566"/>
                              <w:jc w:val="both"/>
                              <w:rPr>
                                <w:sz w:val="20"/>
                                <w:szCs w:val="20"/>
                              </w:rPr>
                            </w:pPr>
                          </w:p>
                          <w:p w14:paraId="2A1035D1" w14:textId="77777777" w:rsidR="00876978" w:rsidRPr="00876978" w:rsidRDefault="00876978" w:rsidP="00876978">
                            <w:pPr>
                              <w:widowControl w:val="0"/>
                              <w:spacing w:line="360" w:lineRule="auto"/>
                              <w:jc w:val="both"/>
                              <w:rPr>
                                <w:rFonts w:ascii="EB Garamond" w:hAnsi="EB Garamond"/>
                                <w:sz w:val="20"/>
                                <w:szCs w:val="20"/>
                              </w:rPr>
                            </w:pPr>
                            <w:r w:rsidRPr="00876978">
                              <w:rPr>
                                <w:rFonts w:ascii="EB Garamond" w:hAnsi="EB Garamond"/>
                                <w:sz w:val="20"/>
                                <w:szCs w:val="20"/>
                              </w:rPr>
                              <w:t xml:space="preserve">Esta revisión bibliográfica analizó los factores académicos y sociodemográficos que afectan a estudiantes de ingeniería en universidades privadas, con el objetivo de caracterizar sus perfiles y fundamentar estrategias pedagógicas. El estudio identifica la habilidad en matemáticas (puntaje de ingreso) como el predictor más crítico para el éxito y la retención. Un factor agravante es la precariedad laboral en estudiantes que trabajan, ya que reduce el tiempo de estudio y genera fatiga cognitiva. Para abordar esto, el trabajo valida metodologías avanzadas como el Análisis Envolvente de Datos (DEA) para medir la eficiencia institucional y el Machine </w:t>
                            </w:r>
                            <w:proofErr w:type="spellStart"/>
                            <w:r w:rsidRPr="00876978">
                              <w:rPr>
                                <w:rFonts w:ascii="EB Garamond" w:hAnsi="EB Garamond"/>
                                <w:sz w:val="20"/>
                                <w:szCs w:val="20"/>
                              </w:rPr>
                              <w:t>Learning</w:t>
                            </w:r>
                            <w:proofErr w:type="spellEnd"/>
                            <w:r w:rsidRPr="00876978">
                              <w:rPr>
                                <w:rFonts w:ascii="EB Garamond" w:hAnsi="EB Garamond"/>
                                <w:sz w:val="20"/>
                                <w:szCs w:val="20"/>
                              </w:rPr>
                              <w:t xml:space="preserve"> (ML) para predecir la deserción. Se analizaron estudios de caso de países como Bolivia (2014-2015), Argentina (2009-2011), Nigeria (2005-2009), México, Chile e India. Esto contribuye al ODS 4 (Educación de Calidad) y ODS 8 (Trabajo decente y crecimiento económico). La deserción es multifactorial; el uso de DEA y ML es esencial para intervenir a tiempo, mejorar la calidad educativa y la retención. </w:t>
                            </w:r>
                          </w:p>
                          <w:p w14:paraId="4AED5DDB" w14:textId="77777777" w:rsidR="00876978" w:rsidRPr="00876978" w:rsidRDefault="00876978" w:rsidP="00876978">
                            <w:pPr>
                              <w:widowControl w:val="0"/>
                              <w:spacing w:line="360" w:lineRule="auto"/>
                              <w:ind w:left="566"/>
                              <w:jc w:val="both"/>
                              <w:rPr>
                                <w:rFonts w:ascii="EB Garamond" w:hAnsi="EB Garamond"/>
                                <w:sz w:val="20"/>
                                <w:szCs w:val="20"/>
                              </w:rPr>
                            </w:pPr>
                          </w:p>
                          <w:p w14:paraId="0F36669D" w14:textId="77777777" w:rsidR="00876978" w:rsidRPr="00876978" w:rsidRDefault="00876978" w:rsidP="00876978">
                            <w:pPr>
                              <w:widowControl w:val="0"/>
                              <w:spacing w:line="360" w:lineRule="auto"/>
                              <w:jc w:val="both"/>
                              <w:rPr>
                                <w:rFonts w:ascii="EB Garamond" w:hAnsi="EB Garamond"/>
                                <w:sz w:val="20"/>
                                <w:szCs w:val="20"/>
                              </w:rPr>
                            </w:pPr>
                            <w:r w:rsidRPr="00876978">
                              <w:rPr>
                                <w:rFonts w:ascii="EB Garamond" w:hAnsi="EB Garamond"/>
                                <w:b/>
                                <w:sz w:val="20"/>
                                <w:szCs w:val="20"/>
                              </w:rPr>
                              <w:t xml:space="preserve">Palabras clave: </w:t>
                            </w:r>
                            <w:r w:rsidRPr="00876978">
                              <w:rPr>
                                <w:rFonts w:ascii="EB Garamond" w:hAnsi="EB Garamond"/>
                                <w:sz w:val="20"/>
                                <w:szCs w:val="20"/>
                              </w:rPr>
                              <w:t>Ingeniería</w:t>
                            </w:r>
                            <w:r w:rsidRPr="00876978">
                              <w:rPr>
                                <w:rFonts w:ascii="EB Garamond" w:hAnsi="EB Garamond"/>
                                <w:i/>
                                <w:sz w:val="20"/>
                                <w:szCs w:val="20"/>
                              </w:rPr>
                              <w:t xml:space="preserve">, Data </w:t>
                            </w:r>
                            <w:proofErr w:type="spellStart"/>
                            <w:r w:rsidRPr="00876978">
                              <w:rPr>
                                <w:rFonts w:ascii="EB Garamond" w:hAnsi="EB Garamond"/>
                                <w:i/>
                                <w:sz w:val="20"/>
                                <w:szCs w:val="20"/>
                              </w:rPr>
                              <w:t>Mining</w:t>
                            </w:r>
                            <w:proofErr w:type="spellEnd"/>
                            <w:r w:rsidRPr="00876978">
                              <w:rPr>
                                <w:rFonts w:ascii="EB Garamond" w:hAnsi="EB Garamond"/>
                                <w:i/>
                                <w:sz w:val="20"/>
                                <w:szCs w:val="20"/>
                              </w:rPr>
                              <w:t xml:space="preserve">, </w:t>
                            </w:r>
                            <w:r w:rsidRPr="00876978">
                              <w:rPr>
                                <w:rFonts w:ascii="EB Garamond" w:hAnsi="EB Garamond"/>
                                <w:sz w:val="20"/>
                                <w:szCs w:val="20"/>
                              </w:rPr>
                              <w:t xml:space="preserve">Perfil de estudiantes, Deserción académica y </w:t>
                            </w:r>
                            <w:r w:rsidRPr="00876978">
                              <w:rPr>
                                <w:rFonts w:ascii="EB Garamond" w:hAnsi="EB Garamond"/>
                                <w:i/>
                                <w:sz w:val="20"/>
                                <w:szCs w:val="20"/>
                              </w:rPr>
                              <w:t xml:space="preserve">Machine </w:t>
                            </w:r>
                            <w:proofErr w:type="spellStart"/>
                            <w:r w:rsidRPr="00876978">
                              <w:rPr>
                                <w:rFonts w:ascii="EB Garamond" w:hAnsi="EB Garamond"/>
                                <w:i/>
                                <w:sz w:val="20"/>
                                <w:szCs w:val="20"/>
                              </w:rPr>
                              <w:t>Learning</w:t>
                            </w:r>
                            <w:proofErr w:type="spellEnd"/>
                            <w:r w:rsidRPr="00876978">
                              <w:rPr>
                                <w:rFonts w:ascii="EB Garamond" w:hAnsi="EB Garamond"/>
                                <w:i/>
                                <w:sz w:val="20"/>
                                <w:szCs w:val="20"/>
                              </w:rPr>
                              <w:t xml:space="preserve">, </w:t>
                            </w:r>
                            <w:r w:rsidRPr="00876978">
                              <w:rPr>
                                <w:rFonts w:ascii="EB Garamond" w:hAnsi="EB Garamond"/>
                                <w:sz w:val="20"/>
                                <w:szCs w:val="20"/>
                              </w:rPr>
                              <w:t>Elección de Carrera</w:t>
                            </w:r>
                          </w:p>
                          <w:p w14:paraId="6DB6DDB4" w14:textId="77777777" w:rsidR="00876978" w:rsidRDefault="00876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6B3708" id="_x0000_t202" coordsize="21600,21600" o:spt="202" path="m,l,21600r21600,l21600,xe">
                <v:stroke joinstyle="miter"/>
                <v:path gradientshapeok="t" o:connecttype="rect"/>
              </v:shapetype>
              <v:shape id="8 Cuadro de texto" o:spid="_x0000_s1026" type="#_x0000_t202" style="position:absolute;left:0;text-align:left;margin-left:0;margin-top:18.65pt;width:468.05pt;height:266.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" fillcolor="white [3201]" strokeweight=".5pt">
                <v:textbox>
                  <w:txbxContent>
                    <w:p w14:paraId="1E4EB597" w14:textId="77777777" w:rsidR="00876978" w:rsidRPr="00876978" w:rsidRDefault="00876978" w:rsidP="00876978">
                      <w:pPr>
                        <w:widowControl w:val="0"/>
                        <w:spacing w:line="240" w:lineRule="auto"/>
                        <w:jc w:val="both"/>
                        <w:rPr>
                          <w:rFonts w:ascii="EB Garamond" w:hAnsi="EB Garamond"/>
                          <w:b/>
                          <w:sz w:val="24"/>
                          <w:szCs w:val="20"/>
                        </w:rPr>
                      </w:pPr>
                      <w:r w:rsidRPr="00876978">
                        <w:rPr>
                          <w:rFonts w:ascii="EB Garamond" w:hAnsi="EB Garamond"/>
                          <w:b/>
                          <w:sz w:val="24"/>
                          <w:szCs w:val="20"/>
                        </w:rPr>
                        <w:t xml:space="preserve">Resumen </w:t>
                      </w:r>
                    </w:p>
                    <w:p w14:paraId="4C99243E" w14:textId="77777777" w:rsidR="00876978" w:rsidRPr="00E00AEA" w:rsidRDefault="00876978" w:rsidP="00876978">
                      <w:pPr>
                        <w:widowControl w:val="0"/>
                        <w:spacing w:line="240" w:lineRule="auto"/>
                        <w:ind w:left="566"/>
                        <w:jc w:val="both"/>
                        <w:rPr>
                          <w:sz w:val="20"/>
                          <w:szCs w:val="20"/>
                        </w:rPr>
                      </w:pPr>
                    </w:p>
                    <w:p w14:paraId="2A1035D1" w14:textId="77777777" w:rsidR="00876978" w:rsidRPr="00876978" w:rsidRDefault="00876978" w:rsidP="00876978">
                      <w:pPr>
                        <w:widowControl w:val="0"/>
                        <w:spacing w:line="360" w:lineRule="auto"/>
                        <w:jc w:val="both"/>
                        <w:rPr>
                          <w:rFonts w:ascii="EB Garamond" w:hAnsi="EB Garamond"/>
                          <w:sz w:val="20"/>
                          <w:szCs w:val="20"/>
                        </w:rPr>
                      </w:pPr>
                      <w:r w:rsidRPr="00876978">
                        <w:rPr>
                          <w:rFonts w:ascii="EB Garamond" w:hAnsi="EB Garamond"/>
                          <w:sz w:val="20"/>
                          <w:szCs w:val="20"/>
                        </w:rPr>
                        <w:t xml:space="preserve">Esta revisión bibliográfica analizó los factores académicos y sociodemográficos que afectan a estudiantes de ingeniería en universidades privadas, con el objetivo de caracterizar sus perfiles y fundamentar estrategias pedagógicas. El estudio identifica la habilidad en matemáticas (puntaje de ingreso) como el predictor más crítico para el éxito y la retención. Un factor agravante es la precariedad laboral en estudiantes que trabajan, ya que reduce el tiempo de estudio y genera fatiga cognitiva. Para abordar esto, el trabajo valida metodologías avanzadas como el Análisis Envolvente de Datos (DEA) para medir la eficiencia institucional y el Machine </w:t>
                      </w:r>
                      <w:proofErr w:type="spellStart"/>
                      <w:r w:rsidRPr="00876978">
                        <w:rPr>
                          <w:rFonts w:ascii="EB Garamond" w:hAnsi="EB Garamond"/>
                          <w:sz w:val="20"/>
                          <w:szCs w:val="20"/>
                        </w:rPr>
                        <w:t>Learning</w:t>
                      </w:r>
                      <w:proofErr w:type="spellEnd"/>
                      <w:r w:rsidRPr="00876978">
                        <w:rPr>
                          <w:rFonts w:ascii="EB Garamond" w:hAnsi="EB Garamond"/>
                          <w:sz w:val="20"/>
                          <w:szCs w:val="20"/>
                        </w:rPr>
                        <w:t xml:space="preserve"> (ML) para predecir la deserción. Se analizaron estudios de caso de países como Bolivia (2014-2015), Argentina (2009-2011), Nigeria (2005-2009), México, Chile e India. Esto contribuye al ODS 4 (Educación de Calidad) y ODS 8 (Trabajo decente y crecimiento económico). La deserción es multifactorial; el uso de DEA y ML es esencial para intervenir a tiempo, mejorar la calidad educativa y la retención. </w:t>
                      </w:r>
                    </w:p>
                    <w:p w14:paraId="4AED5DDB" w14:textId="77777777" w:rsidR="00876978" w:rsidRPr="00876978" w:rsidRDefault="00876978" w:rsidP="00876978">
                      <w:pPr>
                        <w:widowControl w:val="0"/>
                        <w:spacing w:line="360" w:lineRule="auto"/>
                        <w:ind w:left="566"/>
                        <w:jc w:val="both"/>
                        <w:rPr>
                          <w:rFonts w:ascii="EB Garamond" w:hAnsi="EB Garamond"/>
                          <w:sz w:val="20"/>
                          <w:szCs w:val="20"/>
                        </w:rPr>
                      </w:pPr>
                    </w:p>
                    <w:p w14:paraId="0F36669D" w14:textId="77777777" w:rsidR="00876978" w:rsidRPr="00876978" w:rsidRDefault="00876978" w:rsidP="00876978">
                      <w:pPr>
                        <w:widowControl w:val="0"/>
                        <w:spacing w:line="360" w:lineRule="auto"/>
                        <w:jc w:val="both"/>
                        <w:rPr>
                          <w:rFonts w:ascii="EB Garamond" w:hAnsi="EB Garamond"/>
                          <w:sz w:val="20"/>
                          <w:szCs w:val="20"/>
                        </w:rPr>
                      </w:pPr>
                      <w:r w:rsidRPr="00876978">
                        <w:rPr>
                          <w:rFonts w:ascii="EB Garamond" w:hAnsi="EB Garamond"/>
                          <w:b/>
                          <w:sz w:val="20"/>
                          <w:szCs w:val="20"/>
                        </w:rPr>
                        <w:t xml:space="preserve">Palabras clave: </w:t>
                      </w:r>
                      <w:r w:rsidRPr="00876978">
                        <w:rPr>
                          <w:rFonts w:ascii="EB Garamond" w:hAnsi="EB Garamond"/>
                          <w:sz w:val="20"/>
                          <w:szCs w:val="20"/>
                        </w:rPr>
                        <w:t>Ingeniería</w:t>
                      </w:r>
                      <w:r w:rsidRPr="00876978">
                        <w:rPr>
                          <w:rFonts w:ascii="EB Garamond" w:hAnsi="EB Garamond"/>
                          <w:i/>
                          <w:sz w:val="20"/>
                          <w:szCs w:val="20"/>
                        </w:rPr>
                        <w:t xml:space="preserve">, Data </w:t>
                      </w:r>
                      <w:proofErr w:type="spellStart"/>
                      <w:r w:rsidRPr="00876978">
                        <w:rPr>
                          <w:rFonts w:ascii="EB Garamond" w:hAnsi="EB Garamond"/>
                          <w:i/>
                          <w:sz w:val="20"/>
                          <w:szCs w:val="20"/>
                        </w:rPr>
                        <w:t>Mining</w:t>
                      </w:r>
                      <w:proofErr w:type="spellEnd"/>
                      <w:r w:rsidRPr="00876978">
                        <w:rPr>
                          <w:rFonts w:ascii="EB Garamond" w:hAnsi="EB Garamond"/>
                          <w:i/>
                          <w:sz w:val="20"/>
                          <w:szCs w:val="20"/>
                        </w:rPr>
                        <w:t xml:space="preserve">, </w:t>
                      </w:r>
                      <w:r w:rsidRPr="00876978">
                        <w:rPr>
                          <w:rFonts w:ascii="EB Garamond" w:hAnsi="EB Garamond"/>
                          <w:sz w:val="20"/>
                          <w:szCs w:val="20"/>
                        </w:rPr>
                        <w:t xml:space="preserve">Perfil de estudiantes, Deserción académica y </w:t>
                      </w:r>
                      <w:r w:rsidRPr="00876978">
                        <w:rPr>
                          <w:rFonts w:ascii="EB Garamond" w:hAnsi="EB Garamond"/>
                          <w:i/>
                          <w:sz w:val="20"/>
                          <w:szCs w:val="20"/>
                        </w:rPr>
                        <w:t xml:space="preserve">Machine </w:t>
                      </w:r>
                      <w:proofErr w:type="spellStart"/>
                      <w:r w:rsidRPr="00876978">
                        <w:rPr>
                          <w:rFonts w:ascii="EB Garamond" w:hAnsi="EB Garamond"/>
                          <w:i/>
                          <w:sz w:val="20"/>
                          <w:szCs w:val="20"/>
                        </w:rPr>
                        <w:t>Learning</w:t>
                      </w:r>
                      <w:proofErr w:type="spellEnd"/>
                      <w:r w:rsidRPr="00876978">
                        <w:rPr>
                          <w:rFonts w:ascii="EB Garamond" w:hAnsi="EB Garamond"/>
                          <w:i/>
                          <w:sz w:val="20"/>
                          <w:szCs w:val="20"/>
                        </w:rPr>
                        <w:t xml:space="preserve">, </w:t>
                      </w:r>
                      <w:r w:rsidRPr="00876978">
                        <w:rPr>
                          <w:rFonts w:ascii="EB Garamond" w:hAnsi="EB Garamond"/>
                          <w:sz w:val="20"/>
                          <w:szCs w:val="20"/>
                        </w:rPr>
                        <w:t>Elección de Carrera</w:t>
                      </w:r>
                    </w:p>
                    <w:p w14:paraId="6DB6DDB4" w14:textId="77777777" w:rsidR="00876978" w:rsidRDefault="00876978"/>
                  </w:txbxContent>
                </v:textbox>
                <w10:wrap type="topAndBottom" anchorx="margin"/>
              </v:shape>
            </w:pict>
          </mc:Fallback>
        </mc:AlternateContent>
      </w:r>
    </w:p>
    <w:p w14:paraId="06E344C2" w14:textId="77777777" w:rsidR="00D10D69" w:rsidRDefault="00D10D69" w:rsidP="0087697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ascii="EB Garamond" w:eastAsia="EB Garamond" w:hAnsi="EB Garamond"/>
          <w:bCs/>
          <w:sz w:val="28"/>
          <w:szCs w:val="28"/>
        </w:rPr>
      </w:pPr>
    </w:p>
    <w:p w14:paraId="3279FB7D" w14:textId="77777777" w:rsidR="00556B68" w:rsidRPr="00876978" w:rsidRDefault="00556B68" w:rsidP="0087697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20" w:line="288" w:lineRule="auto"/>
        <w:jc w:val="right"/>
        <w:rPr>
          <w:rFonts w:eastAsia="EB Garamond"/>
          <w:bCs/>
          <w:sz w:val="28"/>
          <w:szCs w:val="28"/>
        </w:rPr>
      </w:pPr>
    </w:p>
    <w:p w14:paraId="4E24AC6D" w14:textId="6FF7BAB8" w:rsidR="005B57E5" w:rsidRDefault="00BB3DE1" w:rsidP="00BB3DE1">
      <w:pPr>
        <w:rPr>
          <w:sz w:val="20"/>
          <w:szCs w:val="20"/>
        </w:rPr>
      </w:pPr>
      <w:r>
        <w:rPr>
          <w:sz w:val="20"/>
          <w:szCs w:val="20"/>
        </w:rPr>
        <w:br w:type="page"/>
      </w:r>
    </w:p>
    <w:p w14:paraId="207949FE" w14:textId="6D684D31" w:rsidR="005B57E5" w:rsidRPr="0069512D" w:rsidRDefault="00BB3DE1" w:rsidP="00BB3DE1">
      <w:pPr>
        <w:widowControl w:val="0"/>
        <w:pBdr>
          <w:top w:val="nil"/>
          <w:left w:val="nil"/>
          <w:bottom w:val="nil"/>
          <w:right w:val="nil"/>
          <w:between w:val="nil"/>
        </w:pBdr>
        <w:spacing w:line="360" w:lineRule="auto"/>
        <w:jc w:val="center"/>
        <w:rPr>
          <w:sz w:val="20"/>
          <w:szCs w:val="20"/>
          <w:lang w:val="en-US"/>
        </w:rPr>
      </w:pPr>
      <w:r>
        <w:rPr>
          <w:b/>
          <w:noProof/>
          <w:sz w:val="20"/>
          <w:szCs w:val="20"/>
          <w:lang w:val="es-VE"/>
        </w:rPr>
        <w:lastRenderedPageBreak/>
        <mc:AlternateContent>
          <mc:Choice Requires="wps">
            <w:drawing>
              <wp:anchor distT="0" distB="0" distL="114300" distR="114300" simplePos="0" relativeHeight="251661312" behindDoc="0" locked="0" layoutInCell="1" allowOverlap="1" wp14:anchorId="7A39C830" wp14:editId="1C1A2C63">
                <wp:simplePos x="0" y="0"/>
                <wp:positionH relativeFrom="column">
                  <wp:posOffset>-14605</wp:posOffset>
                </wp:positionH>
                <wp:positionV relativeFrom="paragraph">
                  <wp:posOffset>1229360</wp:posOffset>
                </wp:positionV>
                <wp:extent cx="5924550" cy="3495675"/>
                <wp:effectExtent l="0" t="0" r="19050" b="28575"/>
                <wp:wrapTopAndBottom/>
                <wp:docPr id="10" name="10 Cuadro de texto"/>
                <wp:cNvGraphicFramePr/>
                <a:graphic xmlns:a="http://schemas.openxmlformats.org/drawingml/2006/main">
                  <a:graphicData uri="http://schemas.microsoft.com/office/word/2010/wordprocessingShape">
                    <wps:wsp>
                      <wps:cNvSpPr txBox="1"/>
                      <wps:spPr>
                        <a:xfrm>
                          <a:off x="0" y="0"/>
                          <a:ext cx="5924550" cy="3495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632967"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b/>
                                <w:sz w:val="24"/>
                                <w:szCs w:val="20"/>
                                <w:lang w:val="en-US"/>
                              </w:rPr>
                            </w:pPr>
                            <w:r w:rsidRPr="00BB3DE1">
                              <w:rPr>
                                <w:rFonts w:ascii="EB Garamond" w:hAnsi="EB Garamond"/>
                                <w:b/>
                                <w:sz w:val="24"/>
                                <w:szCs w:val="20"/>
                                <w:lang w:val="en-US"/>
                              </w:rPr>
                              <w:t>Abstract</w:t>
                            </w:r>
                          </w:p>
                          <w:p w14:paraId="1B3856F2"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en-US"/>
                              </w:rPr>
                            </w:pPr>
                            <w:r w:rsidRPr="00BB3DE1">
                              <w:rPr>
                                <w:rFonts w:ascii="EB Garamond" w:hAnsi="EB Garamond"/>
                                <w:sz w:val="20"/>
                                <w:szCs w:val="20"/>
                                <w:lang w:val="en-US"/>
                              </w:rPr>
                              <w:t>This literature review analyzed the academic and sociodemographic factors affecting engineering students in private universities, aiming to characterize their profiles and support pedagogical strategies. The study identifies mathematical ability (entrance score) as the most critical predictor of success and retention. An aggravating factor is the labor precarity among working students, as it reduces study time and causes cognitive fatigue. To address this, the work validates advanced methodologies like Data Envelopment Analysis (DEA) to measure institutional efficiency and Machine Learning (ML) to predict dropout. Case studies from countries such as Bolivia (2014-2015), Argentina (2009-2011), Nigeria (2005-2009), Mexico, Chile, and India were analyzed. This contributes to SDG 4 (Quality Education) and SDG 8 (Decent Work and Economic Growth). Dropout is multifactorial; the use of DEA and ML is essential for timely intervention, improving educational quality, and retention.</w:t>
                            </w:r>
                          </w:p>
                          <w:p w14:paraId="5B6C4593" w14:textId="77777777" w:rsidR="00BB3DE1" w:rsidRPr="00BB3DE1" w:rsidRDefault="00BB3DE1" w:rsidP="00BB3DE1">
                            <w:pPr>
                              <w:widowControl w:val="0"/>
                              <w:pBdr>
                                <w:top w:val="nil"/>
                                <w:left w:val="nil"/>
                                <w:bottom w:val="nil"/>
                                <w:right w:val="nil"/>
                                <w:between w:val="nil"/>
                              </w:pBdr>
                              <w:spacing w:line="360" w:lineRule="auto"/>
                              <w:ind w:left="566"/>
                              <w:jc w:val="both"/>
                              <w:rPr>
                                <w:rFonts w:ascii="EB Garamond" w:hAnsi="EB Garamond"/>
                                <w:sz w:val="20"/>
                                <w:szCs w:val="20"/>
                                <w:lang w:val="en-US"/>
                              </w:rPr>
                            </w:pPr>
                          </w:p>
                          <w:p w14:paraId="63B5F310"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en-US"/>
                              </w:rPr>
                            </w:pPr>
                            <w:r w:rsidRPr="00BB3DE1">
                              <w:rPr>
                                <w:rFonts w:ascii="EB Garamond" w:hAnsi="EB Garamond"/>
                                <w:b/>
                                <w:sz w:val="20"/>
                                <w:szCs w:val="20"/>
                                <w:lang w:val="en-US"/>
                              </w:rPr>
                              <w:t>Keywords</w:t>
                            </w:r>
                            <w:r w:rsidRPr="00BB3DE1">
                              <w:rPr>
                                <w:rFonts w:ascii="EB Garamond" w:hAnsi="EB Garamond"/>
                                <w:sz w:val="20"/>
                                <w:szCs w:val="20"/>
                                <w:lang w:val="en-US"/>
                              </w:rPr>
                              <w:t>: Engineering, Data Mining, Student Profile, Academic Dropout, Machine Learning, Career Choice.</w:t>
                            </w:r>
                          </w:p>
                          <w:p w14:paraId="00731FB9" w14:textId="77777777" w:rsidR="00BB3DE1" w:rsidRPr="00BB3DE1" w:rsidRDefault="00BB3DE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9C830" id="10 Cuadro de texto" o:spid="_x0000_s1027" type="#_x0000_t202" style="position:absolute;left:0;text-align:left;margin-left:-1.15pt;margin-top:96.8pt;width:466.5pt;height:27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" fillcolor="white [3201]" strokeweight=".5pt">
                <v:textbox>
                  <w:txbxContent>
                    <w:p w14:paraId="74632967"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b/>
                          <w:sz w:val="24"/>
                          <w:szCs w:val="20"/>
                          <w:lang w:val="en-US"/>
                        </w:rPr>
                      </w:pPr>
                      <w:r w:rsidRPr="00BB3DE1">
                        <w:rPr>
                          <w:rFonts w:ascii="EB Garamond" w:hAnsi="EB Garamond"/>
                          <w:b/>
                          <w:sz w:val="24"/>
                          <w:szCs w:val="20"/>
                          <w:lang w:val="en-US"/>
                        </w:rPr>
                        <w:t>Abstract</w:t>
                      </w:r>
                    </w:p>
                    <w:p w14:paraId="1B3856F2"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en-US"/>
                        </w:rPr>
                      </w:pPr>
                      <w:r w:rsidRPr="00BB3DE1">
                        <w:rPr>
                          <w:rFonts w:ascii="EB Garamond" w:hAnsi="EB Garamond"/>
                          <w:sz w:val="20"/>
                          <w:szCs w:val="20"/>
                          <w:lang w:val="en-US"/>
                        </w:rPr>
                        <w:t>This literature review analyzed the academic and sociodemographic factors affecting engineering students in private universities, aiming to characterize their profiles and support pedagogical strategies. The study identifies mathematical ability (entrance score) as the most critical predictor of success and retention. An aggravating factor is the labor precarity among working students, as it reduces study time and causes cognitive fatigue. To address this, the work validates advanced methodologies like Data Envelopment Analysis (DEA) to measure institutional efficiency and Machine Learning (ML) to predict dropout. Case studies from countries such as Bolivia (2014-2015), Argentina (2009-2011), Nigeria (2005-2009), Mexico, Chile, and India were analyzed. This contributes to SDG 4 (Quality Education) and SDG 8 (Decent Work and Economic Growth). Dropout is multifactorial; the use of DEA and ML is essential for timely intervention, improving educational quality, and retention.</w:t>
                      </w:r>
                    </w:p>
                    <w:p w14:paraId="5B6C4593" w14:textId="77777777" w:rsidR="00BB3DE1" w:rsidRPr="00BB3DE1" w:rsidRDefault="00BB3DE1" w:rsidP="00BB3DE1">
                      <w:pPr>
                        <w:widowControl w:val="0"/>
                        <w:pBdr>
                          <w:top w:val="nil"/>
                          <w:left w:val="nil"/>
                          <w:bottom w:val="nil"/>
                          <w:right w:val="nil"/>
                          <w:between w:val="nil"/>
                        </w:pBdr>
                        <w:spacing w:line="360" w:lineRule="auto"/>
                        <w:ind w:left="566"/>
                        <w:jc w:val="both"/>
                        <w:rPr>
                          <w:rFonts w:ascii="EB Garamond" w:hAnsi="EB Garamond"/>
                          <w:sz w:val="20"/>
                          <w:szCs w:val="20"/>
                          <w:lang w:val="en-US"/>
                        </w:rPr>
                      </w:pPr>
                    </w:p>
                    <w:p w14:paraId="63B5F310"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en-US"/>
                        </w:rPr>
                      </w:pPr>
                      <w:r w:rsidRPr="00BB3DE1">
                        <w:rPr>
                          <w:rFonts w:ascii="EB Garamond" w:hAnsi="EB Garamond"/>
                          <w:b/>
                          <w:sz w:val="20"/>
                          <w:szCs w:val="20"/>
                          <w:lang w:val="en-US"/>
                        </w:rPr>
                        <w:t>Keywords</w:t>
                      </w:r>
                      <w:r w:rsidRPr="00BB3DE1">
                        <w:rPr>
                          <w:rFonts w:ascii="EB Garamond" w:hAnsi="EB Garamond"/>
                          <w:sz w:val="20"/>
                          <w:szCs w:val="20"/>
                          <w:lang w:val="en-US"/>
                        </w:rPr>
                        <w:t>: Engineering, Data Mining, Student Profile, Academic Dropout, Machine Learning, Career Choice.</w:t>
                      </w:r>
                    </w:p>
                    <w:p w14:paraId="00731FB9" w14:textId="77777777" w:rsidR="00BB3DE1" w:rsidRPr="00BB3DE1" w:rsidRDefault="00BB3DE1">
                      <w:pPr>
                        <w:rPr>
                          <w:lang w:val="en-US"/>
                        </w:rPr>
                      </w:pPr>
                    </w:p>
                  </w:txbxContent>
                </v:textbox>
                <w10:wrap type="topAndBottom"/>
              </v:shape>
            </w:pict>
          </mc:Fallback>
        </mc:AlternateContent>
      </w:r>
      <w:r w:rsidR="00B952CB" w:rsidRPr="00B952CB">
        <w:rPr>
          <w:rFonts w:ascii="EB Garamond" w:eastAsia="EB Garamond" w:hAnsi="EB Garamond" w:cs="EB Garamond"/>
          <w:b/>
          <w:sz w:val="32"/>
          <w:szCs w:val="32"/>
          <w:lang w:val="en-US"/>
        </w:rPr>
        <w:t>Literature Review of Sociodemographic and Academic Factors Influencing Engineering Career Choice, Student Profile, and Retention: An Analysis of Private University Data.</w:t>
      </w:r>
    </w:p>
    <w:p w14:paraId="6013F741" w14:textId="45D69798" w:rsidR="005B57E5" w:rsidRPr="00BB3DE1" w:rsidRDefault="00BB3DE1" w:rsidP="00BB3DE1">
      <w:pPr>
        <w:jc w:val="center"/>
        <w:rPr>
          <w:rFonts w:ascii="EB Garamond" w:eastAsia="EB Garamond" w:hAnsi="EB Garamond" w:cs="EB Garamond"/>
          <w:b/>
          <w:sz w:val="32"/>
          <w:szCs w:val="32"/>
          <w:lang w:val="pt-BR"/>
        </w:rPr>
      </w:pPr>
      <w:r>
        <w:rPr>
          <w:rFonts w:ascii="EB Garamond" w:eastAsia="EB Garamond" w:hAnsi="EB Garamond" w:cs="EB Garamond"/>
          <w:b/>
          <w:sz w:val="32"/>
          <w:szCs w:val="32"/>
          <w:lang w:val="pt-BR"/>
        </w:rPr>
        <w:br w:type="page"/>
      </w:r>
      <w:r>
        <w:rPr>
          <w:noProof/>
          <w:sz w:val="20"/>
          <w:szCs w:val="20"/>
          <w:lang w:val="es-VE"/>
        </w:rPr>
        <w:lastRenderedPageBreak/>
        <mc:AlternateContent>
          <mc:Choice Requires="wps">
            <w:drawing>
              <wp:anchor distT="0" distB="0" distL="114300" distR="114300" simplePos="0" relativeHeight="251662336" behindDoc="0" locked="0" layoutInCell="1" allowOverlap="1" wp14:anchorId="76D5C5A0" wp14:editId="777AA491">
                <wp:simplePos x="0" y="0"/>
                <wp:positionH relativeFrom="column">
                  <wp:posOffset>-14605</wp:posOffset>
                </wp:positionH>
                <wp:positionV relativeFrom="paragraph">
                  <wp:posOffset>1029335</wp:posOffset>
                </wp:positionV>
                <wp:extent cx="5970270" cy="3248025"/>
                <wp:effectExtent l="0" t="0" r="11430" b="28575"/>
                <wp:wrapTopAndBottom/>
                <wp:docPr id="11" name="11 Cuadro de texto"/>
                <wp:cNvGraphicFramePr/>
                <a:graphic xmlns:a="http://schemas.openxmlformats.org/drawingml/2006/main">
                  <a:graphicData uri="http://schemas.microsoft.com/office/word/2010/wordprocessingShape">
                    <wps:wsp>
                      <wps:cNvSpPr txBox="1"/>
                      <wps:spPr>
                        <a:xfrm>
                          <a:off x="0" y="0"/>
                          <a:ext cx="5970270" cy="3248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922AD8"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b/>
                                <w:sz w:val="20"/>
                                <w:szCs w:val="20"/>
                                <w:lang w:val="pt-BR"/>
                              </w:rPr>
                              <w:t>Abstrair</w:t>
                            </w:r>
                          </w:p>
                          <w:p w14:paraId="61829CEC"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sz w:val="20"/>
                                <w:szCs w:val="20"/>
                                <w:lang w:val="pt-BR"/>
                              </w:rPr>
                              <w:t>Esta revisão bibliográfica analisou os fatores acadêmicos e sociodemográficos que afetam os estudantes de engenharia em universidades privadas, com o objetivo de caracterizar seus perfis e apoiar estratégias pedagógicas. O estudo identifica a habilidade em matemática (pontuação de ingresso) como o preditor mais crítico para o sucesso e a retenção. Um fator agravante é a precariedade laboral entre estudantes que trabalham, pois reduz o tempo de estudo e causa fadiga cognitiva. Para abordar isso, o trabalho valida metodologias avançadas como a Análise Envoltória de Dados (DEA) para medir a eficiência institucional e o Machine Learning (ML) para prever a evasão. Foram analisados estudos de caso de países como Bolívia (2014-2015), Argentina (2009-2011), Nigéria (2005-2009), México, Chile e Índia. Isso contribui para o ODS 4 (Educação de Qualidade) e o ODS 8 (Trabalho Decente e Crescimento Econômico). A evasão é multifatorial; o uso de DEA e ML é essencial para intervir a tempo, melhorando a qualidade educacional e a retenção.</w:t>
                            </w:r>
                          </w:p>
                          <w:p w14:paraId="69BF062A" w14:textId="77777777" w:rsidR="00BB3DE1" w:rsidRDefault="00BB3DE1" w:rsidP="00BB3DE1">
                            <w:pPr>
                              <w:widowControl w:val="0"/>
                              <w:pBdr>
                                <w:top w:val="nil"/>
                                <w:left w:val="nil"/>
                                <w:bottom w:val="nil"/>
                                <w:right w:val="nil"/>
                                <w:between w:val="nil"/>
                              </w:pBdr>
                              <w:spacing w:line="360" w:lineRule="auto"/>
                              <w:jc w:val="both"/>
                              <w:rPr>
                                <w:rFonts w:ascii="EB Garamond" w:hAnsi="EB Garamond"/>
                                <w:b/>
                                <w:sz w:val="20"/>
                                <w:szCs w:val="20"/>
                                <w:lang w:val="pt-BR"/>
                              </w:rPr>
                            </w:pPr>
                          </w:p>
                          <w:p w14:paraId="6ACAFEB2" w14:textId="77777777" w:rsid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b/>
                                <w:sz w:val="20"/>
                                <w:szCs w:val="20"/>
                                <w:lang w:val="pt-BR"/>
                              </w:rPr>
                              <w:t xml:space="preserve">Palavras-chave: </w:t>
                            </w:r>
                            <w:r w:rsidRPr="00BB3DE1">
                              <w:rPr>
                                <w:rFonts w:ascii="EB Garamond" w:hAnsi="EB Garamond"/>
                                <w:sz w:val="20"/>
                                <w:szCs w:val="20"/>
                                <w:lang w:val="pt-BR"/>
                              </w:rPr>
                              <w:t>Engenharia, Mineração de Dados, Perfil do Aluno, Evasão Acadê</w:t>
                            </w:r>
                            <w:r>
                              <w:rPr>
                                <w:rFonts w:ascii="EB Garamond" w:hAnsi="EB Garamond"/>
                                <w:sz w:val="20"/>
                                <w:szCs w:val="20"/>
                                <w:lang w:val="pt-BR"/>
                              </w:rPr>
                              <w:t xml:space="preserve">mica, Machine Learning, Escolha </w:t>
                            </w:r>
                            <w:r w:rsidRPr="00BB3DE1">
                              <w:rPr>
                                <w:rFonts w:ascii="EB Garamond" w:hAnsi="EB Garamond"/>
                                <w:sz w:val="20"/>
                                <w:szCs w:val="20"/>
                                <w:lang w:val="pt-BR"/>
                              </w:rPr>
                              <w:t>de Carreira.</w:t>
                            </w:r>
                          </w:p>
                          <w:p w14:paraId="05105E5D" w14:textId="77777777" w:rsidR="00BB3DE1" w:rsidRPr="00BB3DE1" w:rsidRDefault="00BB3DE1">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C5A0" id="11 Cuadro de texto" o:spid="_x0000_s1028" type="#_x0000_t202" style="position:absolute;left:0;text-align:left;margin-left:-1.15pt;margin-top:81.05pt;width:470.1pt;height:25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" fillcolor="white [3201]" strokeweight=".5pt">
                <v:textbox>
                  <w:txbxContent>
                    <w:p w14:paraId="6B922AD8"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b/>
                          <w:sz w:val="20"/>
                          <w:szCs w:val="20"/>
                          <w:lang w:val="pt-BR"/>
                        </w:rPr>
                        <w:t>Abstrair</w:t>
                      </w:r>
                    </w:p>
                    <w:p w14:paraId="61829CEC" w14:textId="77777777" w:rsidR="00BB3DE1" w:rsidRP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sz w:val="20"/>
                          <w:szCs w:val="20"/>
                          <w:lang w:val="pt-BR"/>
                        </w:rPr>
                        <w:t>Esta revisão bibliográfica analisou os fatores acadêmicos e sociodemográficos que afetam os estudantes de engenharia em universidades privadas, com o objetivo de caracterizar seus perfis e apoiar estratégias pedagógicas. O estudo identifica a habilidade em matemática (pontuação de ingresso) como o preditor mais crítico para o sucesso e a retenção. Um fator agravante é a precariedade laboral entre estudantes que trabalham, pois reduz o tempo de estudo e causa fadiga cognitiva. Para abordar isso, o trabalho valida metodologias avançadas como a Análise Envoltória de Dados (DEA) para medir a eficiência institucional e o Machine Learning (ML) para prever a evasão. Foram analisados estudos de caso de países como Bolívia (2014-2015), Argentina (2009-2011), Nigéria (2005-2009), México, Chile e Índia. Isso contribui para o ODS 4 (Educação de Qualidade) e o ODS 8 (Trabalho Decente e Crescimento Econômico). A evasão é multifatorial; o uso de DEA e ML é essencial para intervir a tempo, melhorando a qualidade educacional e a retenção.</w:t>
                      </w:r>
                    </w:p>
                    <w:p w14:paraId="69BF062A" w14:textId="77777777" w:rsidR="00BB3DE1" w:rsidRDefault="00BB3DE1" w:rsidP="00BB3DE1">
                      <w:pPr>
                        <w:widowControl w:val="0"/>
                        <w:pBdr>
                          <w:top w:val="nil"/>
                          <w:left w:val="nil"/>
                          <w:bottom w:val="nil"/>
                          <w:right w:val="nil"/>
                          <w:between w:val="nil"/>
                        </w:pBdr>
                        <w:spacing w:line="360" w:lineRule="auto"/>
                        <w:jc w:val="both"/>
                        <w:rPr>
                          <w:rFonts w:ascii="EB Garamond" w:hAnsi="EB Garamond"/>
                          <w:b/>
                          <w:sz w:val="20"/>
                          <w:szCs w:val="20"/>
                          <w:lang w:val="pt-BR"/>
                        </w:rPr>
                      </w:pPr>
                    </w:p>
                    <w:p w14:paraId="6ACAFEB2" w14:textId="77777777" w:rsidR="00BB3DE1" w:rsidRDefault="00BB3DE1" w:rsidP="00BB3DE1">
                      <w:pPr>
                        <w:widowControl w:val="0"/>
                        <w:pBdr>
                          <w:top w:val="nil"/>
                          <w:left w:val="nil"/>
                          <w:bottom w:val="nil"/>
                          <w:right w:val="nil"/>
                          <w:between w:val="nil"/>
                        </w:pBdr>
                        <w:spacing w:line="360" w:lineRule="auto"/>
                        <w:jc w:val="both"/>
                        <w:rPr>
                          <w:rFonts w:ascii="EB Garamond" w:hAnsi="EB Garamond"/>
                          <w:sz w:val="20"/>
                          <w:szCs w:val="20"/>
                          <w:lang w:val="pt-BR"/>
                        </w:rPr>
                      </w:pPr>
                      <w:r w:rsidRPr="00BB3DE1">
                        <w:rPr>
                          <w:rFonts w:ascii="EB Garamond" w:hAnsi="EB Garamond"/>
                          <w:b/>
                          <w:sz w:val="20"/>
                          <w:szCs w:val="20"/>
                          <w:lang w:val="pt-BR"/>
                        </w:rPr>
                        <w:t xml:space="preserve">Palavras-chave: </w:t>
                      </w:r>
                      <w:r w:rsidRPr="00BB3DE1">
                        <w:rPr>
                          <w:rFonts w:ascii="EB Garamond" w:hAnsi="EB Garamond"/>
                          <w:sz w:val="20"/>
                          <w:szCs w:val="20"/>
                          <w:lang w:val="pt-BR"/>
                        </w:rPr>
                        <w:t>Engenharia, Mineração de Dados, Perfil do Aluno, Evasão Acadê</w:t>
                      </w:r>
                      <w:r>
                        <w:rPr>
                          <w:rFonts w:ascii="EB Garamond" w:hAnsi="EB Garamond"/>
                          <w:sz w:val="20"/>
                          <w:szCs w:val="20"/>
                          <w:lang w:val="pt-BR"/>
                        </w:rPr>
                        <w:t xml:space="preserve">mica, Machine Learning, Escolha </w:t>
                      </w:r>
                      <w:r w:rsidRPr="00BB3DE1">
                        <w:rPr>
                          <w:rFonts w:ascii="EB Garamond" w:hAnsi="EB Garamond"/>
                          <w:sz w:val="20"/>
                          <w:szCs w:val="20"/>
                          <w:lang w:val="pt-BR"/>
                        </w:rPr>
                        <w:t>de Carreira.</w:t>
                      </w:r>
                    </w:p>
                    <w:p w14:paraId="05105E5D" w14:textId="77777777" w:rsidR="00BB3DE1" w:rsidRPr="00BB3DE1" w:rsidRDefault="00BB3DE1">
                      <w:pPr>
                        <w:rPr>
                          <w:lang w:val="pt-BR"/>
                        </w:rPr>
                      </w:pPr>
                    </w:p>
                  </w:txbxContent>
                </v:textbox>
                <w10:wrap type="topAndBottom"/>
              </v:shape>
            </w:pict>
          </mc:Fallback>
        </mc:AlternateContent>
      </w:r>
      <w:r w:rsidR="00B952CB" w:rsidRPr="00B952CB">
        <w:rPr>
          <w:rFonts w:ascii="EB Garamond" w:eastAsia="EB Garamond" w:hAnsi="EB Garamond" w:cs="EB Garamond"/>
          <w:b/>
          <w:sz w:val="32"/>
          <w:szCs w:val="32"/>
          <w:lang w:val="pt-BR"/>
        </w:rPr>
        <w:t>Revisão Bibliográfica dos Fatores Sociodemográficos e Acadêmicos que Influenciam a Escolha da Carreira em Engenharia, o Perfil e a Retenção: Uma Análise dos D</w:t>
      </w:r>
      <w:r w:rsidR="00B952CB">
        <w:rPr>
          <w:rFonts w:ascii="EB Garamond" w:eastAsia="EB Garamond" w:hAnsi="EB Garamond" w:cs="EB Garamond"/>
          <w:b/>
          <w:sz w:val="32"/>
          <w:szCs w:val="32"/>
          <w:lang w:val="pt-BR"/>
        </w:rPr>
        <w:t>ados das Universidades Privadas</w:t>
      </w:r>
      <w:r w:rsidR="00E8579C" w:rsidRPr="00976FB9">
        <w:rPr>
          <w:rFonts w:ascii="EB Garamond" w:eastAsia="EB Garamond" w:hAnsi="EB Garamond" w:cs="EB Garamond"/>
          <w:b/>
          <w:sz w:val="32"/>
          <w:szCs w:val="32"/>
          <w:lang w:val="pt-BR"/>
        </w:rPr>
        <w:t>.</w:t>
      </w:r>
    </w:p>
    <w:p w14:paraId="2A5EC110" w14:textId="370833E8" w:rsidR="00BB3DE1" w:rsidRDefault="00BB3DE1" w:rsidP="00BB3DE1">
      <w:pPr>
        <w:widowControl w:val="0"/>
        <w:pBdr>
          <w:top w:val="nil"/>
          <w:left w:val="nil"/>
          <w:bottom w:val="nil"/>
          <w:right w:val="nil"/>
          <w:between w:val="nil"/>
        </w:pBdr>
        <w:spacing w:line="360" w:lineRule="auto"/>
        <w:jc w:val="right"/>
        <w:rPr>
          <w:rFonts w:ascii="EB Garamond" w:hAnsi="EB Garamond"/>
          <w:sz w:val="20"/>
          <w:szCs w:val="20"/>
          <w:lang w:val="pt-BR"/>
        </w:rPr>
      </w:pPr>
    </w:p>
    <w:p w14:paraId="10215709" w14:textId="77777777" w:rsidR="00BB3DE1" w:rsidRDefault="00BB3DE1" w:rsidP="00B952CB">
      <w:pPr>
        <w:widowControl w:val="0"/>
        <w:pBdr>
          <w:top w:val="nil"/>
          <w:left w:val="nil"/>
          <w:bottom w:val="nil"/>
          <w:right w:val="nil"/>
          <w:between w:val="nil"/>
        </w:pBdr>
        <w:spacing w:line="360" w:lineRule="auto"/>
        <w:ind w:left="566"/>
        <w:jc w:val="both"/>
        <w:rPr>
          <w:rFonts w:ascii="EB Garamond" w:hAnsi="EB Garamond"/>
          <w:sz w:val="20"/>
          <w:szCs w:val="20"/>
          <w:lang w:val="pt-BR"/>
        </w:rPr>
      </w:pPr>
    </w:p>
    <w:p w14:paraId="554B5905" w14:textId="77777777" w:rsidR="00BB3DE1" w:rsidRPr="00BB3DE1" w:rsidRDefault="00BB3DE1" w:rsidP="00B952CB">
      <w:pPr>
        <w:widowControl w:val="0"/>
        <w:pBdr>
          <w:top w:val="nil"/>
          <w:left w:val="nil"/>
          <w:bottom w:val="nil"/>
          <w:right w:val="nil"/>
          <w:between w:val="nil"/>
        </w:pBdr>
        <w:spacing w:line="360" w:lineRule="auto"/>
        <w:ind w:left="566"/>
        <w:jc w:val="both"/>
        <w:rPr>
          <w:rFonts w:ascii="EB Garamond" w:hAnsi="EB Garamond"/>
          <w:sz w:val="20"/>
          <w:szCs w:val="20"/>
          <w:lang w:val="pt-BR"/>
        </w:rPr>
        <w:sectPr w:rsidR="00BB3DE1" w:rsidRPr="00BB3DE1" w:rsidSect="00DB7681">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133" w:header="720" w:footer="720" w:gutter="0"/>
          <w:pgNumType w:start="43"/>
          <w:cols w:space="720"/>
          <w:titlePg/>
          <w:docGrid w:linePitch="299"/>
        </w:sectPr>
      </w:pPr>
    </w:p>
    <w:p w14:paraId="2824D2AE" w14:textId="0A493D88" w:rsidR="005B57E5" w:rsidRDefault="00CC5695" w:rsidP="00BC370C">
      <w:pPr>
        <w:pStyle w:val="Ttulo1"/>
        <w:numPr>
          <w:ilvl w:val="0"/>
          <w:numId w:val="4"/>
        </w:numPr>
        <w:jc w:val="center"/>
      </w:pPr>
      <w:r>
        <w:lastRenderedPageBreak/>
        <w:t>INTRODUCCIÓN</w:t>
      </w:r>
    </w:p>
    <w:p w14:paraId="34D2E8CD" w14:textId="4C78108D" w:rsidR="009E1402" w:rsidRPr="00174218" w:rsidRDefault="009E1402">
      <w:pPr>
        <w:ind w:firstLine="709"/>
        <w:jc w:val="both"/>
        <w:rPr>
          <w:szCs w:val="20"/>
        </w:rPr>
      </w:pPr>
      <w:r w:rsidRPr="00174218">
        <w:rPr>
          <w:szCs w:val="20"/>
        </w:rPr>
        <w:t>En la actualidad, la formación en ingeniería enfrenta desafíos multifactoriales que han impactado la retención y el crecimiento de la población estudiantil. Instituciones de educación superior han respondido implementando estrategias basadas en el análisis de datos y perfiles estudiantiles, con el objetivo de mitigar la deserción académica y fomentar el interés sostenido en estas disciplinas [1]</w:t>
      </w:r>
    </w:p>
    <w:p w14:paraId="1BE47DFE" w14:textId="5DD7D311" w:rsidR="005B57E5" w:rsidRDefault="001170FE">
      <w:pPr>
        <w:ind w:firstLine="709"/>
        <w:jc w:val="both"/>
        <w:rPr>
          <w:szCs w:val="20"/>
        </w:rPr>
      </w:pPr>
      <w:r w:rsidRPr="00174218">
        <w:rPr>
          <w:szCs w:val="20"/>
        </w:rPr>
        <w:t>Un estudio realizado en Hispanoamérica indica que los estudiantes de ingeniería están motivados por la búsqueda de altas calificaciones y la competencia académica. Para satisfacer esta necesidad de rendimiento y, al mismo tiempo, aumentar su autoestima, estos alumnos adoptan estrategias de organización, planificación y presentación de resultados de aprendizaje</w:t>
      </w:r>
      <w:r w:rsidR="00CE706F" w:rsidRPr="00174218">
        <w:rPr>
          <w:szCs w:val="20"/>
        </w:rPr>
        <w:t xml:space="preserve"> [2]</w:t>
      </w:r>
      <w:r w:rsidRPr="00174218">
        <w:rPr>
          <w:szCs w:val="20"/>
        </w:rPr>
        <w:t>. Estas acciones tienen como objetivo sobresalir y competir dentro de su entorno académico.</w:t>
      </w:r>
      <w:r w:rsidR="00E8579C" w:rsidRPr="00174218">
        <w:rPr>
          <w:szCs w:val="20"/>
        </w:rPr>
        <w:t xml:space="preserve"> Además, la </w:t>
      </w:r>
      <w:r w:rsidR="00CF6001" w:rsidRPr="00174218">
        <w:rPr>
          <w:szCs w:val="20"/>
        </w:rPr>
        <w:t>deserción</w:t>
      </w:r>
      <w:r w:rsidR="00E8579C" w:rsidRPr="00174218">
        <w:rPr>
          <w:szCs w:val="20"/>
        </w:rPr>
        <w:t xml:space="preserve"> estudiantil ha crecido con los estudios realizados en Latinoamérica debido a razones socioeconómicas y educativas [2] “Los resultados obtenidos a partir de los datos proporcionados por las carreras de Ingeniería de la Universidad Católica del Norte en Antofagasta y Coquimbo (Chile) determinan que las variables que mejor explican la deserción de un estudiante son, las razones socioeconómicas y el puntaje de ingreso a la universidad (PSU). Según el árbol de decisión construido se concluye que la retención se sitúa en un 78,3%” en otros estudios realizados de la deserción se tiene previsto las siguientes causas La deserción escolar involucra diversos factores, entre ellos, “el compromiso del </w:t>
      </w:r>
      <w:r w:rsidR="00E8579C" w:rsidRPr="00174218">
        <w:rPr>
          <w:szCs w:val="20"/>
        </w:rPr>
        <w:t>estudiante tiene varios componentes, tales como conductual, emocional y cognitivo</w:t>
      </w:r>
      <w:r w:rsidR="002E6283" w:rsidRPr="00174218">
        <w:rPr>
          <w:szCs w:val="20"/>
        </w:rPr>
        <w:t>”</w:t>
      </w:r>
      <w:r w:rsidR="00E8579C" w:rsidRPr="00174218">
        <w:rPr>
          <w:szCs w:val="20"/>
        </w:rPr>
        <w:t xml:space="preserve"> [</w:t>
      </w:r>
      <w:r w:rsidR="009E1402" w:rsidRPr="00174218">
        <w:rPr>
          <w:szCs w:val="20"/>
        </w:rPr>
        <w:t>4</w:t>
      </w:r>
      <w:r w:rsidR="00E8579C" w:rsidRPr="00174218">
        <w:rPr>
          <w:szCs w:val="20"/>
        </w:rPr>
        <w:t xml:space="preserve">]. Por </w:t>
      </w:r>
      <w:r w:rsidR="0069512D" w:rsidRPr="00174218">
        <w:rPr>
          <w:szCs w:val="20"/>
        </w:rPr>
        <w:t>otro lado</w:t>
      </w:r>
      <w:r w:rsidR="00E8579C" w:rsidRPr="00174218">
        <w:rPr>
          <w:szCs w:val="20"/>
        </w:rPr>
        <w:t xml:space="preserve">, es un reto para las universidades actualmente establecer un perfil de ingreso estudiantil, dado al aspecto gubernamental de cada uno de los países </w:t>
      </w:r>
      <w:r w:rsidR="0069512D" w:rsidRPr="00174218">
        <w:rPr>
          <w:szCs w:val="20"/>
        </w:rPr>
        <w:t>“En</w:t>
      </w:r>
      <w:r w:rsidR="00E8579C" w:rsidRPr="00174218">
        <w:rPr>
          <w:szCs w:val="20"/>
        </w:rPr>
        <w:t xml:space="preserve"> la transformación de los estudiantes en ingenieros competentes, el papel de los educadores de ingeniería se ha vuelto crucial</w:t>
      </w:r>
      <w:r w:rsidR="00B07963" w:rsidRPr="00174218">
        <w:rPr>
          <w:szCs w:val="20"/>
        </w:rPr>
        <w:t>”</w:t>
      </w:r>
      <w:r w:rsidR="00CE706F" w:rsidRPr="00174218">
        <w:rPr>
          <w:szCs w:val="20"/>
        </w:rPr>
        <w:t xml:space="preserve"> [4]</w:t>
      </w:r>
      <w:r w:rsidR="00E8579C" w:rsidRPr="00174218">
        <w:rPr>
          <w:szCs w:val="20"/>
        </w:rPr>
        <w:t>. Debido al aumento del número de institutos de ingeniería en toda la India, todos los estudiantes competentes e incompetentes están siendo admitidos en los institutos. El mérito del nivel de entrada de los estudiantes también varía de un estudiante a otro debido a las políticas del gobierno estatal y central. Debido a esto, todos los estudiantes graduados no están adquiriendo las habilidades y competencias deseadas y, por lo tanto, muchos de ellos no pueden conseguir trabajo en la industria. En definitiva, una gran serie de factores socioeconómicos, laborales, emocionales, educativos y gubernamentales afectan la decisión del futuro estudiante de ingeniería, este artículo tiene como objetivo revisar el estado del arte sobre las acciones tomadas para las universidades para mantener al estudiante durante toda su carrera hasta su culminación y los análisis de datos que se han propuesto hasta la fecha sobre este tema.</w:t>
      </w:r>
    </w:p>
    <w:p w14:paraId="3BC909DE" w14:textId="2A8C698F" w:rsidR="00BC370C" w:rsidRDefault="00BC370C">
      <w:pPr>
        <w:ind w:firstLine="709"/>
        <w:jc w:val="both"/>
        <w:rPr>
          <w:szCs w:val="20"/>
        </w:rPr>
      </w:pPr>
    </w:p>
    <w:p w14:paraId="67BA599B" w14:textId="77777777" w:rsidR="00BC370C" w:rsidRPr="00174218" w:rsidRDefault="00BC370C">
      <w:pPr>
        <w:ind w:firstLine="709"/>
        <w:jc w:val="both"/>
        <w:rPr>
          <w:szCs w:val="20"/>
        </w:rPr>
      </w:pPr>
    </w:p>
    <w:p w14:paraId="27C22C00" w14:textId="77777777" w:rsidR="005B57E5" w:rsidRPr="00E00AEA" w:rsidRDefault="005B57E5">
      <w:pPr>
        <w:ind w:firstLine="709"/>
        <w:jc w:val="both"/>
        <w:rPr>
          <w:sz w:val="20"/>
          <w:szCs w:val="20"/>
        </w:rPr>
      </w:pPr>
    </w:p>
    <w:p w14:paraId="5F1ED4B7" w14:textId="338EAAAA" w:rsidR="005B57E5" w:rsidRPr="00CC5695" w:rsidRDefault="00CC5695" w:rsidP="00BC370C">
      <w:pPr>
        <w:pStyle w:val="Ttulo1"/>
        <w:numPr>
          <w:ilvl w:val="0"/>
          <w:numId w:val="4"/>
        </w:numPr>
        <w:jc w:val="center"/>
      </w:pPr>
      <w:r w:rsidRPr="00CC5695">
        <w:t>METODOLOGÍA</w:t>
      </w:r>
    </w:p>
    <w:p w14:paraId="3CD34CB8" w14:textId="77777777" w:rsidR="005B57E5" w:rsidRPr="00E00AEA" w:rsidRDefault="005B57E5">
      <w:pPr>
        <w:jc w:val="both"/>
        <w:rPr>
          <w:sz w:val="20"/>
          <w:szCs w:val="20"/>
        </w:rPr>
      </w:pPr>
    </w:p>
    <w:p w14:paraId="1132F953" w14:textId="27500D9E" w:rsidR="005B57E5" w:rsidRPr="00174218" w:rsidRDefault="00D9591E">
      <w:pPr>
        <w:ind w:firstLine="709"/>
        <w:jc w:val="both"/>
        <w:rPr>
          <w:szCs w:val="20"/>
        </w:rPr>
      </w:pPr>
      <w:r w:rsidRPr="00174218">
        <w:rPr>
          <w:szCs w:val="20"/>
        </w:rPr>
        <w:t xml:space="preserve">La metodología empleada en el estudio se basa en una revisión descriptiva de la literatura existente. Este enfoque permite analizar y sintetizar </w:t>
      </w:r>
      <w:r w:rsidRPr="00174218">
        <w:rPr>
          <w:szCs w:val="20"/>
        </w:rPr>
        <w:lastRenderedPageBreak/>
        <w:t xml:space="preserve">información de estudios de caso previamente registrados para identificar las características y tendencias de los estudiantes de ingeniería en universidades privadas. La investigación se divide en tres áreas principales de análisis: casos de perfil de ingreso, casos de análisis paramétrico y casos de análisis de datos y </w:t>
      </w:r>
      <w:r w:rsidRPr="00174218">
        <w:rPr>
          <w:i/>
          <w:szCs w:val="20"/>
        </w:rPr>
        <w:t xml:space="preserve">machine </w:t>
      </w:r>
      <w:proofErr w:type="spellStart"/>
      <w:r w:rsidRPr="00174218">
        <w:rPr>
          <w:i/>
          <w:szCs w:val="20"/>
        </w:rPr>
        <w:t>learning</w:t>
      </w:r>
      <w:proofErr w:type="spellEnd"/>
      <w:r w:rsidRPr="00174218">
        <w:rPr>
          <w:szCs w:val="20"/>
        </w:rPr>
        <w:t>.</w:t>
      </w:r>
    </w:p>
    <w:p w14:paraId="45272CE8" w14:textId="77777777" w:rsidR="00D9591E" w:rsidRPr="00E00AEA" w:rsidRDefault="00D9591E">
      <w:pPr>
        <w:ind w:firstLine="709"/>
        <w:jc w:val="both"/>
        <w:rPr>
          <w:sz w:val="20"/>
          <w:szCs w:val="20"/>
        </w:rPr>
      </w:pPr>
    </w:p>
    <w:p w14:paraId="705BED19" w14:textId="77777777" w:rsidR="00D9591E" w:rsidRPr="00E00AEA" w:rsidRDefault="00D9591E" w:rsidP="00D9591E">
      <w:pPr>
        <w:jc w:val="both"/>
        <w:rPr>
          <w:b/>
          <w:sz w:val="20"/>
          <w:szCs w:val="20"/>
        </w:rPr>
      </w:pPr>
      <w:r w:rsidRPr="00E00AEA">
        <w:rPr>
          <w:b/>
          <w:sz w:val="20"/>
          <w:szCs w:val="20"/>
        </w:rPr>
        <w:t>Casos de Perfil de Ingreso</w:t>
      </w:r>
    </w:p>
    <w:p w14:paraId="46B2DDDF" w14:textId="77777777" w:rsidR="00D9591E" w:rsidRPr="00E00AEA" w:rsidRDefault="00D9591E" w:rsidP="00D9591E">
      <w:pPr>
        <w:jc w:val="both"/>
        <w:rPr>
          <w:sz w:val="20"/>
          <w:szCs w:val="20"/>
        </w:rPr>
      </w:pPr>
    </w:p>
    <w:p w14:paraId="11A3CFF8" w14:textId="19922523" w:rsidR="00D9591E" w:rsidRPr="00174218" w:rsidRDefault="00D9591E" w:rsidP="00D9591E">
      <w:pPr>
        <w:ind w:firstLine="709"/>
        <w:jc w:val="both"/>
        <w:rPr>
          <w:szCs w:val="20"/>
        </w:rPr>
      </w:pPr>
      <w:r w:rsidRPr="00174218">
        <w:rPr>
          <w:szCs w:val="20"/>
        </w:rPr>
        <w:t>Esta sección se examina los estudios que buscan determinar si las características de los estudiantes al momento de su ingreso a la universidad predicen su éxito académico y la finalización de la carrera. Los casos analizados demuestran que las instituciones de educación superior enfrentan el desafío de establecer un perfil de ingreso idóneo, un problema que a menudo está influenciado por las políticas gubernamentales de cada país.</w:t>
      </w:r>
    </w:p>
    <w:p w14:paraId="27C26BA3" w14:textId="77777777" w:rsidR="00F75979" w:rsidRPr="00E00AEA" w:rsidRDefault="00F75979" w:rsidP="00D9591E">
      <w:pPr>
        <w:ind w:firstLine="709"/>
        <w:jc w:val="both"/>
        <w:rPr>
          <w:sz w:val="20"/>
          <w:szCs w:val="20"/>
        </w:rPr>
      </w:pPr>
    </w:p>
    <w:p w14:paraId="66C8F772" w14:textId="3AB0B2A6" w:rsidR="00F75979" w:rsidRPr="00E00AEA" w:rsidRDefault="00D9591E" w:rsidP="00F75979">
      <w:pPr>
        <w:jc w:val="both"/>
        <w:rPr>
          <w:b/>
          <w:sz w:val="20"/>
          <w:szCs w:val="20"/>
        </w:rPr>
      </w:pPr>
      <w:r w:rsidRPr="00E00AEA">
        <w:rPr>
          <w:b/>
          <w:sz w:val="20"/>
          <w:szCs w:val="20"/>
        </w:rPr>
        <w:t>Análisis de aprendizaj</w:t>
      </w:r>
      <w:r w:rsidR="00F75979" w:rsidRPr="00E00AEA">
        <w:rPr>
          <w:b/>
          <w:sz w:val="20"/>
          <w:szCs w:val="20"/>
        </w:rPr>
        <w:t>e en una universidad nigeriana</w:t>
      </w:r>
    </w:p>
    <w:p w14:paraId="68A8242E" w14:textId="77777777" w:rsidR="00F75979" w:rsidRPr="00E00AEA" w:rsidRDefault="00F75979" w:rsidP="00F75979">
      <w:pPr>
        <w:jc w:val="both"/>
        <w:rPr>
          <w:sz w:val="20"/>
          <w:szCs w:val="20"/>
        </w:rPr>
      </w:pPr>
    </w:p>
    <w:p w14:paraId="3A38B419" w14:textId="1680EF75" w:rsidR="00D9591E" w:rsidRPr="00174218" w:rsidRDefault="00D9591E" w:rsidP="00D9591E">
      <w:pPr>
        <w:ind w:firstLine="709"/>
        <w:jc w:val="both"/>
      </w:pPr>
      <w:r w:rsidRPr="00174218">
        <w:rPr>
          <w:szCs w:val="20"/>
        </w:rPr>
        <w:t xml:space="preserve">Se evaluaron los requisitos de ingreso a los programas de ingeniería para predecir el éxito académico de los estudiantes. Se recopilaron datos de más de 1,000 estudiantes, incluyendo su edad, calificaciones en exámenes previos y resultados en pruebas de admisión. El objetivo fue determinar si estos criterios, establecidos por la Comisión Nacional de Universidades, </w:t>
      </w:r>
      <w:r w:rsidRPr="00174218">
        <w:t>aseguran que los estudiantes estén bien preparado</w:t>
      </w:r>
      <w:r w:rsidR="00F75979" w:rsidRPr="00174218">
        <w:t>s para los desafíos académicos</w:t>
      </w:r>
    </w:p>
    <w:p w14:paraId="6B6F1B7E" w14:textId="77777777" w:rsidR="00F75979" w:rsidRPr="00E00AEA" w:rsidRDefault="00F75979" w:rsidP="00D9591E">
      <w:pPr>
        <w:ind w:firstLine="709"/>
        <w:jc w:val="both"/>
        <w:rPr>
          <w:sz w:val="20"/>
          <w:szCs w:val="20"/>
        </w:rPr>
      </w:pPr>
    </w:p>
    <w:p w14:paraId="1580DBFE" w14:textId="2B196F21" w:rsidR="00F75979" w:rsidRPr="00E00AEA" w:rsidRDefault="00D9591E" w:rsidP="00F75979">
      <w:pPr>
        <w:jc w:val="both"/>
        <w:rPr>
          <w:b/>
          <w:sz w:val="20"/>
          <w:szCs w:val="20"/>
        </w:rPr>
      </w:pPr>
      <w:r w:rsidRPr="00E00AEA">
        <w:rPr>
          <w:b/>
          <w:sz w:val="20"/>
          <w:szCs w:val="20"/>
        </w:rPr>
        <w:t>Diseño de perfil de ingreso</w:t>
      </w:r>
      <w:r w:rsidR="00F75979" w:rsidRPr="00E00AEA">
        <w:rPr>
          <w:b/>
          <w:sz w:val="20"/>
          <w:szCs w:val="20"/>
        </w:rPr>
        <w:t xml:space="preserve"> para una ingeniería en México</w:t>
      </w:r>
    </w:p>
    <w:p w14:paraId="724714CD" w14:textId="77777777" w:rsidR="00F75979" w:rsidRPr="00E00AEA" w:rsidRDefault="00F75979" w:rsidP="00D9591E">
      <w:pPr>
        <w:ind w:firstLine="709"/>
        <w:jc w:val="both"/>
        <w:rPr>
          <w:sz w:val="20"/>
          <w:szCs w:val="20"/>
        </w:rPr>
      </w:pPr>
    </w:p>
    <w:p w14:paraId="440E93FA" w14:textId="0B846C9A" w:rsidR="00D9591E" w:rsidRPr="00174218" w:rsidRDefault="00D9591E" w:rsidP="00D9591E">
      <w:pPr>
        <w:ind w:firstLine="709"/>
        <w:jc w:val="both"/>
        <w:rPr>
          <w:szCs w:val="20"/>
        </w:rPr>
      </w:pPr>
      <w:r w:rsidRPr="00174218">
        <w:rPr>
          <w:szCs w:val="20"/>
        </w:rPr>
        <w:t xml:space="preserve">Se desarrolló una prueba para determinar si los estudiantes de una </w:t>
      </w:r>
      <w:r w:rsidRPr="00174218">
        <w:rPr>
          <w:szCs w:val="20"/>
        </w:rPr>
        <w:t>carrera de Administración poseen las características necesarias al ingresar a la universidad. El estudio sugiere que la deserción y el fracaso académico no se deben solo a la calidad de la enseñanza, sino también a las características de los estudiantes que ingresan.</w:t>
      </w:r>
    </w:p>
    <w:p w14:paraId="7DAD5B17" w14:textId="77777777" w:rsidR="00D9591E" w:rsidRPr="00E00AEA" w:rsidRDefault="00D9591E" w:rsidP="00D9591E">
      <w:pPr>
        <w:ind w:firstLine="709"/>
        <w:jc w:val="both"/>
        <w:rPr>
          <w:sz w:val="20"/>
          <w:szCs w:val="20"/>
        </w:rPr>
      </w:pPr>
    </w:p>
    <w:p w14:paraId="53C50B5A" w14:textId="7D3F3A52" w:rsidR="00D9591E" w:rsidRPr="00E00AEA" w:rsidRDefault="00D9591E" w:rsidP="00D9591E">
      <w:pPr>
        <w:jc w:val="both"/>
        <w:rPr>
          <w:b/>
          <w:sz w:val="20"/>
          <w:szCs w:val="20"/>
        </w:rPr>
      </w:pPr>
      <w:r w:rsidRPr="00E00AEA">
        <w:rPr>
          <w:b/>
          <w:sz w:val="20"/>
          <w:szCs w:val="20"/>
        </w:rPr>
        <w:t>Mapeo de personalidad en estudiantes indios</w:t>
      </w:r>
    </w:p>
    <w:p w14:paraId="09C91D08" w14:textId="77777777" w:rsidR="00F75979" w:rsidRPr="00E00AEA" w:rsidRDefault="00F75979" w:rsidP="00D9591E">
      <w:pPr>
        <w:ind w:firstLine="709"/>
        <w:jc w:val="both"/>
        <w:rPr>
          <w:sz w:val="20"/>
          <w:szCs w:val="20"/>
        </w:rPr>
      </w:pPr>
    </w:p>
    <w:p w14:paraId="4E1257F3" w14:textId="493550B0" w:rsidR="00F75979" w:rsidRPr="00174218" w:rsidRDefault="00D9591E" w:rsidP="00174218">
      <w:pPr>
        <w:ind w:firstLine="709"/>
        <w:jc w:val="both"/>
        <w:rPr>
          <w:szCs w:val="20"/>
        </w:rPr>
      </w:pPr>
      <w:r w:rsidRPr="00174218">
        <w:rPr>
          <w:szCs w:val="20"/>
        </w:rPr>
        <w:t>Un estudio en India se enfocó en identificar los rasgos de personalidad que influyen en el éxito académico de los estudiantes de ingeniería. La investigación, que incluyó a 443 estudiantes de primer año, tuvo como objetivo ayudar a los estudiantes a desarrollar las habilidades necesarias para alcanzar sus metas profesionales a través de evaluaciones y orientación personalizada.</w:t>
      </w:r>
    </w:p>
    <w:p w14:paraId="30C4F0E0" w14:textId="77777777" w:rsidR="00F75979" w:rsidRPr="00E00AEA" w:rsidRDefault="00F75979" w:rsidP="00D9591E">
      <w:pPr>
        <w:jc w:val="both"/>
        <w:rPr>
          <w:b/>
          <w:sz w:val="20"/>
          <w:szCs w:val="20"/>
        </w:rPr>
      </w:pPr>
    </w:p>
    <w:p w14:paraId="1086794A" w14:textId="77777777" w:rsidR="00D9591E" w:rsidRPr="00E00AEA" w:rsidRDefault="00D9591E" w:rsidP="00D9591E">
      <w:pPr>
        <w:jc w:val="both"/>
        <w:rPr>
          <w:b/>
          <w:sz w:val="20"/>
          <w:szCs w:val="20"/>
        </w:rPr>
      </w:pPr>
      <w:r w:rsidRPr="00E00AEA">
        <w:rPr>
          <w:b/>
          <w:sz w:val="20"/>
          <w:szCs w:val="20"/>
        </w:rPr>
        <w:t>Casos de Análisis Paramétrico</w:t>
      </w:r>
    </w:p>
    <w:p w14:paraId="6EEBF29C" w14:textId="77777777" w:rsidR="00D9591E" w:rsidRPr="00E00AEA" w:rsidRDefault="00D9591E" w:rsidP="00D9591E">
      <w:pPr>
        <w:jc w:val="both"/>
        <w:rPr>
          <w:sz w:val="20"/>
          <w:szCs w:val="20"/>
        </w:rPr>
      </w:pPr>
    </w:p>
    <w:p w14:paraId="11E7B326" w14:textId="7D0AB222" w:rsidR="00D9591E" w:rsidRPr="00174218" w:rsidRDefault="00032940" w:rsidP="00D9591E">
      <w:pPr>
        <w:ind w:firstLine="709"/>
        <w:jc w:val="both"/>
        <w:rPr>
          <w:szCs w:val="20"/>
        </w:rPr>
      </w:pPr>
      <w:r w:rsidRPr="00174218">
        <w:rPr>
          <w:szCs w:val="20"/>
        </w:rPr>
        <w:t>Esta sección se enfoca</w:t>
      </w:r>
      <w:r w:rsidR="00D9591E" w:rsidRPr="00174218">
        <w:rPr>
          <w:szCs w:val="20"/>
        </w:rPr>
        <w:t xml:space="preserve"> en</w:t>
      </w:r>
      <w:r w:rsidR="00F75979" w:rsidRPr="00174218">
        <w:rPr>
          <w:szCs w:val="20"/>
        </w:rPr>
        <w:t xml:space="preserve"> los</w:t>
      </w:r>
      <w:r w:rsidR="00D9591E" w:rsidRPr="00174218">
        <w:rPr>
          <w:szCs w:val="20"/>
        </w:rPr>
        <w:t xml:space="preserve"> estudios que utilizan herramientas estadísticas avanzadas para evaluar la eficiencia de las universidades. El documento destaca la importancia de equilibrar los recursos de la universidad y el impacto de las condiciones socioeconómicas de los estudiantes en su rendimiento.</w:t>
      </w:r>
    </w:p>
    <w:p w14:paraId="7D9C771F" w14:textId="77777777" w:rsidR="00D9591E" w:rsidRPr="00E00AEA" w:rsidRDefault="00D9591E" w:rsidP="00D9591E">
      <w:pPr>
        <w:jc w:val="both"/>
        <w:rPr>
          <w:sz w:val="20"/>
          <w:szCs w:val="20"/>
        </w:rPr>
      </w:pPr>
    </w:p>
    <w:p w14:paraId="6A8AD4BF" w14:textId="730C7429" w:rsidR="00F75979" w:rsidRDefault="00D9591E" w:rsidP="00F75979">
      <w:pPr>
        <w:jc w:val="both"/>
        <w:rPr>
          <w:b/>
          <w:sz w:val="20"/>
          <w:szCs w:val="20"/>
        </w:rPr>
      </w:pPr>
      <w:r w:rsidRPr="00E00AEA">
        <w:rPr>
          <w:b/>
          <w:sz w:val="20"/>
          <w:szCs w:val="20"/>
        </w:rPr>
        <w:t>Eficiencia técni</w:t>
      </w:r>
      <w:r w:rsidR="00F75979" w:rsidRPr="00E00AEA">
        <w:rPr>
          <w:b/>
          <w:sz w:val="20"/>
          <w:szCs w:val="20"/>
        </w:rPr>
        <w:t>ca en universidades bolivianas</w:t>
      </w:r>
    </w:p>
    <w:p w14:paraId="3FD13577" w14:textId="77777777" w:rsidR="00BC370C" w:rsidRPr="00E00AEA" w:rsidRDefault="00BC370C" w:rsidP="00F75979">
      <w:pPr>
        <w:jc w:val="both"/>
        <w:rPr>
          <w:b/>
          <w:sz w:val="20"/>
          <w:szCs w:val="20"/>
        </w:rPr>
      </w:pPr>
    </w:p>
    <w:p w14:paraId="7692DFA3" w14:textId="6B10A2B0" w:rsidR="00D9591E" w:rsidRPr="00174218" w:rsidRDefault="00D9591E" w:rsidP="00D9591E">
      <w:pPr>
        <w:ind w:firstLine="709"/>
        <w:jc w:val="both"/>
        <w:rPr>
          <w:szCs w:val="20"/>
        </w:rPr>
      </w:pPr>
      <w:r w:rsidRPr="00174218">
        <w:rPr>
          <w:szCs w:val="20"/>
        </w:rPr>
        <w:t xml:space="preserve">Se evaluó la eficiencia de las universidades públicas de Bolivia utilizando el Análisis Envolvente de Datos (DEA) para comparar su desempeño entre 2014 y 2015. Los resultados mostraron una mejora en la eficiencia, aunque con variaciones. El estudio también señala que la capacidad de las </w:t>
      </w:r>
      <w:r w:rsidRPr="00174218">
        <w:rPr>
          <w:szCs w:val="20"/>
        </w:rPr>
        <w:lastRenderedPageBreak/>
        <w:t>universidades para ofrecer una buena atención al estudiante, con recursos adecuados, aumenta la probabilidad de que los estudiantes terminen la carrera.</w:t>
      </w:r>
    </w:p>
    <w:p w14:paraId="1E4D79A1" w14:textId="77777777" w:rsidR="00D9591E" w:rsidRPr="00E00AEA" w:rsidRDefault="00D9591E" w:rsidP="00D9591E">
      <w:pPr>
        <w:jc w:val="both"/>
        <w:rPr>
          <w:sz w:val="20"/>
          <w:szCs w:val="20"/>
        </w:rPr>
      </w:pPr>
    </w:p>
    <w:p w14:paraId="0117EDC4" w14:textId="57FCF7B6" w:rsidR="00D9591E" w:rsidRDefault="00D9591E" w:rsidP="00D9591E">
      <w:pPr>
        <w:jc w:val="both"/>
        <w:rPr>
          <w:b/>
          <w:sz w:val="20"/>
          <w:szCs w:val="20"/>
        </w:rPr>
      </w:pPr>
      <w:r w:rsidRPr="00E00AEA">
        <w:rPr>
          <w:b/>
          <w:sz w:val="20"/>
          <w:szCs w:val="20"/>
        </w:rPr>
        <w:t>Análisis de eficiencia de universidades europeas</w:t>
      </w:r>
    </w:p>
    <w:p w14:paraId="1EB7E706" w14:textId="77777777" w:rsidR="00BC370C" w:rsidRPr="00E00AEA" w:rsidRDefault="00BC370C" w:rsidP="00D9591E">
      <w:pPr>
        <w:jc w:val="both"/>
        <w:rPr>
          <w:b/>
          <w:sz w:val="20"/>
          <w:szCs w:val="20"/>
        </w:rPr>
      </w:pPr>
    </w:p>
    <w:p w14:paraId="4A684C7E" w14:textId="0E093127" w:rsidR="00D9591E" w:rsidRPr="00174218" w:rsidRDefault="00D9591E" w:rsidP="00D9591E">
      <w:pPr>
        <w:ind w:firstLine="709"/>
        <w:jc w:val="both"/>
        <w:rPr>
          <w:szCs w:val="20"/>
        </w:rPr>
      </w:pPr>
      <w:r w:rsidRPr="00174218">
        <w:rPr>
          <w:szCs w:val="20"/>
        </w:rPr>
        <w:t>Este estudio utilizó un enfoque no paramétrico para analizar la eficiencia de 264 universidades europeas en las áreas de docencia e investigación. Los resultados revelaron un desequilibrio entre estas dos funciones en muchas instituciones.</w:t>
      </w:r>
    </w:p>
    <w:p w14:paraId="1E4B51EC" w14:textId="77777777" w:rsidR="00D9591E" w:rsidRPr="00E00AEA" w:rsidRDefault="00D9591E" w:rsidP="00D9591E">
      <w:pPr>
        <w:ind w:firstLine="709"/>
        <w:jc w:val="both"/>
        <w:rPr>
          <w:sz w:val="20"/>
          <w:szCs w:val="20"/>
        </w:rPr>
      </w:pPr>
    </w:p>
    <w:p w14:paraId="23D1AD43" w14:textId="102685DC" w:rsidR="00D9591E" w:rsidRDefault="00D9591E" w:rsidP="00D9591E">
      <w:pPr>
        <w:jc w:val="both"/>
        <w:rPr>
          <w:b/>
          <w:sz w:val="20"/>
          <w:szCs w:val="20"/>
        </w:rPr>
      </w:pPr>
      <w:r w:rsidRPr="00E00AEA">
        <w:rPr>
          <w:b/>
          <w:sz w:val="20"/>
          <w:szCs w:val="20"/>
        </w:rPr>
        <w:t>Condiciones laborales de estudiantes mexicanos</w:t>
      </w:r>
    </w:p>
    <w:p w14:paraId="30E9F0A3" w14:textId="77777777" w:rsidR="00BC370C" w:rsidRPr="00E00AEA" w:rsidRDefault="00BC370C" w:rsidP="00D9591E">
      <w:pPr>
        <w:jc w:val="both"/>
        <w:rPr>
          <w:b/>
          <w:sz w:val="20"/>
          <w:szCs w:val="20"/>
        </w:rPr>
      </w:pPr>
    </w:p>
    <w:p w14:paraId="4A927D89" w14:textId="3DF0A3B4" w:rsidR="00D9591E" w:rsidRPr="00174218" w:rsidRDefault="00D9591E" w:rsidP="00BC370C">
      <w:pPr>
        <w:ind w:firstLine="720"/>
        <w:jc w:val="both"/>
        <w:rPr>
          <w:szCs w:val="20"/>
        </w:rPr>
      </w:pPr>
      <w:r w:rsidRPr="00174218">
        <w:rPr>
          <w:szCs w:val="20"/>
        </w:rPr>
        <w:t>A través de una encuesta a 346 estudiantes, se analizó la precariedad laboral de quienes combinan estudios con trabajo. El estudio encontró que la mayoría de los estudiantes trabajan a medio tiempo con salarios bajos y sin prestaciones, lo que puede afectar negativamente su rendimiento académico debido a la falta de tiempo para el estudio y el descanso.</w:t>
      </w:r>
    </w:p>
    <w:p w14:paraId="12207576" w14:textId="77777777" w:rsidR="00C00FCE" w:rsidRDefault="00C00FCE" w:rsidP="00D9591E">
      <w:pPr>
        <w:jc w:val="both"/>
        <w:rPr>
          <w:sz w:val="20"/>
          <w:szCs w:val="20"/>
        </w:rPr>
      </w:pPr>
    </w:p>
    <w:p w14:paraId="0246E85E" w14:textId="6BAFAF6B" w:rsidR="00C00FCE" w:rsidRDefault="00C00FCE" w:rsidP="00D9591E">
      <w:pPr>
        <w:jc w:val="both"/>
        <w:rPr>
          <w:b/>
          <w:sz w:val="20"/>
          <w:szCs w:val="20"/>
        </w:rPr>
      </w:pPr>
      <w:r w:rsidRPr="00C00FCE">
        <w:rPr>
          <w:b/>
          <w:sz w:val="20"/>
          <w:szCs w:val="20"/>
        </w:rPr>
        <w:t>Medición de la eficiencia en universidades nacionales argentinas: análisis de la variación en el periodo 2009-2011</w:t>
      </w:r>
    </w:p>
    <w:p w14:paraId="5A855EB7" w14:textId="77777777" w:rsidR="00C00FCE" w:rsidRPr="00C00FCE" w:rsidRDefault="00C00FCE" w:rsidP="00D9591E">
      <w:pPr>
        <w:jc w:val="both"/>
        <w:rPr>
          <w:b/>
          <w:sz w:val="20"/>
          <w:szCs w:val="20"/>
        </w:rPr>
      </w:pPr>
    </w:p>
    <w:p w14:paraId="4265AF14" w14:textId="7811B623" w:rsidR="00F75979" w:rsidRPr="00174218" w:rsidRDefault="00C00FCE" w:rsidP="00D9591E">
      <w:pPr>
        <w:jc w:val="both"/>
        <w:rPr>
          <w:szCs w:val="20"/>
        </w:rPr>
      </w:pPr>
      <w:r w:rsidRPr="00174218">
        <w:rPr>
          <w:szCs w:val="20"/>
        </w:rPr>
        <w:t>Utilizando el Análisis Envolvente de Datos (DEA), el estudio midió la eficiencia con inputs como Capital Humano y Capital Físico, y outputs como Tasa de Egreso, Producción Científica y Proyectos de Extensión. Se empleó un modelo de Súper-Eficiencia para el ranking.</w:t>
      </w:r>
    </w:p>
    <w:p w14:paraId="51FA73E5" w14:textId="77777777" w:rsidR="00F75979" w:rsidRPr="00D9591E" w:rsidRDefault="00F75979" w:rsidP="00D9591E">
      <w:pPr>
        <w:jc w:val="both"/>
        <w:rPr>
          <w:sz w:val="20"/>
          <w:szCs w:val="20"/>
        </w:rPr>
      </w:pPr>
    </w:p>
    <w:p w14:paraId="28CD8077" w14:textId="77777777" w:rsidR="00D9591E" w:rsidRPr="00F75979" w:rsidRDefault="00D9591E" w:rsidP="00F75979">
      <w:pPr>
        <w:jc w:val="both"/>
        <w:rPr>
          <w:b/>
          <w:sz w:val="20"/>
          <w:szCs w:val="20"/>
        </w:rPr>
      </w:pPr>
      <w:r w:rsidRPr="00F75979">
        <w:rPr>
          <w:b/>
          <w:sz w:val="20"/>
          <w:szCs w:val="20"/>
        </w:rPr>
        <w:t>Casos de Análisis de Datos y Aprendizaje Automático</w:t>
      </w:r>
    </w:p>
    <w:p w14:paraId="4B9C3337" w14:textId="77777777" w:rsidR="00F75979" w:rsidRPr="00D9591E" w:rsidRDefault="00F75979" w:rsidP="00D9591E">
      <w:pPr>
        <w:ind w:firstLine="709"/>
        <w:jc w:val="both"/>
        <w:rPr>
          <w:sz w:val="20"/>
          <w:szCs w:val="20"/>
        </w:rPr>
      </w:pPr>
    </w:p>
    <w:p w14:paraId="6EC61AD6" w14:textId="1ADB6B8D" w:rsidR="00D9591E" w:rsidRPr="00174218" w:rsidRDefault="00D9591E" w:rsidP="00D9591E">
      <w:pPr>
        <w:ind w:firstLine="709"/>
        <w:jc w:val="both"/>
        <w:rPr>
          <w:szCs w:val="20"/>
        </w:rPr>
      </w:pPr>
      <w:r w:rsidRPr="00174218">
        <w:rPr>
          <w:szCs w:val="20"/>
        </w:rPr>
        <w:t xml:space="preserve">Esta </w:t>
      </w:r>
      <w:r w:rsidR="00F75979" w:rsidRPr="00174218">
        <w:rPr>
          <w:szCs w:val="20"/>
        </w:rPr>
        <w:t>parte</w:t>
      </w:r>
      <w:r w:rsidRPr="00174218">
        <w:rPr>
          <w:szCs w:val="20"/>
        </w:rPr>
        <w:t xml:space="preserve"> se centra en </w:t>
      </w:r>
      <w:r w:rsidR="00F75979" w:rsidRPr="00174218">
        <w:rPr>
          <w:szCs w:val="20"/>
        </w:rPr>
        <w:t xml:space="preserve">los </w:t>
      </w:r>
      <w:r w:rsidRPr="00174218">
        <w:rPr>
          <w:szCs w:val="20"/>
        </w:rPr>
        <w:t xml:space="preserve">estudios que utilizan técnicas de minería de datos y </w:t>
      </w:r>
      <w:r w:rsidRPr="00174218">
        <w:rPr>
          <w:i/>
          <w:szCs w:val="20"/>
        </w:rPr>
        <w:t xml:space="preserve">machine </w:t>
      </w:r>
      <w:proofErr w:type="spellStart"/>
      <w:r w:rsidRPr="00174218">
        <w:rPr>
          <w:i/>
          <w:szCs w:val="20"/>
        </w:rPr>
        <w:t>learning</w:t>
      </w:r>
      <w:proofErr w:type="spellEnd"/>
      <w:r w:rsidRPr="00174218">
        <w:rPr>
          <w:szCs w:val="20"/>
        </w:rPr>
        <w:t xml:space="preserve"> para predecir el rendimiento académico y la deserción estudiantil. Estos estudios buscan identificar los factores más relevantes que influyen en el éxito de los estudiantes de ingeniería.</w:t>
      </w:r>
    </w:p>
    <w:p w14:paraId="6903DF99" w14:textId="77777777" w:rsidR="00F75979" w:rsidRPr="00D9591E" w:rsidRDefault="00F75979" w:rsidP="00D9591E">
      <w:pPr>
        <w:ind w:firstLine="709"/>
        <w:jc w:val="both"/>
        <w:rPr>
          <w:sz w:val="20"/>
          <w:szCs w:val="20"/>
        </w:rPr>
      </w:pPr>
    </w:p>
    <w:p w14:paraId="54A5D835" w14:textId="74AE2BA9" w:rsidR="00F75979" w:rsidRPr="00F75979" w:rsidRDefault="00D9591E" w:rsidP="00F75979">
      <w:pPr>
        <w:jc w:val="both"/>
        <w:rPr>
          <w:b/>
          <w:sz w:val="20"/>
          <w:szCs w:val="20"/>
        </w:rPr>
      </w:pPr>
      <w:r w:rsidRPr="00F75979">
        <w:rPr>
          <w:b/>
          <w:sz w:val="20"/>
          <w:szCs w:val="20"/>
        </w:rPr>
        <w:t>Pre</w:t>
      </w:r>
      <w:r w:rsidR="00F75979" w:rsidRPr="00F75979">
        <w:rPr>
          <w:b/>
          <w:sz w:val="20"/>
          <w:szCs w:val="20"/>
        </w:rPr>
        <w:t>dicción de situación académica</w:t>
      </w:r>
    </w:p>
    <w:p w14:paraId="58CDF96A" w14:textId="77777777" w:rsidR="00F75979" w:rsidRDefault="00F75979" w:rsidP="00F75979">
      <w:pPr>
        <w:jc w:val="both"/>
        <w:rPr>
          <w:sz w:val="20"/>
          <w:szCs w:val="20"/>
        </w:rPr>
      </w:pPr>
    </w:p>
    <w:p w14:paraId="29C83002" w14:textId="79644B1B" w:rsidR="00D9591E" w:rsidRPr="00174218" w:rsidRDefault="00D9591E" w:rsidP="00BC370C">
      <w:pPr>
        <w:ind w:firstLine="720"/>
        <w:jc w:val="both"/>
        <w:rPr>
          <w:szCs w:val="20"/>
        </w:rPr>
      </w:pPr>
      <w:r w:rsidRPr="00174218">
        <w:rPr>
          <w:szCs w:val="20"/>
        </w:rPr>
        <w:t xml:space="preserve">Se utilizaron algoritmos como </w:t>
      </w:r>
      <w:proofErr w:type="spellStart"/>
      <w:r w:rsidRPr="00174218">
        <w:rPr>
          <w:szCs w:val="20"/>
        </w:rPr>
        <w:t>Boruta</w:t>
      </w:r>
      <w:proofErr w:type="spellEnd"/>
      <w:r w:rsidRPr="00174218">
        <w:rPr>
          <w:szCs w:val="20"/>
        </w:rPr>
        <w:t xml:space="preserve"> y </w:t>
      </w:r>
      <w:proofErr w:type="spellStart"/>
      <w:r w:rsidRPr="00174218">
        <w:rPr>
          <w:szCs w:val="20"/>
        </w:rPr>
        <w:t>Random</w:t>
      </w:r>
      <w:proofErr w:type="spellEnd"/>
      <w:r w:rsidRPr="00174218">
        <w:rPr>
          <w:szCs w:val="20"/>
        </w:rPr>
        <w:t xml:space="preserve"> Forest para identificar las variables más relevantes en la predicción del éxito académico. El estudio concluyó que el desempeño en la materia de matemáticas fue un predictor clave del rendimiento general, mientras que factores sociodemográficos como la edad o el género no resultaron tan relevantes en este caso.</w:t>
      </w:r>
    </w:p>
    <w:p w14:paraId="2082D6F9" w14:textId="77777777" w:rsidR="00F75979" w:rsidRPr="00D9591E" w:rsidRDefault="00F75979" w:rsidP="00F75979">
      <w:pPr>
        <w:jc w:val="both"/>
        <w:rPr>
          <w:sz w:val="20"/>
          <w:szCs w:val="20"/>
        </w:rPr>
      </w:pPr>
    </w:p>
    <w:p w14:paraId="70E63DA2" w14:textId="19C15B09" w:rsidR="00F75979" w:rsidRDefault="00D9591E" w:rsidP="00F75979">
      <w:pPr>
        <w:jc w:val="both"/>
        <w:rPr>
          <w:b/>
          <w:sz w:val="20"/>
          <w:szCs w:val="20"/>
        </w:rPr>
      </w:pPr>
      <w:r w:rsidRPr="00F75979">
        <w:rPr>
          <w:b/>
          <w:sz w:val="20"/>
          <w:szCs w:val="20"/>
        </w:rPr>
        <w:t>Predicción del rendimiento académico en ingeniería</w:t>
      </w:r>
    </w:p>
    <w:p w14:paraId="29CE1621" w14:textId="77777777" w:rsidR="00BC370C" w:rsidRDefault="00BC370C" w:rsidP="00F75979">
      <w:pPr>
        <w:jc w:val="both"/>
        <w:rPr>
          <w:sz w:val="20"/>
          <w:szCs w:val="20"/>
        </w:rPr>
      </w:pPr>
    </w:p>
    <w:p w14:paraId="47E2A3B9" w14:textId="4BD75FCB" w:rsidR="00D9591E" w:rsidRPr="00D9591E" w:rsidRDefault="00D9591E" w:rsidP="00D9591E">
      <w:pPr>
        <w:ind w:firstLine="709"/>
        <w:jc w:val="both"/>
        <w:rPr>
          <w:sz w:val="20"/>
          <w:szCs w:val="20"/>
        </w:rPr>
      </w:pPr>
      <w:r w:rsidRPr="00174218">
        <w:rPr>
          <w:szCs w:val="20"/>
        </w:rPr>
        <w:t>Este estudio analizó los factores que influyen en el éxito de los estudiantes de ingeniería industrial, utilizando diversas técnicas de selección de variables. Los resultados indicaron que el género y la puntuación en matemáticas en el examen de ingreso son los factores más consistentemente asociados con el rendimiento académico.</w:t>
      </w:r>
    </w:p>
    <w:p w14:paraId="5A07CA92" w14:textId="77777777" w:rsidR="00D9591E" w:rsidRPr="00D9591E" w:rsidRDefault="00D9591E" w:rsidP="00D9591E">
      <w:pPr>
        <w:jc w:val="both"/>
        <w:rPr>
          <w:sz w:val="20"/>
          <w:szCs w:val="20"/>
        </w:rPr>
      </w:pPr>
    </w:p>
    <w:p w14:paraId="118997F2" w14:textId="7F132ACF" w:rsidR="00E00AEA" w:rsidRPr="001F078D" w:rsidRDefault="00D9591E" w:rsidP="001F078D">
      <w:pPr>
        <w:ind w:firstLine="709"/>
        <w:jc w:val="both"/>
        <w:rPr>
          <w:szCs w:val="20"/>
        </w:rPr>
      </w:pPr>
      <w:r w:rsidRPr="00174218">
        <w:rPr>
          <w:szCs w:val="20"/>
        </w:rPr>
        <w:t xml:space="preserve">Propuesta de modelo para predecir la deserción: Se presentó un modelo que combina el Análisis de Supervivencia con Árboles de Decisión y </w:t>
      </w:r>
      <w:proofErr w:type="spellStart"/>
      <w:r w:rsidRPr="00174218">
        <w:rPr>
          <w:szCs w:val="20"/>
        </w:rPr>
        <w:t>Random</w:t>
      </w:r>
      <w:proofErr w:type="spellEnd"/>
      <w:r w:rsidRPr="00174218">
        <w:rPr>
          <w:szCs w:val="20"/>
        </w:rPr>
        <w:t xml:space="preserve"> Forest para predecir la deserción universitaria en las etapas iniciales. Las variables clave identificadas fueron el género, las notas de la escuela secundaria y los resultados de las pruebas de selección universitaria. La </w:t>
      </w:r>
      <w:r w:rsidRPr="00174218">
        <w:rPr>
          <w:szCs w:val="20"/>
        </w:rPr>
        <w:lastRenderedPageBreak/>
        <w:t>metodología es adaptable a diferentes contextos académicos.</w:t>
      </w:r>
    </w:p>
    <w:p w14:paraId="6B93ADC1" w14:textId="77777777" w:rsidR="005B57E5" w:rsidRDefault="005B57E5">
      <w:pPr>
        <w:jc w:val="both"/>
        <w:rPr>
          <w:sz w:val="20"/>
          <w:szCs w:val="20"/>
        </w:rPr>
      </w:pPr>
    </w:p>
    <w:p w14:paraId="1B7DC5B1" w14:textId="3010854E" w:rsidR="005B57E5" w:rsidRPr="001F078D" w:rsidRDefault="001F078D" w:rsidP="001F078D">
      <w:pPr>
        <w:jc w:val="both"/>
        <w:rPr>
          <w:b/>
          <w:sz w:val="20"/>
          <w:szCs w:val="20"/>
        </w:rPr>
      </w:pPr>
      <w:r w:rsidRPr="001F078D">
        <w:rPr>
          <w:b/>
          <w:sz w:val="20"/>
          <w:szCs w:val="20"/>
        </w:rPr>
        <w:t xml:space="preserve">Análisis de los casos de perfil de ingreso </w:t>
      </w:r>
    </w:p>
    <w:p w14:paraId="4315E573" w14:textId="77777777" w:rsidR="005B57E5" w:rsidRDefault="005B57E5">
      <w:pPr>
        <w:jc w:val="both"/>
        <w:rPr>
          <w:sz w:val="20"/>
          <w:szCs w:val="20"/>
        </w:rPr>
      </w:pPr>
    </w:p>
    <w:p w14:paraId="3A1057ED" w14:textId="44C359CF" w:rsidR="005B57E5" w:rsidRDefault="00E8579C">
      <w:pPr>
        <w:jc w:val="both"/>
        <w:rPr>
          <w:b/>
          <w:sz w:val="20"/>
          <w:szCs w:val="20"/>
        </w:rPr>
      </w:pPr>
      <w:r>
        <w:rPr>
          <w:b/>
          <w:sz w:val="20"/>
          <w:szCs w:val="20"/>
        </w:rPr>
        <w:t>Caso 1: Análisis de aprendizaje: conjunto de datos para la evaluación empírica de los requisitos de ingreso. Programas de pregrado en ingeniería en una universidad nigeriana. [</w:t>
      </w:r>
      <w:r w:rsidR="009E1402">
        <w:rPr>
          <w:b/>
          <w:sz w:val="20"/>
          <w:szCs w:val="20"/>
        </w:rPr>
        <w:t>5</w:t>
      </w:r>
      <w:r>
        <w:rPr>
          <w:b/>
          <w:sz w:val="20"/>
          <w:szCs w:val="20"/>
        </w:rPr>
        <w:t>]</w:t>
      </w:r>
    </w:p>
    <w:p w14:paraId="2009EF33" w14:textId="77777777" w:rsidR="005B57E5" w:rsidRDefault="005B57E5">
      <w:pPr>
        <w:ind w:firstLine="709"/>
        <w:jc w:val="both"/>
        <w:rPr>
          <w:sz w:val="20"/>
          <w:szCs w:val="20"/>
        </w:rPr>
      </w:pPr>
    </w:p>
    <w:p w14:paraId="382A31AC" w14:textId="401EEA1C" w:rsidR="005B57E5" w:rsidRPr="00174218" w:rsidRDefault="00E8579C">
      <w:pPr>
        <w:ind w:firstLine="709"/>
        <w:jc w:val="both"/>
        <w:rPr>
          <w:szCs w:val="20"/>
        </w:rPr>
      </w:pPr>
      <w:r w:rsidRPr="00174218">
        <w:rPr>
          <w:szCs w:val="20"/>
        </w:rPr>
        <w:t xml:space="preserve">El estudio evalúa si los requisitos de ingreso a las carreras de ingeniería en una universidad nigeriana son adecuados para predecir el éxito académico de los estudiantes. Se analizaron los datos de más de mil estudiantes de diversas ingenierías admitidos entre 2005 y 2009. Los investigadores utilizaron herramientas estadísticas para determinar si factores como la edad al ingresar, las calificaciones en exámenes previos y los resultados en pruebas de admisión están relacionados con el desempeño universitario. El objetivo principal es verificar si </w:t>
      </w:r>
      <w:r w:rsidR="00032940" w:rsidRPr="00174218">
        <w:rPr>
          <w:szCs w:val="20"/>
        </w:rPr>
        <w:t>los criterios establecidos por la Comisión Nacional de Universidades garantizan</w:t>
      </w:r>
      <w:r w:rsidRPr="00174218">
        <w:rPr>
          <w:szCs w:val="20"/>
        </w:rPr>
        <w:t xml:space="preserve"> que los estudiantes que ingresan a las carreras de ingeniería tengan éxito en sus estudios. Los resultados de este análisis podrían servir para mejorar los procesos de selección y asegurar que los estudiantes que ingresan a las carreras de ingeniería estén bien preparados para enfrentar los desafíos académicos.</w:t>
      </w:r>
    </w:p>
    <w:p w14:paraId="45C06B86" w14:textId="77777777" w:rsidR="005B57E5" w:rsidRDefault="005B57E5">
      <w:pPr>
        <w:ind w:firstLine="709"/>
        <w:jc w:val="both"/>
        <w:rPr>
          <w:sz w:val="20"/>
          <w:szCs w:val="20"/>
        </w:rPr>
      </w:pPr>
    </w:p>
    <w:p w14:paraId="01E9DDEF" w14:textId="77777777" w:rsidR="005B57E5" w:rsidRDefault="00E8579C">
      <w:pPr>
        <w:jc w:val="both"/>
        <w:rPr>
          <w:sz w:val="20"/>
          <w:szCs w:val="20"/>
        </w:rPr>
      </w:pPr>
      <w:r>
        <w:rPr>
          <w:sz w:val="20"/>
          <w:szCs w:val="20"/>
        </w:rPr>
        <w:t>Tabla 1. Estadísticas descriptivas de los requisitos de ingreso en 2005 al 2009</w:t>
      </w:r>
    </w:p>
    <w:p w14:paraId="03F3BCAB" w14:textId="77777777" w:rsidR="005B57E5" w:rsidRDefault="005B57E5">
      <w:pPr>
        <w:jc w:val="both"/>
        <w:rPr>
          <w:sz w:val="20"/>
          <w:szCs w:val="20"/>
        </w:rPr>
      </w:pPr>
    </w:p>
    <w:p w14:paraId="3899B15C" w14:textId="77777777" w:rsidR="005B57E5" w:rsidRDefault="00E8579C">
      <w:pPr>
        <w:jc w:val="both"/>
        <w:rPr>
          <w:sz w:val="20"/>
          <w:szCs w:val="20"/>
        </w:rPr>
      </w:pPr>
      <w:r>
        <w:rPr>
          <w:noProof/>
          <w:color w:val="000000"/>
          <w:sz w:val="20"/>
          <w:szCs w:val="20"/>
          <w:lang w:val="es-VE"/>
        </w:rPr>
        <w:drawing>
          <wp:inline distT="0" distB="0" distL="0" distR="0" wp14:anchorId="63FF7E76" wp14:editId="5BA3640F">
            <wp:extent cx="2438400" cy="1476375"/>
            <wp:effectExtent l="0" t="0" r="0" b="0"/>
            <wp:docPr id="72" name="image3.png"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Tabla&#10;&#10;Descripción generada automáticamente"/>
                    <pic:cNvPicPr preferRelativeResize="0"/>
                  </pic:nvPicPr>
                  <pic:blipFill>
                    <a:blip r:embed="rId17"/>
                    <a:srcRect/>
                    <a:stretch>
                      <a:fillRect/>
                    </a:stretch>
                  </pic:blipFill>
                  <pic:spPr>
                    <a:xfrm>
                      <a:off x="0" y="0"/>
                      <a:ext cx="2438400" cy="1476375"/>
                    </a:xfrm>
                    <a:prstGeom prst="rect">
                      <a:avLst/>
                    </a:prstGeom>
                    <a:ln/>
                  </pic:spPr>
                </pic:pic>
              </a:graphicData>
            </a:graphic>
          </wp:inline>
        </w:drawing>
      </w:r>
    </w:p>
    <w:p w14:paraId="7B35DA98" w14:textId="77777777" w:rsidR="005B57E5" w:rsidRDefault="00E8579C">
      <w:pPr>
        <w:ind w:firstLine="709"/>
        <w:jc w:val="both"/>
        <w:rPr>
          <w:sz w:val="20"/>
          <w:szCs w:val="20"/>
        </w:rPr>
      </w:pPr>
      <w:r>
        <w:rPr>
          <w:sz w:val="20"/>
          <w:szCs w:val="20"/>
        </w:rPr>
        <w:t xml:space="preserve"> </w:t>
      </w:r>
    </w:p>
    <w:p w14:paraId="5C0FF560" w14:textId="77777777" w:rsidR="005B57E5" w:rsidRDefault="00E8579C">
      <w:pPr>
        <w:jc w:val="both"/>
        <w:rPr>
          <w:sz w:val="20"/>
          <w:szCs w:val="20"/>
        </w:rPr>
      </w:pPr>
      <w:r>
        <w:rPr>
          <w:sz w:val="20"/>
          <w:szCs w:val="20"/>
        </w:rPr>
        <w:t xml:space="preserve">Fuente: </w:t>
      </w:r>
      <w:proofErr w:type="spellStart"/>
      <w:r>
        <w:rPr>
          <w:sz w:val="20"/>
          <w:szCs w:val="20"/>
        </w:rPr>
        <w:t>Odukoya</w:t>
      </w:r>
      <w:proofErr w:type="spellEnd"/>
      <w:r>
        <w:rPr>
          <w:sz w:val="20"/>
          <w:szCs w:val="20"/>
        </w:rPr>
        <w:t xml:space="preserve"> (2018)</w:t>
      </w:r>
    </w:p>
    <w:p w14:paraId="6B453CF6" w14:textId="77777777" w:rsidR="005B57E5" w:rsidRDefault="005B57E5">
      <w:pPr>
        <w:ind w:firstLine="709"/>
        <w:jc w:val="both"/>
        <w:rPr>
          <w:sz w:val="20"/>
          <w:szCs w:val="20"/>
        </w:rPr>
      </w:pPr>
    </w:p>
    <w:p w14:paraId="5A40A872" w14:textId="77777777" w:rsidR="005B57E5" w:rsidRPr="00174218" w:rsidRDefault="00E8579C">
      <w:pPr>
        <w:ind w:firstLine="709"/>
        <w:jc w:val="both"/>
        <w:rPr>
          <w:szCs w:val="20"/>
        </w:rPr>
      </w:pPr>
      <w:r w:rsidRPr="00174218">
        <w:rPr>
          <w:szCs w:val="20"/>
        </w:rPr>
        <w:t xml:space="preserve">Para llevar a cabo este estudio, se seleccionó aleatoriamente a 1445 estudiantes de diversas ingenierías que ingresaron a la Universidad </w:t>
      </w:r>
      <w:proofErr w:type="spellStart"/>
      <w:r w:rsidRPr="00174218">
        <w:rPr>
          <w:szCs w:val="20"/>
        </w:rPr>
        <w:t>Covenant</w:t>
      </w:r>
      <w:proofErr w:type="spellEnd"/>
      <w:r w:rsidRPr="00174218">
        <w:rPr>
          <w:szCs w:val="20"/>
        </w:rPr>
        <w:t xml:space="preserve"> de Nigeria entre el 2005 y el 2009. Se recopiló una amplia variedad de datos sobre cada estudiante, incluyendo su edad al ingresar, las calificaciones obtenidas en exámenes previos (como el SSCE y el UTME), así como su desempeño académico durante la carrera. Toda esta información fue organizada en una base de datos para facilitar su análisis. El objetivo principal de recopilar estos datos es evaluar si los criterios de admisión utilizados por la universidad son efectivos para predecir el éxito académico de los estudiantes de ingeniería. Los datos proporcionados en este caso ayudarán a las universidades nigerianas, a la NUC, a los organismos reguladores de ingeniería y a las partes interesadas relevantes a evaluar objetiva y posteriormente mejorar la calidad de la educación en ingeniería en el país.</w:t>
      </w:r>
    </w:p>
    <w:p w14:paraId="4AB12A2C" w14:textId="77777777" w:rsidR="00F75979" w:rsidRDefault="00F75979">
      <w:pPr>
        <w:ind w:firstLine="709"/>
        <w:jc w:val="both"/>
        <w:rPr>
          <w:sz w:val="20"/>
          <w:szCs w:val="20"/>
        </w:rPr>
      </w:pPr>
    </w:p>
    <w:p w14:paraId="7D8AF9A6" w14:textId="17655561" w:rsidR="005B57E5" w:rsidRDefault="00E8579C">
      <w:pPr>
        <w:jc w:val="both"/>
        <w:rPr>
          <w:b/>
          <w:sz w:val="20"/>
          <w:szCs w:val="20"/>
        </w:rPr>
      </w:pPr>
      <w:r>
        <w:rPr>
          <w:b/>
          <w:sz w:val="20"/>
          <w:szCs w:val="20"/>
        </w:rPr>
        <w:t>Caso 2: Diseño del Perfil de Ingreso para la Ingeniería en Gestión Empresarial del Instituto Tecnológico Superior de Libres [</w:t>
      </w:r>
      <w:r w:rsidR="009E1402">
        <w:rPr>
          <w:b/>
          <w:sz w:val="20"/>
          <w:szCs w:val="20"/>
        </w:rPr>
        <w:t>6</w:t>
      </w:r>
      <w:r>
        <w:rPr>
          <w:b/>
          <w:sz w:val="20"/>
          <w:szCs w:val="20"/>
        </w:rPr>
        <w:t xml:space="preserve">]  </w:t>
      </w:r>
    </w:p>
    <w:p w14:paraId="57984625" w14:textId="77777777" w:rsidR="005B57E5" w:rsidRDefault="005B57E5">
      <w:pPr>
        <w:jc w:val="both"/>
        <w:rPr>
          <w:sz w:val="20"/>
          <w:szCs w:val="20"/>
        </w:rPr>
      </w:pPr>
    </w:p>
    <w:p w14:paraId="07C7E890" w14:textId="77777777" w:rsidR="005B57E5" w:rsidRPr="00174218" w:rsidRDefault="00E8579C">
      <w:pPr>
        <w:ind w:firstLine="709"/>
        <w:jc w:val="both"/>
        <w:rPr>
          <w:szCs w:val="20"/>
        </w:rPr>
      </w:pPr>
      <w:r w:rsidRPr="00174218">
        <w:rPr>
          <w:szCs w:val="20"/>
        </w:rPr>
        <w:t xml:space="preserve">Los problemas de los estudiantes universitarios, como abandonar o reprobar sus estudios, no solo se deben a </w:t>
      </w:r>
      <w:r w:rsidRPr="00174218">
        <w:rPr>
          <w:szCs w:val="20"/>
        </w:rPr>
        <w:lastRenderedPageBreak/>
        <w:t>la calidad de la enseñanza, sino también a las características de los estudiantes que ingresan a la universidad. Esto se debe a que las universidades han ampliado su matrícula sin considerar siempre las implicaciones que esto tiene en la calidad de la educación y en la formación de profesionales.</w:t>
      </w:r>
    </w:p>
    <w:p w14:paraId="1B319E1A" w14:textId="77777777" w:rsidR="005B57E5" w:rsidRDefault="005B57E5">
      <w:pPr>
        <w:jc w:val="both"/>
        <w:rPr>
          <w:sz w:val="20"/>
          <w:szCs w:val="20"/>
        </w:rPr>
      </w:pPr>
    </w:p>
    <w:p w14:paraId="598B115A" w14:textId="77777777" w:rsidR="005B57E5" w:rsidRDefault="00E8579C">
      <w:pPr>
        <w:jc w:val="both"/>
        <w:rPr>
          <w:sz w:val="20"/>
          <w:szCs w:val="20"/>
        </w:rPr>
      </w:pPr>
      <w:r>
        <w:rPr>
          <w:sz w:val="20"/>
          <w:szCs w:val="20"/>
        </w:rPr>
        <w:t>Tabla 2. Perfil “ideal” de ingreso de la Ingeniería en Gestión Empresarial</w:t>
      </w:r>
    </w:p>
    <w:p w14:paraId="47259598" w14:textId="77777777" w:rsidR="005B57E5" w:rsidRDefault="005B57E5">
      <w:pPr>
        <w:jc w:val="both"/>
        <w:rPr>
          <w:sz w:val="20"/>
          <w:szCs w:val="20"/>
        </w:rPr>
      </w:pPr>
    </w:p>
    <w:p w14:paraId="07E8B147" w14:textId="77777777" w:rsidR="005B57E5" w:rsidRDefault="00E8579C">
      <w:pPr>
        <w:jc w:val="both"/>
        <w:rPr>
          <w:sz w:val="20"/>
          <w:szCs w:val="20"/>
        </w:rPr>
      </w:pPr>
      <w:r>
        <w:rPr>
          <w:sz w:val="20"/>
          <w:szCs w:val="20"/>
        </w:rPr>
        <w:t xml:space="preserve"> </w:t>
      </w:r>
      <w:r>
        <w:rPr>
          <w:noProof/>
          <w:color w:val="000000"/>
          <w:sz w:val="20"/>
          <w:szCs w:val="20"/>
          <w:lang w:val="es-VE"/>
        </w:rPr>
        <w:drawing>
          <wp:inline distT="0" distB="0" distL="0" distR="0" wp14:anchorId="26428292" wp14:editId="6097DCD3">
            <wp:extent cx="2571750" cy="904875"/>
            <wp:effectExtent l="0" t="0" r="0" b="0"/>
            <wp:docPr id="74" name="image7.png" descr="Interfaz de usuario gráfica, Texto,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7.png" descr="Interfaz de usuario gráfica, Texto, Aplicación&#10;&#10;Descripción generada automáticamente"/>
                    <pic:cNvPicPr preferRelativeResize="0"/>
                  </pic:nvPicPr>
                  <pic:blipFill>
                    <a:blip r:embed="rId18"/>
                    <a:srcRect/>
                    <a:stretch>
                      <a:fillRect/>
                    </a:stretch>
                  </pic:blipFill>
                  <pic:spPr>
                    <a:xfrm>
                      <a:off x="0" y="0"/>
                      <a:ext cx="2571750" cy="904875"/>
                    </a:xfrm>
                    <a:prstGeom prst="rect">
                      <a:avLst/>
                    </a:prstGeom>
                    <a:ln/>
                  </pic:spPr>
                </pic:pic>
              </a:graphicData>
            </a:graphic>
          </wp:inline>
        </w:drawing>
      </w:r>
    </w:p>
    <w:p w14:paraId="04E5A818" w14:textId="77777777" w:rsidR="005B57E5" w:rsidRDefault="005B57E5">
      <w:pPr>
        <w:ind w:firstLine="709"/>
        <w:jc w:val="both"/>
        <w:rPr>
          <w:sz w:val="20"/>
          <w:szCs w:val="20"/>
        </w:rPr>
      </w:pPr>
    </w:p>
    <w:p w14:paraId="796E5624" w14:textId="77777777" w:rsidR="005B57E5" w:rsidRDefault="00E8579C">
      <w:pPr>
        <w:jc w:val="both"/>
        <w:rPr>
          <w:sz w:val="20"/>
          <w:szCs w:val="20"/>
        </w:rPr>
      </w:pPr>
      <w:r>
        <w:rPr>
          <w:sz w:val="20"/>
          <w:szCs w:val="20"/>
        </w:rPr>
        <w:t xml:space="preserve">Fuente: </w:t>
      </w:r>
      <w:proofErr w:type="spellStart"/>
      <w:r>
        <w:rPr>
          <w:sz w:val="20"/>
          <w:szCs w:val="20"/>
        </w:rPr>
        <w:t>Angeles</w:t>
      </w:r>
      <w:proofErr w:type="spellEnd"/>
      <w:r>
        <w:rPr>
          <w:sz w:val="20"/>
          <w:szCs w:val="20"/>
        </w:rPr>
        <w:t xml:space="preserve"> (2021)</w:t>
      </w:r>
    </w:p>
    <w:p w14:paraId="18EB907A" w14:textId="77777777" w:rsidR="005B57E5" w:rsidRDefault="005B57E5">
      <w:pPr>
        <w:jc w:val="both"/>
        <w:rPr>
          <w:sz w:val="20"/>
          <w:szCs w:val="20"/>
        </w:rPr>
      </w:pPr>
    </w:p>
    <w:p w14:paraId="2012534B" w14:textId="77777777" w:rsidR="005B57E5" w:rsidRPr="00174218" w:rsidRDefault="00E8579C">
      <w:pPr>
        <w:ind w:firstLine="709"/>
        <w:jc w:val="both"/>
        <w:rPr>
          <w:szCs w:val="20"/>
        </w:rPr>
      </w:pPr>
      <w:r w:rsidRPr="00174218">
        <w:rPr>
          <w:szCs w:val="20"/>
        </w:rPr>
        <w:t xml:space="preserve">Los investigadores diseñaron una prueba para ver si los estudiantes de una carrera de Administración tienen las características que se esperan al ingresar a la universidad. La prueba fue aplicada y los resultados muestran que es muy confiable. Ahora se podrá analizar si los estudiantes cumplen con el perfil ideal con los atributos identificados </w:t>
      </w:r>
    </w:p>
    <w:p w14:paraId="7A1215D8" w14:textId="77777777" w:rsidR="005B57E5" w:rsidRDefault="005B57E5">
      <w:pPr>
        <w:ind w:firstLine="709"/>
        <w:jc w:val="both"/>
        <w:rPr>
          <w:sz w:val="20"/>
          <w:szCs w:val="20"/>
        </w:rPr>
      </w:pPr>
    </w:p>
    <w:p w14:paraId="22DD091D" w14:textId="1BE35D83" w:rsidR="005B57E5" w:rsidRDefault="00E8579C">
      <w:pPr>
        <w:jc w:val="both"/>
        <w:rPr>
          <w:b/>
          <w:sz w:val="20"/>
          <w:szCs w:val="20"/>
        </w:rPr>
      </w:pPr>
      <w:r>
        <w:rPr>
          <w:b/>
          <w:sz w:val="20"/>
          <w:szCs w:val="20"/>
        </w:rPr>
        <w:t>Caso 3: Mapeo de la personalidad de estudiantes de ingeniería de nivel inicial para la evaluación de competencias de ingeniería [</w:t>
      </w:r>
      <w:r w:rsidR="009E1402">
        <w:rPr>
          <w:b/>
          <w:sz w:val="20"/>
          <w:szCs w:val="20"/>
        </w:rPr>
        <w:t>7</w:t>
      </w:r>
      <w:r>
        <w:rPr>
          <w:b/>
          <w:sz w:val="20"/>
          <w:szCs w:val="20"/>
        </w:rPr>
        <w:t>]</w:t>
      </w:r>
    </w:p>
    <w:p w14:paraId="14B36AF0" w14:textId="77777777" w:rsidR="005B57E5" w:rsidRDefault="005B57E5">
      <w:pPr>
        <w:ind w:firstLine="709"/>
        <w:jc w:val="both"/>
        <w:rPr>
          <w:sz w:val="20"/>
          <w:szCs w:val="20"/>
        </w:rPr>
      </w:pPr>
    </w:p>
    <w:p w14:paraId="421A4504" w14:textId="77777777" w:rsidR="005B57E5" w:rsidRPr="00174218" w:rsidRDefault="00E8579C">
      <w:pPr>
        <w:ind w:firstLine="709"/>
        <w:jc w:val="both"/>
        <w:rPr>
          <w:szCs w:val="20"/>
        </w:rPr>
      </w:pPr>
      <w:r w:rsidRPr="00174218">
        <w:rPr>
          <w:szCs w:val="20"/>
        </w:rPr>
        <w:t xml:space="preserve">El sistema educativo de ingeniería en India enfrenta el desafío de una gran cantidad de estudiantes ingresando a las universidades sin las habilidades y conocimientos necesarios. Esto se debe a la expansión de las instituciones de ingeniería y a las políticas gubernamentales que permiten una gran diversidad en el perfil de los estudiantes. Como resultado, muchos egresados no </w:t>
      </w:r>
      <w:r w:rsidRPr="00174218">
        <w:rPr>
          <w:szCs w:val="20"/>
        </w:rPr>
        <w:t>están preparados para el mercado laboral. Para abordar este problema, un estudio se centró en identificar los rasgos de personalidad que influyen en el éxito académico de los estudiantes de ingeniería. A través de evaluaciones y orientación personalizada, se busca ayudar a los estudiantes a desarrollar las habilidades necesarias para alcanzar sus metas profesionales.</w:t>
      </w:r>
    </w:p>
    <w:p w14:paraId="04D67D67" w14:textId="77777777" w:rsidR="005B57E5" w:rsidRPr="00174218" w:rsidRDefault="005B57E5">
      <w:pPr>
        <w:ind w:firstLine="709"/>
        <w:jc w:val="both"/>
        <w:rPr>
          <w:szCs w:val="20"/>
        </w:rPr>
      </w:pPr>
    </w:p>
    <w:p w14:paraId="33958ED1" w14:textId="77777777" w:rsidR="005B57E5" w:rsidRPr="00174218" w:rsidRDefault="00E8579C">
      <w:pPr>
        <w:ind w:firstLine="709"/>
        <w:jc w:val="both"/>
        <w:rPr>
          <w:szCs w:val="20"/>
        </w:rPr>
      </w:pPr>
      <w:r w:rsidRPr="00174218">
        <w:rPr>
          <w:szCs w:val="20"/>
        </w:rPr>
        <w:t xml:space="preserve">Un total de 443 estudiantes de primer año de ingeniería, tanto hombres como mujeres, participaron en una evaluación diagnóstica realizada en línea por una empresa especializada en análisis psicométrico. El objetivo principal de esta evaluación era identificar los rasgos de personalidad que influyen en el éxito académico de los estudiantes de ingeniería y comparar sus percepciones sobre la carrera con las demandas reales de la industria. Antes de realizar la prueba, los estudiantes recibieron orientación sobre el propósito y la metodología de la evaluación. Además, se les proporcionó apoyo para aclarar cualquier duda durante el proceso. Los resultados de esta evaluación pueden diseñar estrategias de acompañamiento individual o grupal que permitan a los estudiantes alcanzar sus metas académicas y profesionales. </w:t>
      </w:r>
    </w:p>
    <w:p w14:paraId="0B94BCD3" w14:textId="77777777" w:rsidR="005B57E5" w:rsidRPr="00174218" w:rsidRDefault="005B57E5">
      <w:pPr>
        <w:ind w:firstLine="709"/>
        <w:jc w:val="both"/>
        <w:rPr>
          <w:szCs w:val="20"/>
        </w:rPr>
      </w:pPr>
    </w:p>
    <w:p w14:paraId="641C9669" w14:textId="318C5553" w:rsidR="005B57E5" w:rsidRDefault="00F75979">
      <w:pPr>
        <w:jc w:val="both"/>
        <w:rPr>
          <w:b/>
          <w:sz w:val="20"/>
          <w:szCs w:val="20"/>
        </w:rPr>
      </w:pPr>
      <w:r>
        <w:rPr>
          <w:b/>
          <w:sz w:val="20"/>
          <w:szCs w:val="20"/>
        </w:rPr>
        <w:t>Análisis de los c</w:t>
      </w:r>
      <w:r w:rsidR="00E8579C">
        <w:rPr>
          <w:b/>
          <w:sz w:val="20"/>
          <w:szCs w:val="20"/>
        </w:rPr>
        <w:t xml:space="preserve">asos de análisis paramétricos en universidades </w:t>
      </w:r>
    </w:p>
    <w:p w14:paraId="37C316FB" w14:textId="77777777" w:rsidR="005B57E5" w:rsidRDefault="005B57E5">
      <w:pPr>
        <w:jc w:val="both"/>
        <w:rPr>
          <w:sz w:val="20"/>
          <w:szCs w:val="20"/>
        </w:rPr>
      </w:pPr>
    </w:p>
    <w:p w14:paraId="5255770B" w14:textId="68E3A977" w:rsidR="005B57E5" w:rsidRDefault="00E8579C">
      <w:pPr>
        <w:jc w:val="both"/>
        <w:rPr>
          <w:b/>
          <w:sz w:val="20"/>
          <w:szCs w:val="20"/>
        </w:rPr>
      </w:pPr>
      <w:r>
        <w:rPr>
          <w:b/>
          <w:sz w:val="20"/>
          <w:szCs w:val="20"/>
        </w:rPr>
        <w:t>Caso 1: Medición de la Eficiencia Técnica en las Universidades Autónomas del Sistema Universitario Boliviano: Aplicación del Análisis Envolvente de Datos [</w:t>
      </w:r>
      <w:r w:rsidR="009E1402">
        <w:rPr>
          <w:b/>
          <w:sz w:val="20"/>
          <w:szCs w:val="20"/>
        </w:rPr>
        <w:t>8</w:t>
      </w:r>
      <w:r>
        <w:rPr>
          <w:b/>
          <w:sz w:val="20"/>
          <w:szCs w:val="20"/>
        </w:rPr>
        <w:t>]</w:t>
      </w:r>
    </w:p>
    <w:p w14:paraId="33C4D55C" w14:textId="77777777" w:rsidR="005B57E5" w:rsidRDefault="005B57E5">
      <w:pPr>
        <w:jc w:val="both"/>
        <w:rPr>
          <w:sz w:val="20"/>
          <w:szCs w:val="20"/>
        </w:rPr>
      </w:pPr>
    </w:p>
    <w:p w14:paraId="213A07A3" w14:textId="77777777" w:rsidR="005B57E5" w:rsidRPr="00174218" w:rsidRDefault="00E8579C">
      <w:pPr>
        <w:ind w:firstLine="709"/>
        <w:jc w:val="both"/>
        <w:rPr>
          <w:szCs w:val="20"/>
        </w:rPr>
      </w:pPr>
      <w:r w:rsidRPr="00174218">
        <w:rPr>
          <w:szCs w:val="20"/>
        </w:rPr>
        <w:t xml:space="preserve">Este estudio evaluó la eficiencia de las universidades públicas de Bolivia utilizando una herramienta estadística </w:t>
      </w:r>
      <w:r w:rsidRPr="00174218">
        <w:rPr>
          <w:szCs w:val="20"/>
        </w:rPr>
        <w:lastRenderedPageBreak/>
        <w:t>llamada Análisis Envolvente de Datos (DEA). Los investigadores compararon el desempeño de estas universidades entre los años 2014 y 2015, identificando factores como el número de profesores, estudiantes y graduados como los principales determinantes de la eficiencia. Los resultados muestran que, en general, las universidades han mejorado su eficiencia en este periodo, aunque existen variaciones según la especialización de cada institución. Este estudio pionero en Bolivia proporciona una base sólida para futuras investigaciones y puede servir como guía para mejorar la gestión de las universidades públicas.</w:t>
      </w:r>
    </w:p>
    <w:p w14:paraId="4A43AA31" w14:textId="77777777" w:rsidR="005B57E5" w:rsidRDefault="005B57E5">
      <w:pPr>
        <w:ind w:firstLine="709"/>
        <w:jc w:val="both"/>
        <w:rPr>
          <w:sz w:val="20"/>
          <w:szCs w:val="20"/>
        </w:rPr>
      </w:pPr>
    </w:p>
    <w:p w14:paraId="20E4F990" w14:textId="77777777" w:rsidR="005B57E5" w:rsidRDefault="00E8579C">
      <w:pPr>
        <w:ind w:firstLine="709"/>
        <w:jc w:val="both"/>
        <w:rPr>
          <w:sz w:val="20"/>
          <w:szCs w:val="20"/>
        </w:rPr>
      </w:pPr>
      <w:r>
        <w:rPr>
          <w:sz w:val="20"/>
          <w:szCs w:val="20"/>
        </w:rPr>
        <w:t>Tabla 2. Modelo CCR Y BCC</w:t>
      </w:r>
    </w:p>
    <w:p w14:paraId="0B46C209" w14:textId="77777777" w:rsidR="005B57E5" w:rsidRDefault="00E8579C">
      <w:pPr>
        <w:ind w:firstLine="709"/>
        <w:jc w:val="both"/>
        <w:rPr>
          <w:sz w:val="20"/>
          <w:szCs w:val="20"/>
        </w:rPr>
      </w:pPr>
      <w:r>
        <w:rPr>
          <w:b/>
          <w:noProof/>
          <w:color w:val="000000"/>
          <w:lang w:val="es-VE"/>
        </w:rPr>
        <w:drawing>
          <wp:inline distT="0" distB="0" distL="0" distR="0" wp14:anchorId="3CFF76ED" wp14:editId="2F8227A2">
            <wp:extent cx="2118290" cy="944744"/>
            <wp:effectExtent l="0" t="0" r="0" b="0"/>
            <wp:docPr id="73" name="image2.png" descr="Tabl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Tabla&#10;&#10;Descripción generada automáticamente"/>
                    <pic:cNvPicPr preferRelativeResize="0"/>
                  </pic:nvPicPr>
                  <pic:blipFill>
                    <a:blip r:embed="rId19"/>
                    <a:srcRect/>
                    <a:stretch>
                      <a:fillRect/>
                    </a:stretch>
                  </pic:blipFill>
                  <pic:spPr>
                    <a:xfrm>
                      <a:off x="0" y="0"/>
                      <a:ext cx="2118290" cy="944744"/>
                    </a:xfrm>
                    <a:prstGeom prst="rect">
                      <a:avLst/>
                    </a:prstGeom>
                    <a:ln/>
                  </pic:spPr>
                </pic:pic>
              </a:graphicData>
            </a:graphic>
          </wp:inline>
        </w:drawing>
      </w:r>
    </w:p>
    <w:p w14:paraId="348E9A01" w14:textId="77777777" w:rsidR="005B57E5" w:rsidRDefault="005B57E5">
      <w:pPr>
        <w:ind w:firstLine="709"/>
        <w:jc w:val="both"/>
        <w:rPr>
          <w:sz w:val="20"/>
          <w:szCs w:val="20"/>
        </w:rPr>
      </w:pPr>
    </w:p>
    <w:p w14:paraId="5DB6DDD2" w14:textId="77777777" w:rsidR="005B57E5" w:rsidRDefault="00E8579C">
      <w:pPr>
        <w:ind w:firstLine="709"/>
        <w:jc w:val="both"/>
        <w:rPr>
          <w:sz w:val="20"/>
          <w:szCs w:val="20"/>
        </w:rPr>
      </w:pPr>
      <w:r>
        <w:rPr>
          <w:sz w:val="20"/>
          <w:szCs w:val="20"/>
        </w:rPr>
        <w:t xml:space="preserve"> Fernández (2017) </w:t>
      </w:r>
    </w:p>
    <w:p w14:paraId="4B68A9BD" w14:textId="77777777" w:rsidR="005B57E5" w:rsidRDefault="005B57E5">
      <w:pPr>
        <w:ind w:firstLine="709"/>
        <w:jc w:val="both"/>
        <w:rPr>
          <w:sz w:val="20"/>
          <w:szCs w:val="20"/>
        </w:rPr>
      </w:pPr>
    </w:p>
    <w:p w14:paraId="09449972" w14:textId="77777777" w:rsidR="005B57E5" w:rsidRPr="00174218" w:rsidRDefault="00E8579C">
      <w:pPr>
        <w:ind w:firstLine="709"/>
        <w:jc w:val="both"/>
        <w:rPr>
          <w:szCs w:val="20"/>
        </w:rPr>
      </w:pPr>
      <w:r w:rsidRPr="00174218">
        <w:rPr>
          <w:szCs w:val="20"/>
        </w:rPr>
        <w:t xml:space="preserve">El Modelo DEA, comprende el análisis de la eficiencia técnica (ET) “que es la capacidad de una unidad económica para producir el máximo posible, dado en un conjunto de inputs y/o la habilidad de una organización de obtener el máximo nivel de producción con unos recursos dados”, es decir si las universidades tienes los recursos para funcionar de manera adecuada y tienen la capacidad de ofrecer buena atención al estudiante, existe una gran posibilidad que los estudiantes culminen la carrera.  </w:t>
      </w:r>
    </w:p>
    <w:p w14:paraId="27BF5F77" w14:textId="77777777" w:rsidR="005B57E5" w:rsidRPr="00174218" w:rsidRDefault="00E8579C">
      <w:pPr>
        <w:ind w:firstLine="709"/>
        <w:jc w:val="both"/>
        <w:rPr>
          <w:szCs w:val="20"/>
        </w:rPr>
      </w:pPr>
      <w:r w:rsidRPr="00174218">
        <w:rPr>
          <w:szCs w:val="20"/>
        </w:rPr>
        <w:t xml:space="preserve">Esta investigación se constituye en aporte de información y conocimiento muy importante sobre un área no estudiada en el Sistema de Educación Superior del Estado Plurinacional de Bolivia, donde los resultados permitieron </w:t>
      </w:r>
      <w:r w:rsidRPr="00174218">
        <w:rPr>
          <w:szCs w:val="20"/>
        </w:rPr>
        <w:t>conocer los índices de eficiencia técnica global con que están produciendo, las universidades.</w:t>
      </w:r>
    </w:p>
    <w:p w14:paraId="73BE22C8" w14:textId="77777777" w:rsidR="005B57E5" w:rsidRDefault="005B57E5">
      <w:pPr>
        <w:ind w:firstLine="709"/>
        <w:jc w:val="both"/>
        <w:rPr>
          <w:sz w:val="20"/>
          <w:szCs w:val="20"/>
        </w:rPr>
      </w:pPr>
    </w:p>
    <w:p w14:paraId="60494897" w14:textId="0926C30B" w:rsidR="005B57E5" w:rsidRDefault="00E8579C">
      <w:pPr>
        <w:jc w:val="both"/>
        <w:rPr>
          <w:b/>
          <w:sz w:val="20"/>
          <w:szCs w:val="20"/>
        </w:rPr>
      </w:pPr>
      <w:r>
        <w:rPr>
          <w:b/>
          <w:sz w:val="20"/>
          <w:szCs w:val="20"/>
        </w:rPr>
        <w:t>Caso 2: Una perspectiva no paramétrica de eficiencia sobre el desempeño de las universidades europeas activas en investigación [</w:t>
      </w:r>
      <w:r w:rsidR="009E1402">
        <w:rPr>
          <w:b/>
          <w:sz w:val="20"/>
          <w:szCs w:val="20"/>
        </w:rPr>
        <w:t>9</w:t>
      </w:r>
      <w:r>
        <w:rPr>
          <w:b/>
          <w:sz w:val="20"/>
          <w:szCs w:val="20"/>
        </w:rPr>
        <w:t>]</w:t>
      </w:r>
    </w:p>
    <w:p w14:paraId="7672C575" w14:textId="77777777" w:rsidR="005B57E5" w:rsidRDefault="005B57E5">
      <w:pPr>
        <w:jc w:val="both"/>
        <w:rPr>
          <w:sz w:val="20"/>
          <w:szCs w:val="20"/>
        </w:rPr>
      </w:pPr>
    </w:p>
    <w:p w14:paraId="2C0E1C55" w14:textId="77777777" w:rsidR="005B57E5" w:rsidRPr="00174218" w:rsidRDefault="00E8579C">
      <w:pPr>
        <w:ind w:firstLine="709"/>
        <w:jc w:val="both"/>
        <w:rPr>
          <w:szCs w:val="20"/>
        </w:rPr>
      </w:pPr>
      <w:r w:rsidRPr="00174218">
        <w:rPr>
          <w:szCs w:val="20"/>
        </w:rPr>
        <w:t xml:space="preserve">Este estudio analiza la eficiencia de las universidades europeas en dos áreas clave: docencia e investigación. Utilizando datos de 264 instituciones europeas en 2014, se evalúa cómo estas universidades emplean sus recursos (financiamiento, personal) para obtener los mejores resultados en cada una de estas áreas. Los resultados muestran que muchas universidades tienden a priorizar una actividad sobre la otra, lo que sugiere un desequilibrio entre la enseñanza y la investigación. El análisis permite identificar a las instituciones más eficientes en cada área y ofrece una visión general de las fortalezas y debilidades del sistema universitario europeo, destacando la necesidad de encontrar un equilibrio óptimo entre ambas funciones. Dentro de estas áreas se encuentra: atención al estudiante, profesores guía y seguimiento del rendimiento académico. </w:t>
      </w:r>
    </w:p>
    <w:p w14:paraId="3461A20D" w14:textId="77777777" w:rsidR="005B57E5" w:rsidRDefault="005B57E5">
      <w:pPr>
        <w:jc w:val="both"/>
        <w:rPr>
          <w:sz w:val="20"/>
          <w:szCs w:val="20"/>
        </w:rPr>
      </w:pPr>
    </w:p>
    <w:p w14:paraId="209296E7" w14:textId="6BCBD24D" w:rsidR="005B57E5" w:rsidRDefault="00E8579C">
      <w:pPr>
        <w:jc w:val="both"/>
        <w:rPr>
          <w:b/>
          <w:sz w:val="20"/>
          <w:szCs w:val="20"/>
        </w:rPr>
      </w:pPr>
      <w:r>
        <w:rPr>
          <w:b/>
          <w:sz w:val="20"/>
          <w:szCs w:val="20"/>
        </w:rPr>
        <w:t>Caso 3: Análisis no paramétrico de las condiciones laborales y psicosociales de estudiantes en un centro temático de la Universidad de Guadalajara [</w:t>
      </w:r>
      <w:r w:rsidR="009E1402">
        <w:rPr>
          <w:b/>
          <w:sz w:val="20"/>
          <w:szCs w:val="20"/>
        </w:rPr>
        <w:t>10</w:t>
      </w:r>
      <w:r>
        <w:rPr>
          <w:b/>
          <w:sz w:val="20"/>
          <w:szCs w:val="20"/>
        </w:rPr>
        <w:t>]</w:t>
      </w:r>
    </w:p>
    <w:p w14:paraId="32B3EF04" w14:textId="77777777" w:rsidR="005B57E5" w:rsidRDefault="005B57E5">
      <w:pPr>
        <w:ind w:firstLine="709"/>
        <w:jc w:val="both"/>
        <w:rPr>
          <w:sz w:val="20"/>
          <w:szCs w:val="20"/>
        </w:rPr>
      </w:pPr>
    </w:p>
    <w:p w14:paraId="3BE530CA" w14:textId="77777777" w:rsidR="005B57E5" w:rsidRPr="00174218" w:rsidRDefault="00E8579C">
      <w:pPr>
        <w:ind w:firstLine="709"/>
        <w:jc w:val="both"/>
        <w:rPr>
          <w:szCs w:val="20"/>
        </w:rPr>
      </w:pPr>
      <w:r w:rsidRPr="00174218">
        <w:rPr>
          <w:szCs w:val="20"/>
        </w:rPr>
        <w:t xml:space="preserve">Este estudio se centró en analizar las condiciones laborales de los estudiantes de la carrera de Economía y Administración de la Universidad de Guadalajara. A través de una encuesta aplicada a 346 estudiantes, se identificó que una proporción significativa de ellos combina sus estudios con un empleo remunerado. Sin embargo, los resultados </w:t>
      </w:r>
      <w:r w:rsidRPr="00174218">
        <w:rPr>
          <w:szCs w:val="20"/>
        </w:rPr>
        <w:lastRenderedPageBreak/>
        <w:t xml:space="preserve">revelaron una marcada precariedad laboral, caracterizada por bajos salarios, jornadas laborales parciales y una casi nula cobertura de prestaciones sociales. En específico, se encontró que la mayoría de los estudiantes trabajan medio tiempo y que sus ingresos mensuales se encuentran por debajo del salario mínimo. Estos hallazgos sugieren que los estudiantes universitarios en esta institución enfrentan desafíos significativos para conciliar sus estudios con una actividad laboral estable y bien remunerada. Si bien el trabajo puede aportarles experiencia profesional, las investigaciones muestran que estos empleos suelen ser precarios. Esto significa que los estudiantes universitarios a menudo se enfrentan a contratos temporales, sin prestaciones laborales y con salarios bajos. Esta situación los obliga a compaginar sus estudios con trabajos que no ofrecen estabilidad ni seguridad económica, lo que puede afectar su rendimiento académico y sus perspectivas laborales a futuro. </w:t>
      </w:r>
    </w:p>
    <w:p w14:paraId="628D8208" w14:textId="77777777" w:rsidR="005B57E5" w:rsidRDefault="005B57E5">
      <w:pPr>
        <w:ind w:firstLine="709"/>
        <w:jc w:val="both"/>
        <w:rPr>
          <w:sz w:val="20"/>
          <w:szCs w:val="20"/>
        </w:rPr>
      </w:pPr>
    </w:p>
    <w:p w14:paraId="1F15CDA2" w14:textId="6D5D9AB1" w:rsidR="00C00FCE" w:rsidRDefault="00C00FCE">
      <w:pPr>
        <w:jc w:val="both"/>
        <w:rPr>
          <w:b/>
          <w:sz w:val="20"/>
          <w:szCs w:val="20"/>
        </w:rPr>
      </w:pPr>
      <w:r w:rsidRPr="00C00FCE">
        <w:rPr>
          <w:b/>
          <w:sz w:val="20"/>
          <w:szCs w:val="20"/>
        </w:rPr>
        <w:t xml:space="preserve">Caso </w:t>
      </w:r>
      <w:r>
        <w:rPr>
          <w:b/>
          <w:sz w:val="20"/>
          <w:szCs w:val="20"/>
        </w:rPr>
        <w:t xml:space="preserve">4   </w:t>
      </w:r>
      <w:r w:rsidRPr="00C00FCE">
        <w:rPr>
          <w:b/>
          <w:sz w:val="20"/>
          <w:szCs w:val="20"/>
        </w:rPr>
        <w:t>Medición de la eficiencia en universidades nacionales argentinas: análisis de la variación en el periodo 2009-2011</w:t>
      </w:r>
      <w:r>
        <w:rPr>
          <w:b/>
          <w:sz w:val="20"/>
          <w:szCs w:val="20"/>
        </w:rPr>
        <w:t xml:space="preserve"> [11]</w:t>
      </w:r>
    </w:p>
    <w:p w14:paraId="4E9543DB" w14:textId="77777777" w:rsidR="00C00FCE" w:rsidRDefault="00C00FCE">
      <w:pPr>
        <w:jc w:val="both"/>
        <w:rPr>
          <w:b/>
          <w:sz w:val="20"/>
          <w:szCs w:val="20"/>
        </w:rPr>
      </w:pPr>
    </w:p>
    <w:p w14:paraId="6BE8A13C" w14:textId="611836D4" w:rsidR="00C00FCE" w:rsidRPr="00174218" w:rsidRDefault="00C00FCE" w:rsidP="00BC370C">
      <w:pPr>
        <w:ind w:firstLine="720"/>
        <w:jc w:val="both"/>
        <w:rPr>
          <w:szCs w:val="20"/>
        </w:rPr>
      </w:pPr>
      <w:r w:rsidRPr="00174218">
        <w:rPr>
          <w:szCs w:val="20"/>
        </w:rPr>
        <w:t>Este estudio fue realizado en el periodo 2009-2011 aplica el Análisis Envolvente de Datos (DEA) para evaluar el desempeño. Esta metodología no paramétrica determina la eficiencia relativa de cada universidad al compararla con la "frontera de mejor práctica" observada en la muestra.</w:t>
      </w:r>
    </w:p>
    <w:p w14:paraId="567E5BD4" w14:textId="77777777" w:rsidR="00C00FCE" w:rsidRPr="00174218" w:rsidRDefault="00C00FCE" w:rsidP="00C00FCE">
      <w:pPr>
        <w:jc w:val="both"/>
        <w:rPr>
          <w:szCs w:val="20"/>
        </w:rPr>
      </w:pPr>
    </w:p>
    <w:p w14:paraId="4895B68C" w14:textId="77777777" w:rsidR="00C00FCE" w:rsidRPr="00174218" w:rsidRDefault="00C00FCE" w:rsidP="00C00FCE">
      <w:pPr>
        <w:jc w:val="both"/>
        <w:rPr>
          <w:szCs w:val="20"/>
        </w:rPr>
      </w:pPr>
      <w:r w:rsidRPr="00174218">
        <w:rPr>
          <w:szCs w:val="20"/>
        </w:rPr>
        <w:t xml:space="preserve">El estudio utiliza el Modelo CCR (Rendimientos Constantes a Escala) para calcular la eficiencia técnica global. Sus inputs principales fueron el Capital </w:t>
      </w:r>
      <w:r w:rsidRPr="00174218">
        <w:rPr>
          <w:szCs w:val="20"/>
        </w:rPr>
        <w:t>Humano y el Capital Físico (ambos en términos económicos), mientras que los outputs para la producción universitaria fueron la Tasa de Egreso, la Producción Científica y los Proyectos de Extensión.</w:t>
      </w:r>
    </w:p>
    <w:p w14:paraId="3288ED3B" w14:textId="77777777" w:rsidR="00C00FCE" w:rsidRPr="00174218" w:rsidRDefault="00C00FCE" w:rsidP="00C00FCE">
      <w:pPr>
        <w:jc w:val="both"/>
        <w:rPr>
          <w:szCs w:val="20"/>
        </w:rPr>
      </w:pPr>
    </w:p>
    <w:p w14:paraId="4A01B824" w14:textId="77777777" w:rsidR="00C00FCE" w:rsidRPr="00174218" w:rsidRDefault="00C00FCE" w:rsidP="00C00FCE">
      <w:pPr>
        <w:jc w:val="both"/>
        <w:rPr>
          <w:szCs w:val="20"/>
        </w:rPr>
      </w:pPr>
      <w:r w:rsidRPr="00174218">
        <w:rPr>
          <w:szCs w:val="20"/>
        </w:rPr>
        <w:t>Adicionalmente, se implementó el modelo de Súper-Eficiencia para clasificar con precisión a las universidades que lograron un 100% de eficiencia.</w:t>
      </w:r>
    </w:p>
    <w:p w14:paraId="3F021066" w14:textId="77777777" w:rsidR="00C00FCE" w:rsidRPr="00174218" w:rsidRDefault="00C00FCE" w:rsidP="00C00FCE">
      <w:pPr>
        <w:jc w:val="both"/>
        <w:rPr>
          <w:szCs w:val="20"/>
        </w:rPr>
      </w:pPr>
    </w:p>
    <w:p w14:paraId="227E92F3" w14:textId="4D3BF24B" w:rsidR="00C00FCE" w:rsidRPr="00174218" w:rsidRDefault="00C00FCE" w:rsidP="00C00FCE">
      <w:pPr>
        <w:jc w:val="both"/>
        <w:rPr>
          <w:szCs w:val="20"/>
        </w:rPr>
      </w:pPr>
      <w:r w:rsidRPr="00174218">
        <w:rPr>
          <w:szCs w:val="20"/>
        </w:rPr>
        <w:t>El enfoque es longitudinal, analizando la variación de la eficiencia durante los tres años. El hallazgo principal y más significativo fue que el 55% de las UUNN empeoró su índice de eficiencia relativa. Esta tendencia de deterioro o estancamiento sugiere que los recursos disponibles no se utilizaron de manera óptima para mejorar los resultados, validando el DEA como una herramienta esencial para la gestión y las políticas públicas en la educación superior argentina.</w:t>
      </w:r>
    </w:p>
    <w:p w14:paraId="6CD8389C" w14:textId="77777777" w:rsidR="00C00FCE" w:rsidRDefault="00C00FCE">
      <w:pPr>
        <w:jc w:val="both"/>
        <w:rPr>
          <w:b/>
          <w:sz w:val="20"/>
          <w:szCs w:val="20"/>
        </w:rPr>
      </w:pPr>
    </w:p>
    <w:p w14:paraId="69C26623" w14:textId="00D2B4FB" w:rsidR="005B57E5" w:rsidRDefault="00F75979">
      <w:pPr>
        <w:jc w:val="both"/>
        <w:rPr>
          <w:b/>
          <w:sz w:val="20"/>
          <w:szCs w:val="20"/>
        </w:rPr>
      </w:pPr>
      <w:r>
        <w:rPr>
          <w:b/>
          <w:sz w:val="20"/>
          <w:szCs w:val="20"/>
        </w:rPr>
        <w:t>Análisis de los c</w:t>
      </w:r>
      <w:r w:rsidR="00E8579C">
        <w:rPr>
          <w:b/>
          <w:sz w:val="20"/>
          <w:szCs w:val="20"/>
        </w:rPr>
        <w:t xml:space="preserve">asos de análisis de datos y </w:t>
      </w:r>
      <w:r w:rsidR="00E8579C">
        <w:rPr>
          <w:b/>
          <w:i/>
          <w:sz w:val="20"/>
          <w:szCs w:val="20"/>
        </w:rPr>
        <w:t xml:space="preserve">machine </w:t>
      </w:r>
      <w:proofErr w:type="spellStart"/>
      <w:r w:rsidR="00E8579C">
        <w:rPr>
          <w:b/>
          <w:i/>
          <w:sz w:val="20"/>
          <w:szCs w:val="20"/>
        </w:rPr>
        <w:t>learning</w:t>
      </w:r>
      <w:proofErr w:type="spellEnd"/>
      <w:r w:rsidR="00E8579C">
        <w:rPr>
          <w:b/>
          <w:sz w:val="20"/>
          <w:szCs w:val="20"/>
        </w:rPr>
        <w:t xml:space="preserve"> en universidades</w:t>
      </w:r>
    </w:p>
    <w:p w14:paraId="61D548DF" w14:textId="77777777" w:rsidR="005B57E5" w:rsidRDefault="005B57E5">
      <w:pPr>
        <w:ind w:firstLine="709"/>
        <w:jc w:val="both"/>
        <w:rPr>
          <w:sz w:val="20"/>
          <w:szCs w:val="20"/>
        </w:rPr>
      </w:pPr>
    </w:p>
    <w:p w14:paraId="4E596C07" w14:textId="3211C6C2" w:rsidR="005B57E5" w:rsidRDefault="00E8579C">
      <w:pPr>
        <w:jc w:val="both"/>
        <w:rPr>
          <w:b/>
          <w:sz w:val="20"/>
          <w:szCs w:val="20"/>
        </w:rPr>
      </w:pPr>
      <w:r>
        <w:rPr>
          <w:b/>
          <w:sz w:val="20"/>
          <w:szCs w:val="20"/>
        </w:rPr>
        <w:t xml:space="preserve">Caso 1: Predicción de la situación académica en alumnos de pregrado usando algoritmos de </w:t>
      </w:r>
      <w:r>
        <w:rPr>
          <w:b/>
          <w:i/>
          <w:sz w:val="20"/>
          <w:szCs w:val="20"/>
        </w:rPr>
        <w:t xml:space="preserve">Machine </w:t>
      </w:r>
      <w:proofErr w:type="spellStart"/>
      <w:r>
        <w:rPr>
          <w:b/>
          <w:i/>
          <w:sz w:val="20"/>
          <w:szCs w:val="20"/>
        </w:rPr>
        <w:t>Learning</w:t>
      </w:r>
      <w:proofErr w:type="spellEnd"/>
      <w:r>
        <w:rPr>
          <w:b/>
          <w:sz w:val="20"/>
          <w:szCs w:val="20"/>
        </w:rPr>
        <w:t>. [1</w:t>
      </w:r>
      <w:r w:rsidR="00C00FCE">
        <w:rPr>
          <w:b/>
          <w:sz w:val="20"/>
          <w:szCs w:val="20"/>
        </w:rPr>
        <w:t>2</w:t>
      </w:r>
      <w:r>
        <w:rPr>
          <w:b/>
          <w:sz w:val="20"/>
          <w:szCs w:val="20"/>
        </w:rPr>
        <w:t xml:space="preserve">] </w:t>
      </w:r>
    </w:p>
    <w:p w14:paraId="57921A4A" w14:textId="77777777" w:rsidR="005B57E5" w:rsidRDefault="005B57E5">
      <w:pPr>
        <w:ind w:firstLine="709"/>
        <w:jc w:val="both"/>
        <w:rPr>
          <w:sz w:val="20"/>
          <w:szCs w:val="20"/>
        </w:rPr>
      </w:pPr>
    </w:p>
    <w:p w14:paraId="1B07693E" w14:textId="77777777" w:rsidR="005B57E5" w:rsidRPr="00174218" w:rsidRDefault="00E8579C">
      <w:pPr>
        <w:ind w:firstLine="709"/>
        <w:jc w:val="both"/>
        <w:rPr>
          <w:szCs w:val="20"/>
        </w:rPr>
      </w:pPr>
      <w:r w:rsidRPr="00174218">
        <w:rPr>
          <w:szCs w:val="20"/>
        </w:rPr>
        <w:t xml:space="preserve">Este estudio buscó identificar los factores más importantes que influyen en el éxito académico de los estudiantes universitarios después de seis semestres. Para lograrlo, se analizaron diversos datos de los estudiantes, utilizando técnicas de aprendizaje automático como el algoritmo </w:t>
      </w:r>
      <w:proofErr w:type="spellStart"/>
      <w:r w:rsidRPr="00174218">
        <w:rPr>
          <w:szCs w:val="20"/>
        </w:rPr>
        <w:t>Boruta</w:t>
      </w:r>
      <w:proofErr w:type="spellEnd"/>
      <w:r w:rsidRPr="00174218">
        <w:rPr>
          <w:szCs w:val="20"/>
        </w:rPr>
        <w:t xml:space="preserve"> y varios modelos de clasificación. Los resultados mostraron que la calificación obtenida en la materia de Matemáticas fue un predictor clave del rendimiento académico general. Esto sugiere que un buen desempeño en esta </w:t>
      </w:r>
      <w:r w:rsidRPr="00174218">
        <w:rPr>
          <w:szCs w:val="20"/>
        </w:rPr>
        <w:lastRenderedPageBreak/>
        <w:t>asignatura al inicio de la carrera universitaria puede ser un indicador de un futuro académico exitoso. Por otro lado, factores como la edad, el género y otros datos sociodemográficos no resultaron ser tan relevantes para predecir el éxito académico en este caso. En resumen, este estudio destaca la importancia de las habilidades matemáticas en los primeros semestres de la universidad y cómo estas pueden influir en el desempeño académico a largo plazo.</w:t>
      </w:r>
    </w:p>
    <w:p w14:paraId="1E5D76E8" w14:textId="77777777" w:rsidR="00C00FCE" w:rsidRDefault="00C00FCE">
      <w:pPr>
        <w:ind w:firstLine="709"/>
        <w:jc w:val="both"/>
        <w:rPr>
          <w:sz w:val="20"/>
          <w:szCs w:val="20"/>
        </w:rPr>
      </w:pPr>
    </w:p>
    <w:p w14:paraId="2DFFF457" w14:textId="77777777" w:rsidR="00C00FCE" w:rsidRDefault="00C00FCE" w:rsidP="00C00FCE">
      <w:pPr>
        <w:jc w:val="both"/>
        <w:rPr>
          <w:sz w:val="20"/>
          <w:szCs w:val="20"/>
        </w:rPr>
      </w:pPr>
    </w:p>
    <w:p w14:paraId="065D39A2" w14:textId="77777777" w:rsidR="005B57E5" w:rsidRDefault="00E8579C">
      <w:pPr>
        <w:jc w:val="both"/>
        <w:rPr>
          <w:sz w:val="20"/>
          <w:szCs w:val="20"/>
        </w:rPr>
      </w:pPr>
      <w:r>
        <w:rPr>
          <w:sz w:val="20"/>
          <w:szCs w:val="20"/>
        </w:rPr>
        <w:t>Figura 1. Modelo CRISP-DM</w:t>
      </w:r>
    </w:p>
    <w:p w14:paraId="4178A19E" w14:textId="77777777" w:rsidR="005B57E5" w:rsidRDefault="00E8579C">
      <w:pPr>
        <w:ind w:firstLine="709"/>
        <w:jc w:val="both"/>
        <w:rPr>
          <w:sz w:val="20"/>
          <w:szCs w:val="20"/>
        </w:rPr>
      </w:pPr>
      <w:r>
        <w:rPr>
          <w:sz w:val="20"/>
          <w:szCs w:val="20"/>
        </w:rPr>
        <w:t xml:space="preserve"> </w:t>
      </w:r>
    </w:p>
    <w:p w14:paraId="4BDCF2DB" w14:textId="77777777" w:rsidR="005B57E5" w:rsidRDefault="00E8579C">
      <w:pPr>
        <w:jc w:val="center"/>
        <w:rPr>
          <w:sz w:val="20"/>
          <w:szCs w:val="20"/>
        </w:rPr>
      </w:pPr>
      <w:r>
        <w:rPr>
          <w:noProof/>
          <w:color w:val="000000"/>
          <w:sz w:val="20"/>
          <w:szCs w:val="20"/>
          <w:highlight w:val="white"/>
          <w:lang w:val="es-VE"/>
        </w:rPr>
        <w:drawing>
          <wp:inline distT="0" distB="0" distL="0" distR="0" wp14:anchorId="2F373AE8" wp14:editId="74DBB3F0">
            <wp:extent cx="2375149" cy="2284116"/>
            <wp:effectExtent l="0" t="0" r="0" b="0"/>
            <wp:docPr id="76" name="image1.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Diagrama&#10;&#10;Descripción generada automáticamente"/>
                    <pic:cNvPicPr preferRelativeResize="0"/>
                  </pic:nvPicPr>
                  <pic:blipFill>
                    <a:blip r:embed="rId20"/>
                    <a:srcRect/>
                    <a:stretch>
                      <a:fillRect/>
                    </a:stretch>
                  </pic:blipFill>
                  <pic:spPr>
                    <a:xfrm>
                      <a:off x="0" y="0"/>
                      <a:ext cx="2375149" cy="2284116"/>
                    </a:xfrm>
                    <a:prstGeom prst="rect">
                      <a:avLst/>
                    </a:prstGeom>
                    <a:ln/>
                  </pic:spPr>
                </pic:pic>
              </a:graphicData>
            </a:graphic>
          </wp:inline>
        </w:drawing>
      </w:r>
    </w:p>
    <w:p w14:paraId="765D87D5" w14:textId="77777777" w:rsidR="005B57E5" w:rsidRDefault="00E8579C">
      <w:pPr>
        <w:jc w:val="both"/>
        <w:rPr>
          <w:sz w:val="20"/>
          <w:szCs w:val="20"/>
        </w:rPr>
      </w:pPr>
      <w:r>
        <w:rPr>
          <w:sz w:val="20"/>
          <w:szCs w:val="20"/>
        </w:rPr>
        <w:t xml:space="preserve">Fuente: </w:t>
      </w:r>
      <w:proofErr w:type="spellStart"/>
      <w:r>
        <w:rPr>
          <w:sz w:val="20"/>
          <w:szCs w:val="20"/>
        </w:rPr>
        <w:t>Cichosz</w:t>
      </w:r>
      <w:proofErr w:type="spellEnd"/>
      <w:r>
        <w:rPr>
          <w:sz w:val="20"/>
          <w:szCs w:val="20"/>
        </w:rPr>
        <w:t xml:space="preserve"> (2015)</w:t>
      </w:r>
    </w:p>
    <w:p w14:paraId="7D30F322" w14:textId="77777777" w:rsidR="005B57E5" w:rsidRDefault="005B57E5">
      <w:pPr>
        <w:ind w:firstLine="709"/>
        <w:jc w:val="both"/>
        <w:rPr>
          <w:sz w:val="20"/>
          <w:szCs w:val="20"/>
        </w:rPr>
      </w:pPr>
    </w:p>
    <w:p w14:paraId="59EC49D3" w14:textId="364A69DF" w:rsidR="005B57E5" w:rsidRPr="00174218" w:rsidRDefault="00E8579C">
      <w:pPr>
        <w:ind w:firstLine="709"/>
        <w:jc w:val="both"/>
        <w:rPr>
          <w:szCs w:val="20"/>
        </w:rPr>
      </w:pPr>
      <w:r w:rsidRPr="00174218">
        <w:rPr>
          <w:szCs w:val="20"/>
        </w:rPr>
        <w:t>Se utilizó la metodología CRISP (</w:t>
      </w:r>
      <w:r w:rsidRPr="00174218">
        <w:rPr>
          <w:i/>
          <w:szCs w:val="20"/>
        </w:rPr>
        <w:t>Cross-</w:t>
      </w:r>
      <w:proofErr w:type="spellStart"/>
      <w:r w:rsidRPr="00174218">
        <w:rPr>
          <w:i/>
          <w:szCs w:val="20"/>
        </w:rPr>
        <w:t>Industry</w:t>
      </w:r>
      <w:proofErr w:type="spellEnd"/>
      <w:r w:rsidRPr="00174218">
        <w:rPr>
          <w:i/>
          <w:szCs w:val="20"/>
        </w:rPr>
        <w:t xml:space="preserve"> Standard </w:t>
      </w:r>
      <w:proofErr w:type="spellStart"/>
      <w:r w:rsidRPr="00174218">
        <w:rPr>
          <w:i/>
          <w:szCs w:val="20"/>
        </w:rPr>
        <w:t>Process</w:t>
      </w:r>
      <w:proofErr w:type="spellEnd"/>
      <w:r w:rsidRPr="00174218">
        <w:rPr>
          <w:i/>
          <w:szCs w:val="20"/>
        </w:rPr>
        <w:t xml:space="preserve"> </w:t>
      </w:r>
      <w:proofErr w:type="spellStart"/>
      <w:r w:rsidRPr="00174218">
        <w:rPr>
          <w:i/>
          <w:szCs w:val="20"/>
        </w:rPr>
        <w:t>for</w:t>
      </w:r>
      <w:proofErr w:type="spellEnd"/>
      <w:r w:rsidRPr="00174218">
        <w:rPr>
          <w:i/>
          <w:szCs w:val="20"/>
        </w:rPr>
        <w:t xml:space="preserve"> Data </w:t>
      </w:r>
      <w:proofErr w:type="spellStart"/>
      <w:r w:rsidRPr="00174218">
        <w:rPr>
          <w:i/>
          <w:szCs w:val="20"/>
        </w:rPr>
        <w:t>Mining</w:t>
      </w:r>
      <w:proofErr w:type="spellEnd"/>
      <w:r w:rsidRPr="00174218">
        <w:rPr>
          <w:szCs w:val="20"/>
        </w:rPr>
        <w:t xml:space="preserve">), la cual es una metodología probada para trabajos de minería de datos e incluye seis fases que pueden apreciarse en la Figura 1 y que comprende: entendimiento del negocio, entendimiento de los datos, preparación de los datos, modelación, evaluación y despliegue de resultados. Estas fases son mencionadas por </w:t>
      </w:r>
      <w:proofErr w:type="spellStart"/>
      <w:r w:rsidRPr="00174218">
        <w:rPr>
          <w:szCs w:val="20"/>
        </w:rPr>
        <w:t>Cichosz</w:t>
      </w:r>
      <w:proofErr w:type="spellEnd"/>
      <w:r w:rsidRPr="00174218">
        <w:rPr>
          <w:szCs w:val="20"/>
        </w:rPr>
        <w:t xml:space="preserve"> [1</w:t>
      </w:r>
      <w:r w:rsidR="00C00FCE" w:rsidRPr="00174218">
        <w:rPr>
          <w:szCs w:val="20"/>
        </w:rPr>
        <w:t>3</w:t>
      </w:r>
      <w:r w:rsidRPr="00174218">
        <w:rPr>
          <w:szCs w:val="20"/>
        </w:rPr>
        <w:t xml:space="preserve">] y Witten, Frank, Hall, </w:t>
      </w:r>
      <w:proofErr w:type="spellStart"/>
      <w:r w:rsidRPr="00174218">
        <w:rPr>
          <w:szCs w:val="20"/>
        </w:rPr>
        <w:t>Pall</w:t>
      </w:r>
      <w:proofErr w:type="spellEnd"/>
      <w:r w:rsidRPr="00174218">
        <w:rPr>
          <w:szCs w:val="20"/>
        </w:rPr>
        <w:t xml:space="preserve"> [1</w:t>
      </w:r>
      <w:r w:rsidR="00C00FCE" w:rsidRPr="00174218">
        <w:rPr>
          <w:szCs w:val="20"/>
        </w:rPr>
        <w:t>4</w:t>
      </w:r>
      <w:r w:rsidRPr="00174218">
        <w:rPr>
          <w:szCs w:val="20"/>
        </w:rPr>
        <w:t xml:space="preserve">]. </w:t>
      </w:r>
    </w:p>
    <w:p w14:paraId="58D901D6" w14:textId="77777777" w:rsidR="005B57E5" w:rsidRPr="00174218" w:rsidRDefault="005B57E5">
      <w:pPr>
        <w:ind w:firstLine="709"/>
        <w:jc w:val="both"/>
        <w:rPr>
          <w:szCs w:val="20"/>
        </w:rPr>
      </w:pPr>
    </w:p>
    <w:p w14:paraId="182854F2" w14:textId="77777777" w:rsidR="005B57E5" w:rsidRPr="00174218" w:rsidRDefault="00E8579C">
      <w:pPr>
        <w:ind w:firstLine="709"/>
        <w:jc w:val="both"/>
        <w:rPr>
          <w:szCs w:val="20"/>
        </w:rPr>
      </w:pPr>
      <w:r w:rsidRPr="00174218">
        <w:rPr>
          <w:szCs w:val="20"/>
        </w:rPr>
        <w:t xml:space="preserve">Se utilizaron algoritmos como </w:t>
      </w:r>
      <w:proofErr w:type="spellStart"/>
      <w:r w:rsidRPr="00174218">
        <w:rPr>
          <w:szCs w:val="20"/>
        </w:rPr>
        <w:t>Boruta</w:t>
      </w:r>
      <w:proofErr w:type="spellEnd"/>
      <w:r w:rsidRPr="00174218">
        <w:rPr>
          <w:szCs w:val="20"/>
        </w:rPr>
        <w:t xml:space="preserve"> y </w:t>
      </w:r>
      <w:proofErr w:type="spellStart"/>
      <w:r w:rsidRPr="00174218">
        <w:rPr>
          <w:i/>
          <w:szCs w:val="20"/>
        </w:rPr>
        <w:t>Random</w:t>
      </w:r>
      <w:proofErr w:type="spellEnd"/>
      <w:r w:rsidRPr="00174218">
        <w:rPr>
          <w:szCs w:val="20"/>
        </w:rPr>
        <w:t xml:space="preserve"> Forest para seleccionar </w:t>
      </w:r>
      <w:r w:rsidRPr="00174218">
        <w:rPr>
          <w:szCs w:val="20"/>
        </w:rPr>
        <w:t xml:space="preserve">las variables más relevantes y predecir si un estudiante se graduará o no. El algoritmo </w:t>
      </w:r>
      <w:proofErr w:type="spellStart"/>
      <w:r w:rsidRPr="00174218">
        <w:rPr>
          <w:szCs w:val="20"/>
        </w:rPr>
        <w:t>Boruta</w:t>
      </w:r>
      <w:proofErr w:type="spellEnd"/>
      <w:r w:rsidRPr="00174218">
        <w:rPr>
          <w:szCs w:val="20"/>
        </w:rPr>
        <w:t xml:space="preserve"> funciona creando copias aleatorias de las variables (sombras) y comparando su importancia con las variables originales. De esta manera, se identificó qué variables tenían un mayor impacto en la predicción del éxito académico. Los datos fueron divididos en conjuntos de entrenamiento y evaluación para ajustar y evaluar los modelos, respectivamente. Además, se utilizó la técnica SMOTE para balancear los datos, ya que la mayoría de los estudiantes se encontraban en situación académica normal, lo que podría sesgar los resultados. Finalmente, se estandarizaron las variables numéricas para mejorar el rendimiento de los modelos.</w:t>
      </w:r>
    </w:p>
    <w:p w14:paraId="5E4F9876" w14:textId="77777777" w:rsidR="005B57E5" w:rsidRPr="00174218" w:rsidRDefault="005B57E5">
      <w:pPr>
        <w:ind w:firstLine="709"/>
        <w:jc w:val="both"/>
        <w:rPr>
          <w:szCs w:val="20"/>
        </w:rPr>
      </w:pPr>
    </w:p>
    <w:p w14:paraId="2E98CAD3" w14:textId="77777777" w:rsidR="005B57E5" w:rsidRPr="00174218" w:rsidRDefault="00E8579C">
      <w:pPr>
        <w:ind w:firstLine="709"/>
        <w:jc w:val="both"/>
        <w:rPr>
          <w:szCs w:val="20"/>
        </w:rPr>
      </w:pPr>
      <w:r w:rsidRPr="00174218">
        <w:rPr>
          <w:szCs w:val="20"/>
        </w:rPr>
        <w:t>Como resultado de la comprensión de los datos y aplicando el algoritmo BORUTA se seleccionaron las siguientes variables predictoras numéricas de la situación académica de un alumno:</w:t>
      </w:r>
    </w:p>
    <w:p w14:paraId="36A9BFF8" w14:textId="77777777" w:rsidR="005B57E5" w:rsidRPr="00174218" w:rsidRDefault="005B57E5">
      <w:pPr>
        <w:ind w:firstLine="709"/>
        <w:jc w:val="both"/>
        <w:rPr>
          <w:szCs w:val="20"/>
        </w:rPr>
      </w:pPr>
    </w:p>
    <w:p w14:paraId="2423B283" w14:textId="126B2EB8" w:rsidR="005B57E5" w:rsidRDefault="00E8579C">
      <w:pPr>
        <w:jc w:val="both"/>
        <w:rPr>
          <w:szCs w:val="20"/>
        </w:rPr>
      </w:pPr>
      <w:r w:rsidRPr="00174218">
        <w:rPr>
          <w:szCs w:val="20"/>
        </w:rPr>
        <w:t xml:space="preserve"> PUNTAJE.MATEMÁTICAS: Puntaje obtenido</w:t>
      </w:r>
      <w:r w:rsidR="00BC370C">
        <w:rPr>
          <w:szCs w:val="20"/>
        </w:rPr>
        <w:t xml:space="preserve"> </w:t>
      </w:r>
      <w:r w:rsidRPr="00174218">
        <w:rPr>
          <w:szCs w:val="20"/>
        </w:rPr>
        <w:t xml:space="preserve">en el área de </w:t>
      </w:r>
      <w:r w:rsidR="00BC370C">
        <w:rPr>
          <w:szCs w:val="20"/>
        </w:rPr>
        <w:t>m</w:t>
      </w:r>
      <w:r w:rsidRPr="00174218">
        <w:rPr>
          <w:szCs w:val="20"/>
        </w:rPr>
        <w:t>atemática en el examen de admisión</w:t>
      </w:r>
    </w:p>
    <w:p w14:paraId="34EC0C35" w14:textId="77777777" w:rsidR="00BC370C" w:rsidRPr="00174218" w:rsidRDefault="00BC370C">
      <w:pPr>
        <w:jc w:val="both"/>
        <w:rPr>
          <w:szCs w:val="20"/>
        </w:rPr>
      </w:pPr>
    </w:p>
    <w:p w14:paraId="4C3E90F1" w14:textId="40498C03" w:rsidR="005B57E5" w:rsidRPr="00BC370C" w:rsidRDefault="00E8579C" w:rsidP="00BC370C">
      <w:pPr>
        <w:pStyle w:val="Prrafodelista"/>
        <w:numPr>
          <w:ilvl w:val="0"/>
          <w:numId w:val="6"/>
        </w:numPr>
        <w:jc w:val="both"/>
        <w:rPr>
          <w:szCs w:val="20"/>
        </w:rPr>
      </w:pPr>
      <w:r w:rsidRPr="00BC370C">
        <w:rPr>
          <w:szCs w:val="20"/>
        </w:rPr>
        <w:t>PUNTAJE.RM: Puntaje obtenido en el área</w:t>
      </w:r>
      <w:r w:rsidR="00BC370C" w:rsidRPr="00BC370C">
        <w:rPr>
          <w:szCs w:val="20"/>
        </w:rPr>
        <w:t xml:space="preserve"> </w:t>
      </w:r>
      <w:r w:rsidRPr="00BC370C">
        <w:rPr>
          <w:szCs w:val="20"/>
        </w:rPr>
        <w:t>de Razonamiento matemático en el examen de admisión.</w:t>
      </w:r>
    </w:p>
    <w:p w14:paraId="3CB407DF" w14:textId="4370C547" w:rsidR="005B57E5" w:rsidRPr="00BC370C" w:rsidRDefault="00E8579C" w:rsidP="00BC370C">
      <w:pPr>
        <w:pStyle w:val="Prrafodelista"/>
        <w:numPr>
          <w:ilvl w:val="0"/>
          <w:numId w:val="6"/>
        </w:numPr>
        <w:jc w:val="both"/>
        <w:rPr>
          <w:szCs w:val="20"/>
        </w:rPr>
      </w:pPr>
      <w:r w:rsidRPr="00BC370C">
        <w:rPr>
          <w:szCs w:val="20"/>
        </w:rPr>
        <w:t>PUNTAJE.FÍSICA: Puntaje obtenido en el</w:t>
      </w:r>
      <w:r w:rsidR="00BC370C" w:rsidRPr="00BC370C">
        <w:rPr>
          <w:szCs w:val="20"/>
        </w:rPr>
        <w:t xml:space="preserve"> </w:t>
      </w:r>
      <w:r w:rsidRPr="00BC370C">
        <w:rPr>
          <w:szCs w:val="20"/>
        </w:rPr>
        <w:t>área de Física en el examen de admisión</w:t>
      </w:r>
    </w:p>
    <w:p w14:paraId="619EDCF6" w14:textId="454B1780" w:rsidR="005B57E5" w:rsidRPr="00BC370C" w:rsidRDefault="00E8579C" w:rsidP="00BC370C">
      <w:pPr>
        <w:pStyle w:val="Prrafodelista"/>
        <w:numPr>
          <w:ilvl w:val="0"/>
          <w:numId w:val="6"/>
        </w:numPr>
        <w:jc w:val="both"/>
        <w:rPr>
          <w:szCs w:val="20"/>
        </w:rPr>
      </w:pPr>
      <w:r w:rsidRPr="00BC370C">
        <w:rPr>
          <w:szCs w:val="20"/>
        </w:rPr>
        <w:t>PUNTAJE.FINAL: Puntaje obtenido en el examen de admisión</w:t>
      </w:r>
    </w:p>
    <w:p w14:paraId="268FB93D" w14:textId="112DEED6" w:rsidR="005B57E5" w:rsidRPr="00BC370C" w:rsidRDefault="00E8579C" w:rsidP="00BC370C">
      <w:pPr>
        <w:pStyle w:val="Prrafodelista"/>
        <w:numPr>
          <w:ilvl w:val="0"/>
          <w:numId w:val="6"/>
        </w:numPr>
        <w:jc w:val="both"/>
        <w:rPr>
          <w:szCs w:val="20"/>
        </w:rPr>
      </w:pPr>
      <w:r w:rsidRPr="00BC370C">
        <w:rPr>
          <w:szCs w:val="20"/>
        </w:rPr>
        <w:t>LENGUA: Nota en el curso de Lengua</w:t>
      </w:r>
    </w:p>
    <w:p w14:paraId="72C213E7" w14:textId="4A8CB146" w:rsidR="005B57E5" w:rsidRPr="00BC370C" w:rsidRDefault="00E8579C" w:rsidP="00BC370C">
      <w:pPr>
        <w:pStyle w:val="Prrafodelista"/>
        <w:numPr>
          <w:ilvl w:val="0"/>
          <w:numId w:val="5"/>
        </w:numPr>
        <w:jc w:val="both"/>
        <w:rPr>
          <w:szCs w:val="20"/>
        </w:rPr>
      </w:pPr>
      <w:r w:rsidRPr="00BC370C">
        <w:rPr>
          <w:szCs w:val="20"/>
        </w:rPr>
        <w:t>QUIM: Nota en el curso de Química</w:t>
      </w:r>
    </w:p>
    <w:p w14:paraId="1A826E58" w14:textId="7CD55CED" w:rsidR="005B57E5" w:rsidRPr="00BC370C" w:rsidRDefault="00E8579C" w:rsidP="00BC370C">
      <w:pPr>
        <w:pStyle w:val="Prrafodelista"/>
        <w:numPr>
          <w:ilvl w:val="0"/>
          <w:numId w:val="5"/>
        </w:numPr>
        <w:jc w:val="both"/>
        <w:rPr>
          <w:szCs w:val="20"/>
        </w:rPr>
      </w:pPr>
      <w:r w:rsidRPr="00BC370C">
        <w:rPr>
          <w:szCs w:val="20"/>
        </w:rPr>
        <w:lastRenderedPageBreak/>
        <w:t>MATE: Nota en el curso de Matemáticas</w:t>
      </w:r>
    </w:p>
    <w:p w14:paraId="7C1D1652" w14:textId="1A5D4F78" w:rsidR="005B57E5" w:rsidRPr="00BC370C" w:rsidRDefault="00E8579C" w:rsidP="00BC370C">
      <w:pPr>
        <w:pStyle w:val="Prrafodelista"/>
        <w:numPr>
          <w:ilvl w:val="0"/>
          <w:numId w:val="5"/>
        </w:numPr>
        <w:jc w:val="both"/>
        <w:rPr>
          <w:szCs w:val="20"/>
        </w:rPr>
      </w:pPr>
      <w:r w:rsidRPr="00BC370C">
        <w:rPr>
          <w:szCs w:val="20"/>
        </w:rPr>
        <w:t>CREDAP: Número de créditos aprobados</w:t>
      </w:r>
      <w:r w:rsidR="00BC370C">
        <w:rPr>
          <w:szCs w:val="20"/>
        </w:rPr>
        <w:t xml:space="preserve"> </w:t>
      </w:r>
      <w:r w:rsidRPr="00BC370C">
        <w:rPr>
          <w:szCs w:val="20"/>
        </w:rPr>
        <w:t>en el primer semestre de estudios.</w:t>
      </w:r>
    </w:p>
    <w:p w14:paraId="02EE3976" w14:textId="524FF52D" w:rsidR="005B57E5" w:rsidRPr="00BC370C" w:rsidRDefault="00E8579C" w:rsidP="00BC370C">
      <w:pPr>
        <w:pStyle w:val="Prrafodelista"/>
        <w:numPr>
          <w:ilvl w:val="0"/>
          <w:numId w:val="5"/>
        </w:numPr>
        <w:jc w:val="both"/>
        <w:rPr>
          <w:szCs w:val="20"/>
        </w:rPr>
      </w:pPr>
      <w:r w:rsidRPr="00BC370C">
        <w:rPr>
          <w:szCs w:val="20"/>
        </w:rPr>
        <w:t>PROMSEM: Promedio ponderado del primer semestre de estudios.</w:t>
      </w:r>
    </w:p>
    <w:p w14:paraId="081F061D" w14:textId="77777777" w:rsidR="005B57E5" w:rsidRPr="00174218" w:rsidRDefault="005B57E5">
      <w:pPr>
        <w:ind w:firstLine="709"/>
        <w:jc w:val="both"/>
        <w:rPr>
          <w:szCs w:val="20"/>
        </w:rPr>
      </w:pPr>
    </w:p>
    <w:p w14:paraId="293A3A64" w14:textId="77777777" w:rsidR="005B57E5" w:rsidRPr="00174218" w:rsidRDefault="00E8579C">
      <w:pPr>
        <w:ind w:firstLine="709"/>
        <w:jc w:val="both"/>
        <w:rPr>
          <w:szCs w:val="20"/>
        </w:rPr>
      </w:pPr>
      <w:r w:rsidRPr="00174218">
        <w:rPr>
          <w:szCs w:val="20"/>
        </w:rPr>
        <w:t>El análisis descriptivo de las variables predictoras del rendimiento académico reveló patrones interesantes. Los estudiantes presentaron un rendimiento promedio ligeramente superior en Lengua en comparación con Matemáticas y Química durante el primer semestre. Se observó una relación significativa entre la nota obtenida en Matemáticas en el examen de admisión y en el primer semestre con la probabilidad de presentar una situación académica de riesgo. Aquellos estudiantes con notas más bajas en Matemáticas tuvieron una mayor probabilidad de estar en riesgo. Similarmente, aprobar menos créditos en el primer semestre también se asoció con un mayor riesgo académico. El promedio semestral del primer semestre, debido a su alta correlación con otras variables, fue excluido del análisis posterior para evitar redundancia. En resumen, los resultados sugieren que el desempeño en Matemáticas, especialmente en los primeros semestres, es un fuerte indicador del éxito académico posterior.</w:t>
      </w:r>
    </w:p>
    <w:p w14:paraId="39DECD1C" w14:textId="77777777" w:rsidR="005B57E5" w:rsidRPr="00174218" w:rsidRDefault="005B57E5">
      <w:pPr>
        <w:ind w:firstLine="709"/>
        <w:jc w:val="both"/>
        <w:rPr>
          <w:szCs w:val="20"/>
        </w:rPr>
      </w:pPr>
    </w:p>
    <w:p w14:paraId="336F7E02" w14:textId="3E22B798" w:rsidR="005B57E5" w:rsidRDefault="00E8579C">
      <w:pPr>
        <w:jc w:val="both"/>
        <w:rPr>
          <w:b/>
          <w:sz w:val="20"/>
          <w:szCs w:val="20"/>
        </w:rPr>
      </w:pPr>
      <w:r>
        <w:rPr>
          <w:b/>
          <w:sz w:val="20"/>
          <w:szCs w:val="20"/>
        </w:rPr>
        <w:t>Caso 2: Predicción del rendimiento académico como indicador de éxito/fracaso de los estudiantes de ingeniería, mediante aprendizaje automático [1</w:t>
      </w:r>
      <w:r w:rsidR="00C00FCE">
        <w:rPr>
          <w:b/>
          <w:sz w:val="20"/>
          <w:szCs w:val="20"/>
        </w:rPr>
        <w:t>5</w:t>
      </w:r>
      <w:r>
        <w:rPr>
          <w:b/>
          <w:sz w:val="20"/>
          <w:szCs w:val="20"/>
        </w:rPr>
        <w:t>]</w:t>
      </w:r>
    </w:p>
    <w:p w14:paraId="5741D1D1" w14:textId="77777777" w:rsidR="005B57E5" w:rsidRDefault="005B57E5">
      <w:pPr>
        <w:jc w:val="both"/>
        <w:rPr>
          <w:sz w:val="20"/>
          <w:szCs w:val="20"/>
        </w:rPr>
      </w:pPr>
    </w:p>
    <w:p w14:paraId="131B1685" w14:textId="77777777" w:rsidR="005B57E5" w:rsidRPr="00174218" w:rsidRDefault="00E8579C">
      <w:pPr>
        <w:ind w:firstLine="709"/>
        <w:jc w:val="both"/>
        <w:rPr>
          <w:szCs w:val="20"/>
        </w:rPr>
      </w:pPr>
      <w:r w:rsidRPr="00174218">
        <w:rPr>
          <w:szCs w:val="20"/>
        </w:rPr>
        <w:t xml:space="preserve">Este estudio busca identificar qué factores influyen en el éxito académico de los estudiantes de ingeniería industrial en la Universidad Distrital. Utilizando </w:t>
      </w:r>
      <w:r w:rsidRPr="00174218">
        <w:rPr>
          <w:szCs w:val="20"/>
        </w:rPr>
        <w:t>diversas técnicas de selección de variables y algoritmos de clasificación, se analizaron datos como el género, las puntuaciones en el examen de Estado (ICFES), la edad y otros aspectos socioeconómicos. Los resultados indican que el género y la puntuación en la parte de matemáticas del ICFES son los factores más consistentemente asociados con el rendimiento académico, según los diferentes métodos de análisis. Además, el algoritmo de perceptrón demostró ser el más preciso para predecir el éxito académico en este grupo de estudiantes. En conclusión, este estudio sugiere que tanto las habilidades matemáticas iniciales como el género pueden ser factores importantes para considerar al analizar el rendimiento académico en estudiantes de ingeniería industrial.</w:t>
      </w:r>
    </w:p>
    <w:p w14:paraId="113BACC2" w14:textId="77777777" w:rsidR="005B57E5" w:rsidRPr="00174218" w:rsidRDefault="005B57E5">
      <w:pPr>
        <w:jc w:val="both"/>
        <w:rPr>
          <w:szCs w:val="20"/>
        </w:rPr>
      </w:pPr>
    </w:p>
    <w:p w14:paraId="395F4A0C" w14:textId="77777777" w:rsidR="005B57E5" w:rsidRDefault="00E8579C">
      <w:pPr>
        <w:jc w:val="both"/>
        <w:rPr>
          <w:sz w:val="20"/>
          <w:szCs w:val="20"/>
        </w:rPr>
      </w:pPr>
      <w:r>
        <w:rPr>
          <w:sz w:val="20"/>
          <w:szCs w:val="20"/>
        </w:rPr>
        <w:t>Figura 2. Modelo del Panorama de la Analítica en educación</w:t>
      </w:r>
    </w:p>
    <w:p w14:paraId="17A87159" w14:textId="77777777" w:rsidR="005B57E5" w:rsidRDefault="005B57E5">
      <w:pPr>
        <w:jc w:val="both"/>
        <w:rPr>
          <w:sz w:val="20"/>
          <w:szCs w:val="20"/>
        </w:rPr>
      </w:pPr>
    </w:p>
    <w:p w14:paraId="341125A5" w14:textId="77777777" w:rsidR="005B57E5" w:rsidRDefault="00E8579C">
      <w:pPr>
        <w:jc w:val="both"/>
        <w:rPr>
          <w:sz w:val="20"/>
          <w:szCs w:val="20"/>
        </w:rPr>
      </w:pPr>
      <w:r>
        <w:rPr>
          <w:noProof/>
          <w:color w:val="000000"/>
          <w:sz w:val="20"/>
          <w:szCs w:val="20"/>
          <w:highlight w:val="white"/>
          <w:lang w:val="es-VE"/>
        </w:rPr>
        <w:drawing>
          <wp:inline distT="0" distB="0" distL="0" distR="0" wp14:anchorId="2B930057" wp14:editId="4180D0B6">
            <wp:extent cx="2581275" cy="1618918"/>
            <wp:effectExtent l="0" t="0" r="0" b="0"/>
            <wp:docPr id="75" name="image4.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4.png" descr="Diagrama&#10;&#10;Descripción generada automáticamente"/>
                    <pic:cNvPicPr preferRelativeResize="0"/>
                  </pic:nvPicPr>
                  <pic:blipFill>
                    <a:blip r:embed="rId21"/>
                    <a:srcRect/>
                    <a:stretch>
                      <a:fillRect/>
                    </a:stretch>
                  </pic:blipFill>
                  <pic:spPr>
                    <a:xfrm>
                      <a:off x="0" y="0"/>
                      <a:ext cx="2581275" cy="1618918"/>
                    </a:xfrm>
                    <a:prstGeom prst="rect">
                      <a:avLst/>
                    </a:prstGeom>
                    <a:ln/>
                  </pic:spPr>
                </pic:pic>
              </a:graphicData>
            </a:graphic>
          </wp:inline>
        </w:drawing>
      </w:r>
    </w:p>
    <w:p w14:paraId="10DDFB45" w14:textId="77777777" w:rsidR="005B57E5" w:rsidRDefault="005B57E5">
      <w:pPr>
        <w:ind w:firstLine="709"/>
        <w:jc w:val="both"/>
        <w:rPr>
          <w:sz w:val="20"/>
          <w:szCs w:val="20"/>
        </w:rPr>
      </w:pPr>
    </w:p>
    <w:p w14:paraId="2EFD2EC1" w14:textId="77777777" w:rsidR="005B57E5" w:rsidRDefault="00E8579C">
      <w:pPr>
        <w:ind w:firstLine="709"/>
        <w:jc w:val="both"/>
        <w:rPr>
          <w:sz w:val="20"/>
          <w:szCs w:val="20"/>
        </w:rPr>
      </w:pPr>
      <w:r>
        <w:rPr>
          <w:sz w:val="20"/>
          <w:szCs w:val="20"/>
        </w:rPr>
        <w:t xml:space="preserve"> </w:t>
      </w:r>
    </w:p>
    <w:p w14:paraId="41F76DCB" w14:textId="77777777" w:rsidR="005B57E5" w:rsidRDefault="00E8579C">
      <w:pPr>
        <w:jc w:val="both"/>
        <w:rPr>
          <w:sz w:val="20"/>
          <w:szCs w:val="20"/>
        </w:rPr>
      </w:pPr>
      <w:r>
        <w:rPr>
          <w:sz w:val="20"/>
          <w:szCs w:val="20"/>
        </w:rPr>
        <w:t xml:space="preserve">Fuente: </w:t>
      </w:r>
      <w:proofErr w:type="spellStart"/>
      <w:r>
        <w:rPr>
          <w:sz w:val="20"/>
          <w:szCs w:val="20"/>
        </w:rPr>
        <w:t>Dyckhoff</w:t>
      </w:r>
      <w:proofErr w:type="spellEnd"/>
      <w:r>
        <w:rPr>
          <w:sz w:val="20"/>
          <w:szCs w:val="20"/>
        </w:rPr>
        <w:t xml:space="preserve"> (2012) </w:t>
      </w:r>
    </w:p>
    <w:p w14:paraId="4C3BC9C1" w14:textId="77777777" w:rsidR="005B57E5" w:rsidRDefault="005B57E5">
      <w:pPr>
        <w:jc w:val="both"/>
        <w:rPr>
          <w:sz w:val="20"/>
          <w:szCs w:val="20"/>
        </w:rPr>
      </w:pPr>
    </w:p>
    <w:p w14:paraId="2CB7D61E" w14:textId="3476FACB" w:rsidR="005B57E5" w:rsidRPr="00174218" w:rsidRDefault="00E8579C">
      <w:pPr>
        <w:ind w:firstLine="709"/>
        <w:jc w:val="both"/>
        <w:rPr>
          <w:szCs w:val="20"/>
        </w:rPr>
      </w:pPr>
      <w:r w:rsidRPr="00174218">
        <w:rPr>
          <w:szCs w:val="20"/>
        </w:rPr>
        <w:t>Se utilizaron diversas técnicas de selección de variables y algoritmos de clasificación para identificar cuáles de las 30 variables iniciales eran las más importantes para determinar el éxito académico. El objetivo era encontrar el mejor modelo predictivo [1</w:t>
      </w:r>
      <w:r w:rsidR="00C00FCE" w:rsidRPr="00174218">
        <w:rPr>
          <w:szCs w:val="20"/>
        </w:rPr>
        <w:t>6</w:t>
      </w:r>
      <w:r w:rsidRPr="00174218">
        <w:rPr>
          <w:szCs w:val="20"/>
        </w:rPr>
        <w:t xml:space="preserve">]. Los resultados mostraron que, a pesar de no incluir todas las variables que la literatura </w:t>
      </w:r>
      <w:r w:rsidRPr="00174218">
        <w:rPr>
          <w:szCs w:val="20"/>
        </w:rPr>
        <w:lastRenderedPageBreak/>
        <w:t>sugiere, los modelos desarrollados lograron una alta precisión en sus predicciones. En otras palabras, utilizando herramientas de aprendizaje automático se pudo identificar cuáles son los factores más relevantes para predecir el rendimiento de estos estudiantes, lo que abre la puerta a desarrollar estrategias más personalizadas y efectivas para mejorar la calidad de la educación en ingeniería industrial.</w:t>
      </w:r>
    </w:p>
    <w:p w14:paraId="239E110C" w14:textId="77777777" w:rsidR="005B57E5" w:rsidRPr="00174218" w:rsidRDefault="005B57E5">
      <w:pPr>
        <w:jc w:val="both"/>
        <w:rPr>
          <w:szCs w:val="20"/>
        </w:rPr>
      </w:pPr>
    </w:p>
    <w:p w14:paraId="0200AC2A" w14:textId="77777777" w:rsidR="005B57E5" w:rsidRDefault="00E8579C">
      <w:pPr>
        <w:jc w:val="both"/>
        <w:rPr>
          <w:sz w:val="20"/>
          <w:szCs w:val="20"/>
        </w:rPr>
      </w:pPr>
      <w:r>
        <w:rPr>
          <w:sz w:val="20"/>
          <w:szCs w:val="20"/>
        </w:rPr>
        <w:t xml:space="preserve">Figura 3. Metodologías estadísticas, de </w:t>
      </w:r>
      <w:r>
        <w:rPr>
          <w:i/>
          <w:sz w:val="20"/>
          <w:szCs w:val="20"/>
        </w:rPr>
        <w:t xml:space="preserve">Machine </w:t>
      </w:r>
      <w:proofErr w:type="spellStart"/>
      <w:r>
        <w:rPr>
          <w:i/>
          <w:sz w:val="20"/>
          <w:szCs w:val="20"/>
        </w:rPr>
        <w:t>Learning</w:t>
      </w:r>
      <w:proofErr w:type="spellEnd"/>
      <w:r>
        <w:rPr>
          <w:sz w:val="20"/>
          <w:szCs w:val="20"/>
        </w:rPr>
        <w:t xml:space="preserve"> y variables para la medición del rendimiento académico.</w:t>
      </w:r>
    </w:p>
    <w:p w14:paraId="6ED98093" w14:textId="77777777" w:rsidR="005B57E5" w:rsidRDefault="00E8579C">
      <w:pPr>
        <w:jc w:val="both"/>
        <w:rPr>
          <w:sz w:val="20"/>
          <w:szCs w:val="20"/>
        </w:rPr>
      </w:pPr>
      <w:r>
        <w:rPr>
          <w:noProof/>
          <w:color w:val="000000"/>
          <w:sz w:val="20"/>
          <w:szCs w:val="20"/>
          <w:highlight w:val="white"/>
          <w:lang w:val="es-VE"/>
        </w:rPr>
        <w:drawing>
          <wp:inline distT="0" distB="0" distL="0" distR="0" wp14:anchorId="05D3BE6C" wp14:editId="273CE2B8">
            <wp:extent cx="2581275" cy="2230509"/>
            <wp:effectExtent l="0" t="0" r="0" b="0"/>
            <wp:docPr id="78" name="image5.jp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5.jpg" descr="Diagrama&#10;&#10;Descripción generada automáticamente"/>
                    <pic:cNvPicPr preferRelativeResize="0"/>
                  </pic:nvPicPr>
                  <pic:blipFill>
                    <a:blip r:embed="rId22"/>
                    <a:srcRect/>
                    <a:stretch>
                      <a:fillRect/>
                    </a:stretch>
                  </pic:blipFill>
                  <pic:spPr>
                    <a:xfrm>
                      <a:off x="0" y="0"/>
                      <a:ext cx="2581275" cy="2230509"/>
                    </a:xfrm>
                    <a:prstGeom prst="rect">
                      <a:avLst/>
                    </a:prstGeom>
                    <a:ln/>
                  </pic:spPr>
                </pic:pic>
              </a:graphicData>
            </a:graphic>
          </wp:inline>
        </w:drawing>
      </w:r>
    </w:p>
    <w:p w14:paraId="292685E3" w14:textId="77777777" w:rsidR="005B57E5" w:rsidRDefault="00E8579C">
      <w:pPr>
        <w:jc w:val="both"/>
        <w:rPr>
          <w:sz w:val="20"/>
          <w:szCs w:val="20"/>
        </w:rPr>
      </w:pPr>
      <w:r>
        <w:rPr>
          <w:sz w:val="20"/>
          <w:szCs w:val="20"/>
        </w:rPr>
        <w:t xml:space="preserve">Fuente: Contreras (2020) </w:t>
      </w:r>
    </w:p>
    <w:p w14:paraId="45EB1108" w14:textId="77777777" w:rsidR="005B57E5" w:rsidRDefault="005B57E5">
      <w:pPr>
        <w:ind w:firstLine="709"/>
        <w:jc w:val="both"/>
        <w:rPr>
          <w:sz w:val="20"/>
          <w:szCs w:val="20"/>
        </w:rPr>
      </w:pPr>
    </w:p>
    <w:p w14:paraId="65F94941" w14:textId="6092EA71" w:rsidR="005B57E5" w:rsidRDefault="00E8579C">
      <w:pPr>
        <w:ind w:firstLine="709"/>
        <w:jc w:val="both"/>
        <w:rPr>
          <w:szCs w:val="20"/>
        </w:rPr>
      </w:pPr>
      <w:r w:rsidRPr="00174218">
        <w:rPr>
          <w:szCs w:val="20"/>
        </w:rPr>
        <w:t>En la figura 3 se muestran los factores se pueden agrupar en diversas categorías, como características académicas, demográficas, socioculturales y socioeconómicas previas al ingreso a la universidad, así como variables relacionadas con la gestión académica, tecnología, bibliotecas, institución, pedagogía, inteligencia y aspectos afectivos durante la vida universitaria. En esencia, este modelo busca comprender cómo una combinación de estos elementos influye en el éxito académico de los estudiantes, permitiendo así diseñar estrategias más efectivas para mejorar su rendimiento.</w:t>
      </w:r>
    </w:p>
    <w:p w14:paraId="7F38E483" w14:textId="02EAF202" w:rsidR="0021196D" w:rsidRDefault="0021196D">
      <w:pPr>
        <w:ind w:firstLine="709"/>
        <w:jc w:val="both"/>
        <w:rPr>
          <w:szCs w:val="20"/>
        </w:rPr>
      </w:pPr>
    </w:p>
    <w:p w14:paraId="0A52EEED" w14:textId="2AA4B66B" w:rsidR="00F01D81" w:rsidRDefault="00F01D81">
      <w:pPr>
        <w:ind w:firstLine="709"/>
        <w:jc w:val="both"/>
        <w:rPr>
          <w:szCs w:val="20"/>
        </w:rPr>
      </w:pPr>
    </w:p>
    <w:p w14:paraId="0BF6F9D0" w14:textId="1CDA47B7" w:rsidR="00F01D81" w:rsidRDefault="00F01D81">
      <w:pPr>
        <w:ind w:firstLine="709"/>
        <w:jc w:val="both"/>
        <w:rPr>
          <w:szCs w:val="20"/>
        </w:rPr>
      </w:pPr>
    </w:p>
    <w:p w14:paraId="7CFDFA93" w14:textId="3682DFB6" w:rsidR="00F01D81" w:rsidRDefault="00F01D81">
      <w:pPr>
        <w:ind w:firstLine="709"/>
        <w:jc w:val="both"/>
        <w:rPr>
          <w:szCs w:val="20"/>
        </w:rPr>
      </w:pPr>
    </w:p>
    <w:p w14:paraId="55CD268D" w14:textId="3A4CDC78" w:rsidR="00F01D81" w:rsidRDefault="00F01D81">
      <w:pPr>
        <w:ind w:firstLine="709"/>
        <w:jc w:val="both"/>
        <w:rPr>
          <w:szCs w:val="20"/>
        </w:rPr>
      </w:pPr>
    </w:p>
    <w:p w14:paraId="31B2BAFD" w14:textId="30BC5C1F" w:rsidR="00F01D81" w:rsidRDefault="00F01D81">
      <w:pPr>
        <w:ind w:firstLine="709"/>
        <w:jc w:val="both"/>
        <w:rPr>
          <w:szCs w:val="20"/>
        </w:rPr>
      </w:pPr>
    </w:p>
    <w:p w14:paraId="4526CD6E" w14:textId="7CA3C954" w:rsidR="00F01D81" w:rsidRDefault="00F01D81">
      <w:pPr>
        <w:ind w:firstLine="709"/>
        <w:jc w:val="both"/>
        <w:rPr>
          <w:szCs w:val="20"/>
        </w:rPr>
      </w:pPr>
    </w:p>
    <w:p w14:paraId="326F8996" w14:textId="7BFE12E2" w:rsidR="00F01D81" w:rsidRDefault="00F01D81">
      <w:pPr>
        <w:ind w:firstLine="709"/>
        <w:jc w:val="both"/>
        <w:rPr>
          <w:szCs w:val="20"/>
        </w:rPr>
      </w:pPr>
    </w:p>
    <w:p w14:paraId="5D276EAC" w14:textId="4CCD9F04" w:rsidR="00F01D81" w:rsidRDefault="00F01D81">
      <w:pPr>
        <w:ind w:firstLine="709"/>
        <w:jc w:val="both"/>
        <w:rPr>
          <w:szCs w:val="20"/>
        </w:rPr>
      </w:pPr>
    </w:p>
    <w:p w14:paraId="075A30D3" w14:textId="2A0FD65C" w:rsidR="00F01D81" w:rsidRDefault="00F01D81">
      <w:pPr>
        <w:ind w:firstLine="709"/>
        <w:jc w:val="both"/>
        <w:rPr>
          <w:szCs w:val="20"/>
        </w:rPr>
      </w:pPr>
    </w:p>
    <w:p w14:paraId="3C9F5ABE" w14:textId="48690443" w:rsidR="00F01D81" w:rsidRDefault="00F01D81">
      <w:pPr>
        <w:ind w:firstLine="709"/>
        <w:jc w:val="both"/>
        <w:rPr>
          <w:szCs w:val="20"/>
        </w:rPr>
      </w:pPr>
    </w:p>
    <w:p w14:paraId="7FD564FD" w14:textId="38903845" w:rsidR="00F01D81" w:rsidRDefault="00F01D81">
      <w:pPr>
        <w:ind w:firstLine="709"/>
        <w:jc w:val="both"/>
        <w:rPr>
          <w:szCs w:val="20"/>
        </w:rPr>
      </w:pPr>
    </w:p>
    <w:p w14:paraId="0FCB7A5F" w14:textId="77777777" w:rsidR="00F01D81" w:rsidRPr="00174218" w:rsidRDefault="00F01D81">
      <w:pPr>
        <w:ind w:firstLine="709"/>
        <w:jc w:val="both"/>
        <w:rPr>
          <w:szCs w:val="20"/>
        </w:rPr>
      </w:pPr>
    </w:p>
    <w:p w14:paraId="277C2B4A" w14:textId="77777777" w:rsidR="005B57E5" w:rsidRPr="00174218" w:rsidRDefault="00E8579C">
      <w:pPr>
        <w:ind w:firstLine="709"/>
        <w:jc w:val="both"/>
        <w:rPr>
          <w:szCs w:val="20"/>
        </w:rPr>
      </w:pPr>
      <w:r w:rsidRPr="00174218">
        <w:rPr>
          <w:szCs w:val="20"/>
        </w:rPr>
        <w:t>En conclusión, las variables más influyentes en el rendimiento académico de los estudiantes de ingeniería son la edad, el género, los puntajes obtenidos en el examen de Estado (ICFES), el costo de la matrícula y el año de ingreso a la universidad. Para predecir este rendimiento, se utilizaron algoritmos de aprendizaje automático como Máquinas de Vector de Soporte (SVM) y Perceptrón, siendo este último el que obtuvo mejores resultados con una precisión del 66.4%. Sin embargo, se reconoce que, para mejorar aún más la precisión de las predicciones, es necesario incorporar variables adicionales relacionadas con factores como la gestión académica, tecnología, bibliotecas, aspectos pedagógicos e intelectuales. A pesar de que los resultados obtenidos hasta el momento son prometedores, se considera que al incluir estas variables adicionales se podrían obtener modelos predictivos con una precisión superior al 90%.</w:t>
      </w:r>
    </w:p>
    <w:p w14:paraId="61958634" w14:textId="77777777" w:rsidR="005B57E5" w:rsidRPr="00174218" w:rsidRDefault="005B57E5">
      <w:pPr>
        <w:ind w:firstLine="709"/>
        <w:jc w:val="both"/>
        <w:rPr>
          <w:szCs w:val="20"/>
        </w:rPr>
      </w:pPr>
    </w:p>
    <w:p w14:paraId="404A6E4E" w14:textId="7466238A" w:rsidR="005B57E5" w:rsidRDefault="00E8579C">
      <w:pPr>
        <w:jc w:val="both"/>
        <w:rPr>
          <w:b/>
          <w:sz w:val="20"/>
          <w:szCs w:val="20"/>
        </w:rPr>
      </w:pPr>
      <w:r>
        <w:rPr>
          <w:b/>
          <w:sz w:val="20"/>
          <w:szCs w:val="20"/>
        </w:rPr>
        <w:t>Caso 3: Una Propuesta Metodológica para adobar el fenómeno de la deserción académica a partir de un modelo de predicción inteligente: Un caso de estudio [1</w:t>
      </w:r>
      <w:r w:rsidR="00C00FCE">
        <w:rPr>
          <w:b/>
          <w:sz w:val="20"/>
          <w:szCs w:val="20"/>
        </w:rPr>
        <w:t>7</w:t>
      </w:r>
      <w:r>
        <w:rPr>
          <w:b/>
          <w:sz w:val="20"/>
          <w:szCs w:val="20"/>
        </w:rPr>
        <w:t>]</w:t>
      </w:r>
    </w:p>
    <w:p w14:paraId="02767205" w14:textId="77777777" w:rsidR="005B57E5" w:rsidRDefault="005B57E5">
      <w:pPr>
        <w:ind w:firstLine="709"/>
        <w:jc w:val="both"/>
        <w:rPr>
          <w:sz w:val="20"/>
          <w:szCs w:val="20"/>
        </w:rPr>
      </w:pPr>
    </w:p>
    <w:p w14:paraId="1500C877" w14:textId="77777777" w:rsidR="005B57E5" w:rsidRPr="00174218" w:rsidRDefault="00E8579C">
      <w:pPr>
        <w:ind w:firstLine="709"/>
        <w:jc w:val="both"/>
        <w:rPr>
          <w:szCs w:val="20"/>
        </w:rPr>
      </w:pPr>
      <w:r w:rsidRPr="00174218">
        <w:rPr>
          <w:szCs w:val="20"/>
        </w:rPr>
        <w:lastRenderedPageBreak/>
        <w:t xml:space="preserve">Este estudio presenta un modelo para predecir la deserción universitaria en sus etapas iniciales. Combinando el Análisis de Supervivencia con técnicas de aprendizaje automático como Árboles de Decisión y </w:t>
      </w:r>
      <w:proofErr w:type="spellStart"/>
      <w:r w:rsidRPr="00174218">
        <w:rPr>
          <w:i/>
          <w:szCs w:val="20"/>
        </w:rPr>
        <w:t>Random</w:t>
      </w:r>
      <w:proofErr w:type="spellEnd"/>
      <w:r w:rsidRPr="00174218">
        <w:rPr>
          <w:szCs w:val="20"/>
        </w:rPr>
        <w:t xml:space="preserve"> Forest, se busca identificar los factores que influyen en que un estudiante abandone sus estudios. El modelo se divide en tres fases: primero, estima la probabilidad de que un estudiante continúe sus estudios; luego, utiliza esta probabilidad como punto de partida para construir árboles de decisión que revelen patrones de comportamiento asociados a la deserción; finalmente, identifica las variables más importantes para predecir este fenómeno. Los resultados muestran que esta metodología es efectiva para identificar los factores de riesgo de deserción y puede adaptarse a diferentes contextos universitarios. Sin embargo, es importante destacar que cada institución tiene sus particularidades, por lo que es necesario ajustar el modelo a las condiciones específicas de cada caso.</w:t>
      </w:r>
    </w:p>
    <w:p w14:paraId="5A173BDF" w14:textId="77777777" w:rsidR="005B57E5" w:rsidRPr="00174218" w:rsidRDefault="00E8579C">
      <w:pPr>
        <w:ind w:firstLine="709"/>
        <w:jc w:val="both"/>
        <w:rPr>
          <w:szCs w:val="20"/>
        </w:rPr>
      </w:pPr>
      <w:r w:rsidRPr="00174218">
        <w:rPr>
          <w:szCs w:val="20"/>
        </w:rPr>
        <w:t xml:space="preserve">En la primera fase, se estima la probabilidad de que un estudiante continúe sus estudios utilizando el método de Kaplan-Meier, considerando el tiempo transcurrido hasta la deserción. Luego, esta probabilidad se incorpora como variable en un árbol de decisión para identificar patrones asociados a la deserción. Finalmente, se emplea el método de </w:t>
      </w:r>
      <w:proofErr w:type="spellStart"/>
      <w:r w:rsidRPr="00174218">
        <w:rPr>
          <w:i/>
          <w:szCs w:val="20"/>
        </w:rPr>
        <w:t>Random</w:t>
      </w:r>
      <w:proofErr w:type="spellEnd"/>
      <w:r w:rsidRPr="00174218">
        <w:rPr>
          <w:i/>
          <w:szCs w:val="20"/>
        </w:rPr>
        <w:t xml:space="preserve"> Forest</w:t>
      </w:r>
      <w:r w:rsidRPr="00174218">
        <w:rPr>
          <w:szCs w:val="20"/>
        </w:rPr>
        <w:t xml:space="preserve"> para determinar la importancia de cada variable en la predicción de la deserción. El modelo se construye y evalúa utilizando el lenguaje de programación R, y los resultados obtenidos permitirán identificar los factores de riesgo clave y diseñar estrategias para prevenir la deserción estudiantil.</w:t>
      </w:r>
    </w:p>
    <w:p w14:paraId="4860C529" w14:textId="77777777" w:rsidR="005B57E5" w:rsidRPr="00174218" w:rsidRDefault="00E8579C">
      <w:pPr>
        <w:ind w:firstLine="709"/>
        <w:jc w:val="both"/>
        <w:rPr>
          <w:szCs w:val="20"/>
        </w:rPr>
      </w:pPr>
      <w:r w:rsidRPr="00174218">
        <w:rPr>
          <w:szCs w:val="20"/>
        </w:rPr>
        <w:t>El esquema completo del modelo predictivo propuesto se ilustra a través del siguiente diagrama de flujo (Figura 4).</w:t>
      </w:r>
    </w:p>
    <w:p w14:paraId="437885FE" w14:textId="77777777" w:rsidR="005B57E5" w:rsidRDefault="005B57E5">
      <w:pPr>
        <w:jc w:val="both"/>
        <w:rPr>
          <w:sz w:val="20"/>
          <w:szCs w:val="20"/>
        </w:rPr>
      </w:pPr>
    </w:p>
    <w:p w14:paraId="01B941C9" w14:textId="77777777" w:rsidR="005B57E5" w:rsidRDefault="00E8579C">
      <w:pPr>
        <w:jc w:val="both"/>
        <w:rPr>
          <w:sz w:val="20"/>
          <w:szCs w:val="20"/>
        </w:rPr>
      </w:pPr>
      <w:r>
        <w:rPr>
          <w:sz w:val="20"/>
          <w:szCs w:val="20"/>
        </w:rPr>
        <w:t>Figura 4. Esquema del modelo predictivo propuesto</w:t>
      </w:r>
    </w:p>
    <w:p w14:paraId="3B1D6DB3" w14:textId="77777777" w:rsidR="005B57E5" w:rsidRDefault="005B57E5">
      <w:pPr>
        <w:jc w:val="both"/>
        <w:rPr>
          <w:sz w:val="20"/>
          <w:szCs w:val="20"/>
        </w:rPr>
      </w:pPr>
    </w:p>
    <w:p w14:paraId="73062FE9" w14:textId="77777777" w:rsidR="005B57E5" w:rsidRDefault="00E8579C">
      <w:pPr>
        <w:jc w:val="both"/>
        <w:rPr>
          <w:sz w:val="20"/>
          <w:szCs w:val="20"/>
        </w:rPr>
      </w:pPr>
      <w:r>
        <w:rPr>
          <w:noProof/>
          <w:color w:val="000000"/>
          <w:sz w:val="20"/>
          <w:szCs w:val="20"/>
          <w:highlight w:val="white"/>
          <w:lang w:val="es-VE"/>
        </w:rPr>
        <w:drawing>
          <wp:inline distT="0" distB="0" distL="0" distR="0" wp14:anchorId="65D26A22" wp14:editId="543E8A85">
            <wp:extent cx="1988353" cy="1073849"/>
            <wp:effectExtent l="0" t="0" r="0" b="0"/>
            <wp:docPr id="77" name="image6.png" descr="Diagra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6.png" descr="Diagrama&#10;&#10;Descripción generada automáticamente"/>
                    <pic:cNvPicPr preferRelativeResize="0"/>
                  </pic:nvPicPr>
                  <pic:blipFill>
                    <a:blip r:embed="rId23"/>
                    <a:srcRect/>
                    <a:stretch>
                      <a:fillRect/>
                    </a:stretch>
                  </pic:blipFill>
                  <pic:spPr>
                    <a:xfrm>
                      <a:off x="0" y="0"/>
                      <a:ext cx="1988353" cy="1073849"/>
                    </a:xfrm>
                    <a:prstGeom prst="rect">
                      <a:avLst/>
                    </a:prstGeom>
                    <a:ln/>
                  </pic:spPr>
                </pic:pic>
              </a:graphicData>
            </a:graphic>
          </wp:inline>
        </w:drawing>
      </w:r>
    </w:p>
    <w:p w14:paraId="4F690437" w14:textId="77777777" w:rsidR="005B57E5" w:rsidRDefault="00E8579C">
      <w:pPr>
        <w:jc w:val="both"/>
        <w:rPr>
          <w:sz w:val="20"/>
          <w:szCs w:val="20"/>
        </w:rPr>
      </w:pPr>
      <w:r>
        <w:rPr>
          <w:sz w:val="20"/>
          <w:szCs w:val="20"/>
        </w:rPr>
        <w:t xml:space="preserve">Fuente: Murillo (2023) </w:t>
      </w:r>
    </w:p>
    <w:p w14:paraId="0AD39484" w14:textId="77777777" w:rsidR="005B57E5" w:rsidRPr="00174218" w:rsidRDefault="00E8579C">
      <w:pPr>
        <w:ind w:firstLine="709"/>
        <w:jc w:val="both"/>
        <w:rPr>
          <w:szCs w:val="20"/>
        </w:rPr>
      </w:pPr>
      <w:r w:rsidRPr="00174218">
        <w:rPr>
          <w:szCs w:val="20"/>
        </w:rPr>
        <w:t>El Análisis de Supervivencia con Árboles de Decisión y Bosques Aleatorios para identificar los factores que influyen en que un estudiante abandone sus estudios. Se identificó que las variables como el género, las notas de enseñanza media y los resultados de pruebas de selección universitaria son clave para detectar la deserción. Los resultados muestran que la metodología es efectiva para diferenciar entre facultades y para identificar las variables más importantes en la predicción de la deserción. Aunque el estudio se realizó en una universidad chilena, la metodología es adaptable a diferentes contextos académicos, siempre y cuando se consideren las características específicas de cada institución. El uso de Bosques Aleatorios agrega robustez al modelo y reduce el riesgo de sobreajuste. En resumen, esta propuesta ofrece una herramienta valiosa para las instituciones educativas que buscan prevenir la deserción estudiantil.</w:t>
      </w:r>
    </w:p>
    <w:p w14:paraId="71F539F5" w14:textId="77777777" w:rsidR="005B57E5" w:rsidRDefault="005B57E5">
      <w:pPr>
        <w:ind w:firstLine="709"/>
        <w:jc w:val="both"/>
        <w:rPr>
          <w:sz w:val="20"/>
          <w:szCs w:val="20"/>
        </w:rPr>
      </w:pPr>
    </w:p>
    <w:p w14:paraId="67BD5A12" w14:textId="77777777" w:rsidR="005B57E5" w:rsidRPr="00C00FCE" w:rsidRDefault="00E8579C">
      <w:pPr>
        <w:jc w:val="both"/>
        <w:rPr>
          <w:b/>
          <w:sz w:val="20"/>
          <w:szCs w:val="20"/>
        </w:rPr>
      </w:pPr>
      <w:r w:rsidRPr="00C00FCE">
        <w:rPr>
          <w:b/>
          <w:sz w:val="20"/>
          <w:szCs w:val="20"/>
        </w:rPr>
        <w:t xml:space="preserve">Discusión de los casos Perfil de Ingreso </w:t>
      </w:r>
    </w:p>
    <w:p w14:paraId="66355E4C" w14:textId="77777777" w:rsidR="005B57E5" w:rsidRPr="00C00FCE" w:rsidRDefault="005B57E5">
      <w:pPr>
        <w:jc w:val="both"/>
        <w:rPr>
          <w:sz w:val="20"/>
          <w:szCs w:val="20"/>
        </w:rPr>
      </w:pPr>
    </w:p>
    <w:p w14:paraId="286F69D2" w14:textId="77777777" w:rsidR="005B57E5" w:rsidRPr="00174218" w:rsidRDefault="00E8579C">
      <w:pPr>
        <w:ind w:firstLine="709"/>
        <w:jc w:val="both"/>
        <w:rPr>
          <w:szCs w:val="20"/>
        </w:rPr>
      </w:pPr>
      <w:r w:rsidRPr="00174218">
        <w:rPr>
          <w:szCs w:val="20"/>
        </w:rPr>
        <w:t xml:space="preserve">Los perfiles de ingreso presentan un objetivo común, determinar si el estudiante tiene gran posibilidad de finalizar la carrera y mantener su rendimiento académico. En caso de [4] se </w:t>
      </w:r>
      <w:r w:rsidRPr="00174218">
        <w:rPr>
          <w:szCs w:val="20"/>
        </w:rPr>
        <w:lastRenderedPageBreak/>
        <w:t xml:space="preserve">demuestra que las ciencias básicas es clave para estar en las carreras de ingeniería y a través de exámenes de admisión, lo cual es un parámetro que facilita a las universidades en segmentar a sus estudiantes, también se aplicaron herramientas de optimización para calcular la posibilidad de terminar la carrera, mientras los caso de [5] enfatiza en el desarrollo de habilidades matemáticas en el bachillerato para el éxito de los estudiantes de ingeniería , Para el caso [6] las universidades de la India detectaron que hay factores internos que deben mejorar las universidades para que los ingenieros puedan ser insertados en el ámbito laboral. En resumen, cada país tiene un percance distinto en las facultades de ingeniería unos por temas de ciencias básica en el bachillerato y otras en la inserción laboral, lo que pudiera demostrar que el problema en sí es una complejidad de la educación básica y superior con lo requerido con el mercado laboral de las económicas de estos países analizados. </w:t>
      </w:r>
    </w:p>
    <w:p w14:paraId="553B5975" w14:textId="77777777" w:rsidR="005B57E5" w:rsidRPr="00174218" w:rsidRDefault="005B57E5">
      <w:pPr>
        <w:ind w:firstLine="709"/>
        <w:jc w:val="both"/>
        <w:rPr>
          <w:szCs w:val="20"/>
        </w:rPr>
      </w:pPr>
    </w:p>
    <w:p w14:paraId="60E3B1DF" w14:textId="77777777" w:rsidR="005B57E5" w:rsidRPr="00C00FCE" w:rsidRDefault="00E8579C">
      <w:pPr>
        <w:jc w:val="both"/>
        <w:rPr>
          <w:b/>
          <w:sz w:val="20"/>
          <w:szCs w:val="20"/>
        </w:rPr>
      </w:pPr>
      <w:r w:rsidRPr="00C00FCE">
        <w:rPr>
          <w:b/>
          <w:sz w:val="20"/>
          <w:szCs w:val="20"/>
        </w:rPr>
        <w:t xml:space="preserve">Discusión de los casos de análisis paramétricos en universidades </w:t>
      </w:r>
    </w:p>
    <w:p w14:paraId="1A2BA616" w14:textId="77777777" w:rsidR="005B57E5" w:rsidRPr="00C00FCE" w:rsidRDefault="005B57E5">
      <w:pPr>
        <w:jc w:val="both"/>
        <w:rPr>
          <w:sz w:val="20"/>
          <w:szCs w:val="20"/>
        </w:rPr>
      </w:pPr>
    </w:p>
    <w:p w14:paraId="6EA1B184" w14:textId="4CE6006B" w:rsidR="005B57E5" w:rsidRPr="00174218" w:rsidRDefault="00E8579C" w:rsidP="009E1402">
      <w:pPr>
        <w:ind w:firstLine="709"/>
        <w:jc w:val="both"/>
        <w:rPr>
          <w:szCs w:val="20"/>
        </w:rPr>
      </w:pPr>
      <w:r w:rsidRPr="00174218">
        <w:rPr>
          <w:szCs w:val="20"/>
        </w:rPr>
        <w:t>En el caso [</w:t>
      </w:r>
      <w:r w:rsidR="009E1402" w:rsidRPr="00174218">
        <w:rPr>
          <w:szCs w:val="20"/>
        </w:rPr>
        <w:t>8</w:t>
      </w:r>
      <w:r w:rsidRPr="00174218">
        <w:rPr>
          <w:szCs w:val="20"/>
        </w:rPr>
        <w:t>] se tiene el uso del Modelo DEA, que puede ser bastante útil para analizar la calidad del perfil de estudiante con los parámetros que manejan las universidades y evaluar su actual perfil. Además, el caso [8] muestra el problema que sufren las universidades para equilibrar las finanzas entre lo académico y la investigación, lo cual afecta de manera indirecta al desempeño de los estudiantes por la necesidad de tener más profesores enseñando. Sobre el caso [</w:t>
      </w:r>
      <w:r w:rsidR="009E1402" w:rsidRPr="00174218">
        <w:rPr>
          <w:szCs w:val="20"/>
        </w:rPr>
        <w:t>10</w:t>
      </w:r>
      <w:r w:rsidRPr="00174218">
        <w:rPr>
          <w:szCs w:val="20"/>
        </w:rPr>
        <w:t>]</w:t>
      </w:r>
      <w:r w:rsidR="006C7203" w:rsidRPr="00174218">
        <w:rPr>
          <w:szCs w:val="20"/>
        </w:rPr>
        <w:t xml:space="preserve"> junto el caso [11] se</w:t>
      </w:r>
      <w:r w:rsidRPr="00174218">
        <w:rPr>
          <w:szCs w:val="20"/>
        </w:rPr>
        <w:t xml:space="preserve"> demuestra que los estudiantes en Latinoamérica buscan ingresar al </w:t>
      </w:r>
      <w:r w:rsidRPr="00174218">
        <w:rPr>
          <w:szCs w:val="20"/>
        </w:rPr>
        <w:t xml:space="preserve">mercado laboral lo más pronto posible para insertarse en el mercado laboral a pesar de los bajos salarios mientras están terminando sus estudios. </w:t>
      </w:r>
      <w:r w:rsidR="009E1402" w:rsidRPr="00174218">
        <w:rPr>
          <w:szCs w:val="20"/>
        </w:rPr>
        <w:t>Finalmente, los hallazgos evidencian que la dependencia de ingresos económicos durante la etapa universitaria obliga a los estudiantes a compatibilizar empleo y estudios, generando una distribución limitada del tiempo disponible. Esta dualidad reduce significativamente las horas destinadas al estudio autónomo y al descanso, impactando negativamente en el rendimiento académico debido a factores fisiológicos (fatiga cognitiva) y restricciones temporales. Adicionalmente, se identifica la necesidad de incrementar la plantilla docente para brindar soporte académico personalizado y mitigar estos efectos.</w:t>
      </w:r>
      <w:r w:rsidR="00D37077" w:rsidRPr="00174218">
        <w:rPr>
          <w:szCs w:val="20"/>
        </w:rPr>
        <w:t xml:space="preserve"> </w:t>
      </w:r>
    </w:p>
    <w:p w14:paraId="1DCFFA52" w14:textId="77777777" w:rsidR="009E1402" w:rsidRPr="00C00FCE" w:rsidRDefault="009E1402" w:rsidP="009E1402">
      <w:pPr>
        <w:ind w:firstLine="709"/>
        <w:jc w:val="both"/>
        <w:rPr>
          <w:sz w:val="20"/>
          <w:szCs w:val="20"/>
        </w:rPr>
      </w:pPr>
    </w:p>
    <w:p w14:paraId="4C23FB9B" w14:textId="77777777" w:rsidR="005B57E5" w:rsidRDefault="00E8579C">
      <w:pPr>
        <w:jc w:val="both"/>
        <w:rPr>
          <w:b/>
          <w:sz w:val="20"/>
          <w:szCs w:val="20"/>
        </w:rPr>
      </w:pPr>
      <w:r w:rsidRPr="00C00FCE">
        <w:rPr>
          <w:b/>
          <w:sz w:val="20"/>
          <w:szCs w:val="20"/>
        </w:rPr>
        <w:t xml:space="preserve">Discusión de los casos de análisis de datos y </w:t>
      </w:r>
      <w:r w:rsidRPr="00C00FCE">
        <w:rPr>
          <w:b/>
          <w:i/>
          <w:sz w:val="20"/>
          <w:szCs w:val="20"/>
        </w:rPr>
        <w:t xml:space="preserve">machine </w:t>
      </w:r>
      <w:proofErr w:type="spellStart"/>
      <w:r w:rsidRPr="00C00FCE">
        <w:rPr>
          <w:b/>
          <w:i/>
          <w:sz w:val="20"/>
          <w:szCs w:val="20"/>
        </w:rPr>
        <w:t>learning</w:t>
      </w:r>
      <w:proofErr w:type="spellEnd"/>
      <w:r w:rsidRPr="00C00FCE">
        <w:rPr>
          <w:b/>
          <w:sz w:val="20"/>
          <w:szCs w:val="20"/>
        </w:rPr>
        <w:t xml:space="preserve"> en universidades</w:t>
      </w:r>
    </w:p>
    <w:p w14:paraId="1B783D75" w14:textId="77777777" w:rsidR="005B57E5" w:rsidRDefault="005B57E5">
      <w:pPr>
        <w:ind w:firstLine="709"/>
        <w:jc w:val="both"/>
        <w:rPr>
          <w:sz w:val="20"/>
          <w:szCs w:val="20"/>
        </w:rPr>
      </w:pPr>
    </w:p>
    <w:p w14:paraId="6EDA644E" w14:textId="5A67EABA" w:rsidR="005B57E5" w:rsidRPr="00174218" w:rsidRDefault="00E8579C">
      <w:pPr>
        <w:ind w:firstLine="709"/>
        <w:jc w:val="both"/>
        <w:rPr>
          <w:szCs w:val="20"/>
        </w:rPr>
      </w:pPr>
      <w:r w:rsidRPr="00174218">
        <w:rPr>
          <w:szCs w:val="20"/>
        </w:rPr>
        <w:t xml:space="preserve">Los casos estudiados </w:t>
      </w:r>
      <w:r w:rsidR="009E1402" w:rsidRPr="00174218">
        <w:rPr>
          <w:szCs w:val="20"/>
        </w:rPr>
        <w:t>[9], [14</w:t>
      </w:r>
      <w:r w:rsidRPr="00174218">
        <w:rPr>
          <w:szCs w:val="20"/>
        </w:rPr>
        <w:t>] y [1</w:t>
      </w:r>
      <w:r w:rsidR="009E1402" w:rsidRPr="00174218">
        <w:rPr>
          <w:szCs w:val="20"/>
        </w:rPr>
        <w:t>5</w:t>
      </w:r>
      <w:r w:rsidRPr="00174218">
        <w:rPr>
          <w:szCs w:val="20"/>
        </w:rPr>
        <w:t xml:space="preserve">] demuestran que los estudiantes que estudian ingeniería tienen los mismos objetivos laborales y problemas similares sin depender del país de estudio. </w:t>
      </w:r>
      <w:r w:rsidR="00615A83" w:rsidRPr="00174218">
        <w:rPr>
          <w:szCs w:val="20"/>
        </w:rPr>
        <w:t xml:space="preserve">El principal desafío identificado radica en el déficit de competencias matemáticas entre los estudiantes de ingeniería, el cual incide directamente en su rendimiento académico y constituye un factor crítico de deserción universitaria. En respuesta, las instituciones de educación superior están implementando estrategias de intervención temprana como nivelación curricular, tutorías especializadas y sistemas de alerta temprana basados en análisis de datos para mitigar estas brechas y promover la retención estudiantil, </w:t>
      </w:r>
      <w:r w:rsidRPr="00174218">
        <w:rPr>
          <w:szCs w:val="20"/>
        </w:rPr>
        <w:t xml:space="preserve">lo cual el caso [15] propone mecanismo para detectarlo y monitorearlo. Por lo tanto, existe una </w:t>
      </w:r>
      <w:r w:rsidRPr="00174218">
        <w:rPr>
          <w:szCs w:val="20"/>
        </w:rPr>
        <w:lastRenderedPageBreak/>
        <w:t xml:space="preserve">dificultad de retener a los estudiantes de ingeniería y de atraer a más estudiantes. </w:t>
      </w:r>
    </w:p>
    <w:p w14:paraId="4B46E405" w14:textId="77777777" w:rsidR="005B57E5" w:rsidRDefault="005B57E5">
      <w:pPr>
        <w:jc w:val="both"/>
        <w:rPr>
          <w:sz w:val="20"/>
          <w:szCs w:val="20"/>
        </w:rPr>
      </w:pPr>
    </w:p>
    <w:p w14:paraId="79A66C01" w14:textId="6F679D56" w:rsidR="005B57E5" w:rsidRDefault="00CC5695" w:rsidP="00BC370C">
      <w:pPr>
        <w:pStyle w:val="Ttulo1"/>
        <w:numPr>
          <w:ilvl w:val="0"/>
          <w:numId w:val="4"/>
        </w:numPr>
        <w:jc w:val="center"/>
      </w:pPr>
      <w:r>
        <w:t>CONCLUSIONES</w:t>
      </w:r>
    </w:p>
    <w:p w14:paraId="008A5A8D" w14:textId="77777777" w:rsidR="005B57E5" w:rsidRDefault="005B57E5">
      <w:pPr>
        <w:ind w:firstLine="709"/>
        <w:jc w:val="both"/>
        <w:rPr>
          <w:sz w:val="20"/>
          <w:szCs w:val="20"/>
        </w:rPr>
      </w:pPr>
    </w:p>
    <w:p w14:paraId="56C0942F" w14:textId="2B37D51F" w:rsidR="005B57E5" w:rsidRPr="00BC3B56" w:rsidRDefault="00F75979" w:rsidP="00F75979">
      <w:pPr>
        <w:numPr>
          <w:ilvl w:val="0"/>
          <w:numId w:val="2"/>
        </w:numPr>
        <w:pBdr>
          <w:top w:val="nil"/>
          <w:left w:val="nil"/>
          <w:bottom w:val="nil"/>
          <w:right w:val="nil"/>
          <w:between w:val="nil"/>
        </w:pBdr>
        <w:jc w:val="both"/>
        <w:rPr>
          <w:color w:val="000000"/>
          <w:szCs w:val="20"/>
        </w:rPr>
      </w:pPr>
      <w:r w:rsidRPr="00BC3B56">
        <w:rPr>
          <w:color w:val="000000"/>
          <w:szCs w:val="20"/>
        </w:rPr>
        <w:t>La deserción universitaria en carreras de ingeniería es un fenómeno multifactorial, arraigado en una compleja interconexión de variables socioeconómicas, académicas, personales y contextuales. Esta revisión del estado del arte ha permitido identificar y caracterizar los factores más influyentes, así como las metodologías de análisis que las instituciones han impleme</w:t>
      </w:r>
      <w:r w:rsidR="00875A50" w:rsidRPr="00BC3B56">
        <w:rPr>
          <w:color w:val="000000"/>
          <w:szCs w:val="20"/>
        </w:rPr>
        <w:t>ntado para abordar este desafío</w:t>
      </w:r>
      <w:r w:rsidR="00E8579C" w:rsidRPr="00BC3B56">
        <w:rPr>
          <w:color w:val="000000"/>
          <w:szCs w:val="20"/>
        </w:rPr>
        <w:t>.</w:t>
      </w:r>
    </w:p>
    <w:p w14:paraId="17F9A817" w14:textId="77777777" w:rsidR="00875A50" w:rsidRPr="00BC3B56" w:rsidRDefault="00875A50" w:rsidP="00875A50">
      <w:pPr>
        <w:numPr>
          <w:ilvl w:val="0"/>
          <w:numId w:val="2"/>
        </w:numPr>
        <w:pBdr>
          <w:top w:val="nil"/>
          <w:left w:val="nil"/>
          <w:bottom w:val="nil"/>
          <w:right w:val="nil"/>
          <w:between w:val="nil"/>
        </w:pBdr>
        <w:jc w:val="both"/>
        <w:rPr>
          <w:color w:val="000000"/>
          <w:szCs w:val="20"/>
        </w:rPr>
      </w:pPr>
      <w:r w:rsidRPr="00BC3B56">
        <w:rPr>
          <w:color w:val="000000"/>
          <w:szCs w:val="20"/>
        </w:rPr>
        <w:t xml:space="preserve">El perfil de ingreso del estudiante emerge como un predictor crítico del éxito académico y la culminación de la carrera de ingeniería. Específicamente, las habilidades en ciencias básicas, particularmente en matemáticas, se han identificado como un factor pronóstico clave. Múltiples estudios de caso demuestran una correlación directa y significativa entre un bajo desempeño en matemáticas, tanto en los exámenes de admisión como en los primeros semestres de estudio, y un mayor riesgo de deserción o bajo rendimiento académico. </w:t>
      </w:r>
    </w:p>
    <w:p w14:paraId="1E7FF634" w14:textId="5FB22B22" w:rsidR="005B57E5" w:rsidRPr="00BC3B56" w:rsidRDefault="00E8579C" w:rsidP="00875A50">
      <w:pPr>
        <w:numPr>
          <w:ilvl w:val="0"/>
          <w:numId w:val="2"/>
        </w:numPr>
        <w:pBdr>
          <w:top w:val="nil"/>
          <w:left w:val="nil"/>
          <w:bottom w:val="nil"/>
          <w:right w:val="nil"/>
          <w:between w:val="nil"/>
        </w:pBdr>
        <w:jc w:val="both"/>
        <w:rPr>
          <w:color w:val="000000"/>
          <w:szCs w:val="20"/>
        </w:rPr>
      </w:pPr>
      <w:r w:rsidRPr="00BC3B56">
        <w:rPr>
          <w:color w:val="000000"/>
          <w:szCs w:val="20"/>
        </w:rPr>
        <w:t xml:space="preserve">El perfil de ingreso del estudiante es determinante: Los requisitos de ingreso y las características de los estudiantes al ingresar a la universidad influyen significativamente en su </w:t>
      </w:r>
      <w:r w:rsidRPr="00BC3B56">
        <w:rPr>
          <w:color w:val="000000"/>
          <w:szCs w:val="20"/>
        </w:rPr>
        <w:t>rendimiento académico y probabilidad de culminar la carrera.</w:t>
      </w:r>
    </w:p>
    <w:p w14:paraId="4DCFBA01" w14:textId="72E12E54" w:rsidR="00875A50" w:rsidRPr="00BC3B56" w:rsidRDefault="00875A50" w:rsidP="00875A50">
      <w:pPr>
        <w:numPr>
          <w:ilvl w:val="0"/>
          <w:numId w:val="2"/>
        </w:numPr>
        <w:pBdr>
          <w:top w:val="nil"/>
          <w:left w:val="nil"/>
          <w:bottom w:val="nil"/>
          <w:right w:val="nil"/>
          <w:between w:val="nil"/>
        </w:pBdr>
        <w:jc w:val="both"/>
        <w:rPr>
          <w:color w:val="000000"/>
          <w:szCs w:val="20"/>
        </w:rPr>
      </w:pPr>
      <w:r w:rsidRPr="00BC3B56">
        <w:rPr>
          <w:color w:val="000000"/>
          <w:szCs w:val="20"/>
        </w:rPr>
        <w:t xml:space="preserve">Adicionalmente, las condiciones socioeconómicas y la carga laboral actúan como variables significativas en el desempeño estudiantil. La revisión de literatura muestra que los estudiantes que trabajan mientras estudian, especialmente en empleos precarios con bajos salarios y sin prestaciones, experimentan una reducción en el tiempo dedicado al estudio autónomo y al descanso. Esta situación genera fatiga cognitiva y restricciones temporales que impactan negativamente en su rendimiento académico. </w:t>
      </w:r>
    </w:p>
    <w:p w14:paraId="72C10386" w14:textId="351F95CD" w:rsidR="005B57E5" w:rsidRPr="00BC3B56" w:rsidRDefault="00E8579C" w:rsidP="00875A50">
      <w:pPr>
        <w:numPr>
          <w:ilvl w:val="0"/>
          <w:numId w:val="2"/>
        </w:numPr>
        <w:pBdr>
          <w:top w:val="nil"/>
          <w:left w:val="nil"/>
          <w:bottom w:val="nil"/>
          <w:right w:val="nil"/>
          <w:between w:val="nil"/>
        </w:pBdr>
        <w:jc w:val="both"/>
        <w:rPr>
          <w:color w:val="000000"/>
          <w:szCs w:val="20"/>
        </w:rPr>
      </w:pPr>
      <w:r w:rsidRPr="00BC3B56">
        <w:rPr>
          <w:color w:val="000000"/>
          <w:szCs w:val="20"/>
        </w:rPr>
        <w:t>Las universidades deben adaptar sus estrategias de enseñanza y acompañamiento: Es necesario diseñar programas de apoyo y orientación específicos para estudiantes con dificultades en matemáticas y aquellos que combinan trabajo y estudio.</w:t>
      </w:r>
    </w:p>
    <w:p w14:paraId="71B116E6" w14:textId="77777777" w:rsidR="005B57E5" w:rsidRPr="00BC3B56" w:rsidRDefault="00E8579C">
      <w:pPr>
        <w:numPr>
          <w:ilvl w:val="0"/>
          <w:numId w:val="2"/>
        </w:numPr>
        <w:pBdr>
          <w:top w:val="nil"/>
          <w:left w:val="nil"/>
          <w:bottom w:val="nil"/>
          <w:right w:val="nil"/>
          <w:between w:val="nil"/>
        </w:pBdr>
        <w:jc w:val="both"/>
        <w:rPr>
          <w:color w:val="000000"/>
          <w:szCs w:val="20"/>
        </w:rPr>
      </w:pPr>
      <w:r w:rsidRPr="00BC3B56">
        <w:rPr>
          <w:color w:val="000000"/>
          <w:szCs w:val="20"/>
        </w:rPr>
        <w:t>Las herramientas de aprendizaje automático son útiles para predecir la deserción: Modelos como los árboles de decisión y los bosques aleatorios permiten identificar patrones y factores de riesgo asociados a la deserción.</w:t>
      </w:r>
    </w:p>
    <w:p w14:paraId="31C87310" w14:textId="77777777" w:rsidR="005B57E5" w:rsidRPr="00BC3B56" w:rsidRDefault="00E8579C">
      <w:pPr>
        <w:numPr>
          <w:ilvl w:val="0"/>
          <w:numId w:val="2"/>
        </w:numPr>
        <w:pBdr>
          <w:top w:val="nil"/>
          <w:left w:val="nil"/>
          <w:bottom w:val="nil"/>
          <w:right w:val="nil"/>
          <w:between w:val="nil"/>
        </w:pBdr>
        <w:jc w:val="both"/>
        <w:rPr>
          <w:color w:val="000000"/>
          <w:szCs w:val="20"/>
        </w:rPr>
      </w:pPr>
      <w:r w:rsidRPr="00BC3B56">
        <w:rPr>
          <w:color w:val="000000"/>
          <w:szCs w:val="20"/>
        </w:rPr>
        <w:t>La metodología propuesta en los estudios es adaptable a diferentes contextos: La combinación de análisis de supervivencia y aprendizaje automático puede ser aplicada en diversas instituciones educativas.</w:t>
      </w:r>
    </w:p>
    <w:p w14:paraId="71F2E9E0" w14:textId="77777777" w:rsidR="005B57E5" w:rsidRDefault="005B57E5">
      <w:pPr>
        <w:ind w:firstLine="709"/>
        <w:jc w:val="both"/>
        <w:rPr>
          <w:sz w:val="20"/>
          <w:szCs w:val="20"/>
        </w:rPr>
      </w:pPr>
    </w:p>
    <w:p w14:paraId="0F033801" w14:textId="63C2D705" w:rsidR="005B57E5" w:rsidRDefault="00CC5695" w:rsidP="001F078D">
      <w:pPr>
        <w:pStyle w:val="Ttulo1"/>
        <w:numPr>
          <w:ilvl w:val="0"/>
          <w:numId w:val="4"/>
        </w:numPr>
      </w:pPr>
      <w:r>
        <w:lastRenderedPageBreak/>
        <w:t xml:space="preserve">RECOMENDACIONES </w:t>
      </w:r>
    </w:p>
    <w:p w14:paraId="09883B22" w14:textId="77777777" w:rsidR="005B57E5" w:rsidRDefault="005B57E5">
      <w:pPr>
        <w:jc w:val="both"/>
        <w:rPr>
          <w:sz w:val="20"/>
          <w:szCs w:val="20"/>
        </w:rPr>
      </w:pPr>
    </w:p>
    <w:p w14:paraId="4A5146BE" w14:textId="77777777" w:rsidR="005B57E5" w:rsidRPr="00BC3B56" w:rsidRDefault="00E8579C">
      <w:pPr>
        <w:numPr>
          <w:ilvl w:val="0"/>
          <w:numId w:val="1"/>
        </w:numPr>
        <w:pBdr>
          <w:top w:val="nil"/>
          <w:left w:val="nil"/>
          <w:bottom w:val="nil"/>
          <w:right w:val="nil"/>
          <w:between w:val="nil"/>
        </w:pBdr>
        <w:jc w:val="both"/>
        <w:rPr>
          <w:color w:val="000000"/>
          <w:szCs w:val="20"/>
        </w:rPr>
      </w:pPr>
      <w:r w:rsidRPr="00BC3B56">
        <w:rPr>
          <w:color w:val="000000"/>
          <w:szCs w:val="20"/>
        </w:rPr>
        <w:t>Fortalecer las habilidades matemáticas en la educación básica y media.</w:t>
      </w:r>
    </w:p>
    <w:p w14:paraId="2B13B420" w14:textId="77777777" w:rsidR="005B57E5" w:rsidRPr="00BC3B56" w:rsidRDefault="00E8579C">
      <w:pPr>
        <w:numPr>
          <w:ilvl w:val="0"/>
          <w:numId w:val="1"/>
        </w:numPr>
        <w:pBdr>
          <w:top w:val="nil"/>
          <w:left w:val="nil"/>
          <w:bottom w:val="nil"/>
          <w:right w:val="nil"/>
          <w:between w:val="nil"/>
        </w:pBdr>
        <w:jc w:val="both"/>
        <w:rPr>
          <w:color w:val="000000"/>
          <w:szCs w:val="20"/>
        </w:rPr>
      </w:pPr>
      <w:r w:rsidRPr="00BC3B56">
        <w:rPr>
          <w:color w:val="000000"/>
          <w:szCs w:val="20"/>
        </w:rPr>
        <w:t>Diseñar programas de acompañamiento académico para estudiantes con dificultades.</w:t>
      </w:r>
    </w:p>
    <w:p w14:paraId="2DF205F2" w14:textId="77777777" w:rsidR="005B57E5" w:rsidRPr="00BC3B56" w:rsidRDefault="00E8579C">
      <w:pPr>
        <w:numPr>
          <w:ilvl w:val="0"/>
          <w:numId w:val="1"/>
        </w:numPr>
        <w:pBdr>
          <w:top w:val="nil"/>
          <w:left w:val="nil"/>
          <w:bottom w:val="nil"/>
          <w:right w:val="nil"/>
          <w:between w:val="nil"/>
        </w:pBdr>
        <w:jc w:val="both"/>
        <w:rPr>
          <w:color w:val="000000"/>
          <w:szCs w:val="20"/>
        </w:rPr>
      </w:pPr>
      <w:r w:rsidRPr="00BC3B56">
        <w:rPr>
          <w:color w:val="000000"/>
          <w:szCs w:val="20"/>
        </w:rPr>
        <w:t>Flexibilizar las modalidades de estudio para permitir la conciliación entre trabajo y estudio.</w:t>
      </w:r>
    </w:p>
    <w:p w14:paraId="38DAD1FB" w14:textId="77777777" w:rsidR="005B57E5" w:rsidRPr="00BC3B56" w:rsidRDefault="00E8579C">
      <w:pPr>
        <w:numPr>
          <w:ilvl w:val="0"/>
          <w:numId w:val="1"/>
        </w:numPr>
        <w:pBdr>
          <w:top w:val="nil"/>
          <w:left w:val="nil"/>
          <w:bottom w:val="nil"/>
          <w:right w:val="nil"/>
          <w:between w:val="nil"/>
        </w:pBdr>
        <w:jc w:val="both"/>
        <w:rPr>
          <w:color w:val="000000"/>
          <w:szCs w:val="20"/>
        </w:rPr>
      </w:pPr>
      <w:r w:rsidRPr="00BC3B56">
        <w:rPr>
          <w:color w:val="000000"/>
          <w:szCs w:val="20"/>
        </w:rPr>
        <w:t>Invertir en la formación continua de los docentes.</w:t>
      </w:r>
    </w:p>
    <w:p w14:paraId="0D6E6497" w14:textId="08802C43" w:rsidR="00C00FCE" w:rsidRPr="00BC3B56" w:rsidRDefault="00C00FCE">
      <w:pPr>
        <w:numPr>
          <w:ilvl w:val="0"/>
          <w:numId w:val="1"/>
        </w:numPr>
        <w:pBdr>
          <w:top w:val="nil"/>
          <w:left w:val="nil"/>
          <w:bottom w:val="nil"/>
          <w:right w:val="nil"/>
          <w:between w:val="nil"/>
        </w:pBdr>
        <w:jc w:val="both"/>
        <w:rPr>
          <w:color w:val="000000"/>
          <w:szCs w:val="20"/>
        </w:rPr>
      </w:pPr>
      <w:r w:rsidRPr="00BC3B56">
        <w:rPr>
          <w:color w:val="000000"/>
          <w:szCs w:val="20"/>
        </w:rPr>
        <w:t xml:space="preserve">Incluir un mayor número de investigaciones de universidades públicas. </w:t>
      </w:r>
    </w:p>
    <w:p w14:paraId="3DB66572" w14:textId="77777777" w:rsidR="005B57E5" w:rsidRPr="00BC3B56" w:rsidRDefault="00E8579C">
      <w:pPr>
        <w:numPr>
          <w:ilvl w:val="0"/>
          <w:numId w:val="1"/>
        </w:numPr>
        <w:pBdr>
          <w:top w:val="nil"/>
          <w:left w:val="nil"/>
          <w:bottom w:val="nil"/>
          <w:right w:val="nil"/>
          <w:between w:val="nil"/>
        </w:pBdr>
        <w:jc w:val="both"/>
        <w:rPr>
          <w:color w:val="000000"/>
          <w:szCs w:val="20"/>
        </w:rPr>
      </w:pPr>
      <w:r w:rsidRPr="00BC3B56">
        <w:rPr>
          <w:color w:val="000000"/>
          <w:szCs w:val="20"/>
        </w:rPr>
        <w:t>Utilizar herramientas de análisis de datos para tomar decisiones basadas en evidencia.</w:t>
      </w:r>
    </w:p>
    <w:p w14:paraId="195EA966" w14:textId="77777777" w:rsidR="005B57E5" w:rsidRDefault="005B57E5">
      <w:pPr>
        <w:ind w:firstLine="709"/>
        <w:jc w:val="both"/>
        <w:rPr>
          <w:sz w:val="20"/>
          <w:szCs w:val="20"/>
        </w:rPr>
      </w:pPr>
    </w:p>
    <w:p w14:paraId="5F955F81" w14:textId="77777777" w:rsidR="005B57E5" w:rsidRDefault="00E8579C" w:rsidP="00BC370C">
      <w:pPr>
        <w:jc w:val="center"/>
        <w:rPr>
          <w:b/>
          <w:sz w:val="20"/>
          <w:szCs w:val="20"/>
        </w:rPr>
      </w:pPr>
      <w:r>
        <w:rPr>
          <w:b/>
          <w:sz w:val="20"/>
          <w:szCs w:val="20"/>
        </w:rPr>
        <w:t>Referencias</w:t>
      </w:r>
    </w:p>
    <w:p w14:paraId="7201EEB5" w14:textId="77777777" w:rsidR="009E1402" w:rsidRDefault="009E1402">
      <w:pPr>
        <w:jc w:val="both"/>
        <w:rPr>
          <w:b/>
          <w:sz w:val="20"/>
          <w:szCs w:val="20"/>
        </w:rPr>
      </w:pPr>
    </w:p>
    <w:p w14:paraId="4F2F9582" w14:textId="07BA6854" w:rsidR="009E1402" w:rsidRPr="00BC370C" w:rsidRDefault="009E1402" w:rsidP="009E1402">
      <w:pPr>
        <w:ind w:left="720" w:hanging="720"/>
        <w:jc w:val="both"/>
      </w:pPr>
      <w:r w:rsidRPr="00BC370C">
        <w:t xml:space="preserve">[1] Domínguez, Lauren &amp; Robles-Gómez, Antonio &amp; Pastor Vargas, Rafael. </w:t>
      </w:r>
      <w:r w:rsidRPr="00BC370C">
        <w:rPr>
          <w:lang w:val="en-US"/>
        </w:rPr>
        <w:t xml:space="preserve">(2025). A Data-Driven Approach to Engineering Instruction: Exploring Learning Styles, Study Habits, and Machine Learning. </w:t>
      </w:r>
      <w:r w:rsidRPr="00BC370C">
        <w:t>IEEE Access. PP. 1-1. 10.1109/ACCESS.2025.3528263.</w:t>
      </w:r>
    </w:p>
    <w:p w14:paraId="007DD393" w14:textId="77777777" w:rsidR="005B57E5" w:rsidRPr="00BC370C" w:rsidRDefault="005B57E5">
      <w:pPr>
        <w:jc w:val="both"/>
      </w:pPr>
    </w:p>
    <w:p w14:paraId="762A5D9B" w14:textId="776C74F6" w:rsidR="005B57E5" w:rsidRPr="00BC370C" w:rsidRDefault="00E8579C">
      <w:pPr>
        <w:ind w:left="709" w:hanging="709"/>
        <w:jc w:val="both"/>
      </w:pPr>
      <w:r w:rsidRPr="00BC370C">
        <w:t>[</w:t>
      </w:r>
      <w:r w:rsidR="009E1402" w:rsidRPr="00BC370C">
        <w:t>2</w:t>
      </w:r>
      <w:r w:rsidRPr="00BC370C">
        <w:t>] Ruiz, B. L. R., Garzón, M. M., &amp; Trejos, D. A. (2011). Evaluación de estrategias, motivos y enfoques de aprendizaje para la identificación del perfil de ingreso de estudiantes universitarios. Encuentros, 9(1), 21-34</w:t>
      </w:r>
    </w:p>
    <w:p w14:paraId="14A72636" w14:textId="77777777" w:rsidR="00DC28AE" w:rsidRPr="00BC370C" w:rsidRDefault="00DC28AE">
      <w:pPr>
        <w:ind w:left="709" w:hanging="709"/>
        <w:jc w:val="both"/>
      </w:pPr>
    </w:p>
    <w:p w14:paraId="5255EDC8" w14:textId="41105B72" w:rsidR="005B57E5" w:rsidRPr="00BC370C" w:rsidRDefault="00E8579C">
      <w:pPr>
        <w:ind w:left="709" w:hanging="709"/>
        <w:jc w:val="both"/>
        <w:rPr>
          <w:lang w:val="en-US"/>
        </w:rPr>
      </w:pPr>
      <w:r w:rsidRPr="00BC370C">
        <w:t>[</w:t>
      </w:r>
      <w:r w:rsidR="009E1402" w:rsidRPr="00BC370C">
        <w:t>3</w:t>
      </w:r>
      <w:r w:rsidRPr="00BC370C">
        <w:t xml:space="preserve">] Miranda, M. A., &amp; Guzmán, J. (2017). Análisis de la deserción de estudiantes universitarios usando técnicas de minería de datos. </w:t>
      </w:r>
      <w:proofErr w:type="spellStart"/>
      <w:r w:rsidRPr="00BC370C">
        <w:rPr>
          <w:lang w:val="en-US"/>
        </w:rPr>
        <w:t>Formación</w:t>
      </w:r>
      <w:proofErr w:type="spellEnd"/>
      <w:r w:rsidRPr="00BC370C">
        <w:rPr>
          <w:lang w:val="en-US"/>
        </w:rPr>
        <w:t xml:space="preserve"> </w:t>
      </w:r>
      <w:proofErr w:type="spellStart"/>
      <w:r w:rsidRPr="00BC370C">
        <w:rPr>
          <w:lang w:val="en-US"/>
        </w:rPr>
        <w:t>universitaria</w:t>
      </w:r>
      <w:proofErr w:type="spellEnd"/>
      <w:r w:rsidRPr="00BC370C">
        <w:rPr>
          <w:lang w:val="en-US"/>
        </w:rPr>
        <w:t>, 10(3), 61-68.</w:t>
      </w:r>
    </w:p>
    <w:p w14:paraId="6B71A0CF" w14:textId="77777777" w:rsidR="00DC28AE" w:rsidRPr="00BC370C" w:rsidRDefault="00DC28AE">
      <w:pPr>
        <w:ind w:left="709" w:hanging="709"/>
        <w:jc w:val="both"/>
        <w:rPr>
          <w:lang w:val="en-US"/>
        </w:rPr>
      </w:pPr>
    </w:p>
    <w:p w14:paraId="458FFB61" w14:textId="71E492E6" w:rsidR="005B57E5" w:rsidRPr="00BC370C" w:rsidRDefault="00E8579C">
      <w:pPr>
        <w:ind w:left="709" w:hanging="709"/>
        <w:jc w:val="both"/>
      </w:pPr>
      <w:r w:rsidRPr="00BC370C">
        <w:rPr>
          <w:lang w:val="en-US"/>
        </w:rPr>
        <w:t>[</w:t>
      </w:r>
      <w:r w:rsidR="009E1402" w:rsidRPr="00BC370C">
        <w:rPr>
          <w:lang w:val="en-US"/>
        </w:rPr>
        <w:t>4</w:t>
      </w:r>
      <w:r w:rsidRPr="00BC370C">
        <w:rPr>
          <w:lang w:val="en-US"/>
        </w:rPr>
        <w:t xml:space="preserve">] Acosta-Gonzaga, E., &amp; Ramirez-Arellano, A. (2020). Comparative study of learning analytics techniques to predict student academic performance in higher education. </w:t>
      </w:r>
      <w:r w:rsidRPr="00BC370C">
        <w:t>Ciencia UAT, 15(1), 63-74.</w:t>
      </w:r>
    </w:p>
    <w:p w14:paraId="3FAB9D64" w14:textId="1EF43C70" w:rsidR="005B57E5" w:rsidRPr="00BC370C" w:rsidRDefault="00E8579C">
      <w:pPr>
        <w:ind w:left="709" w:hanging="709"/>
        <w:jc w:val="both"/>
      </w:pPr>
      <w:r w:rsidRPr="00BC370C">
        <w:t>[</w:t>
      </w:r>
      <w:r w:rsidR="009E1402" w:rsidRPr="00BC370C">
        <w:t>5</w:t>
      </w:r>
      <w:r w:rsidRPr="00BC370C">
        <w:t xml:space="preserve">] </w:t>
      </w:r>
      <w:proofErr w:type="spellStart"/>
      <w:r w:rsidRPr="00BC370C">
        <w:t>Odukoya</w:t>
      </w:r>
      <w:proofErr w:type="spellEnd"/>
      <w:r w:rsidRPr="00BC370C">
        <w:t xml:space="preserve">, J. A., </w:t>
      </w:r>
      <w:proofErr w:type="spellStart"/>
      <w:r w:rsidRPr="00BC370C">
        <w:t>Popoola</w:t>
      </w:r>
      <w:proofErr w:type="spellEnd"/>
      <w:r w:rsidRPr="00BC370C">
        <w:t xml:space="preserve">, S. I., </w:t>
      </w:r>
      <w:proofErr w:type="spellStart"/>
      <w:r w:rsidRPr="00BC370C">
        <w:t>Atayero</w:t>
      </w:r>
      <w:proofErr w:type="spellEnd"/>
      <w:r w:rsidRPr="00BC370C">
        <w:t xml:space="preserve">, A. A., </w:t>
      </w:r>
      <w:proofErr w:type="spellStart"/>
      <w:r w:rsidRPr="00BC370C">
        <w:t>Omole</w:t>
      </w:r>
      <w:proofErr w:type="spellEnd"/>
      <w:r w:rsidRPr="00BC370C">
        <w:t xml:space="preserve">, D. O., </w:t>
      </w:r>
      <w:proofErr w:type="spellStart"/>
      <w:r w:rsidRPr="00BC370C">
        <w:t>Badejo</w:t>
      </w:r>
      <w:proofErr w:type="spellEnd"/>
      <w:r w:rsidRPr="00BC370C">
        <w:t xml:space="preserve">, J. A., John, T. M., &amp; </w:t>
      </w:r>
      <w:proofErr w:type="spellStart"/>
      <w:r w:rsidRPr="00BC370C">
        <w:t>Olowo</w:t>
      </w:r>
      <w:proofErr w:type="spellEnd"/>
      <w:r w:rsidRPr="00BC370C">
        <w:t xml:space="preserve">, O. O. (2018). </w:t>
      </w:r>
      <w:r w:rsidRPr="00BC370C">
        <w:rPr>
          <w:lang w:val="en-US"/>
        </w:rPr>
        <w:t xml:space="preserve">Learning analytics: Dataset for empirical evaluation of entry requirements into engineering undergraduate programs in a Nigerian university. </w:t>
      </w:r>
      <w:r w:rsidRPr="00BC370C">
        <w:t xml:space="preserve">Data in </w:t>
      </w:r>
      <w:proofErr w:type="spellStart"/>
      <w:r w:rsidRPr="00BC370C">
        <w:t>brief</w:t>
      </w:r>
      <w:proofErr w:type="spellEnd"/>
      <w:r w:rsidRPr="00BC370C">
        <w:t>, 17, 998-1014.</w:t>
      </w:r>
    </w:p>
    <w:p w14:paraId="01331213" w14:textId="77777777" w:rsidR="00DC28AE" w:rsidRPr="00BC370C" w:rsidRDefault="00DC28AE">
      <w:pPr>
        <w:ind w:left="709" w:hanging="709"/>
        <w:jc w:val="both"/>
      </w:pPr>
    </w:p>
    <w:p w14:paraId="35C1E769" w14:textId="0FC5685A" w:rsidR="005B57E5" w:rsidRPr="00BC370C" w:rsidRDefault="00E8579C">
      <w:pPr>
        <w:ind w:left="709" w:hanging="709"/>
        <w:jc w:val="both"/>
      </w:pPr>
      <w:r w:rsidRPr="00BC370C">
        <w:t>[</w:t>
      </w:r>
      <w:r w:rsidR="009E1402" w:rsidRPr="00BC370C">
        <w:t>6</w:t>
      </w:r>
      <w:r w:rsidRPr="00BC370C">
        <w:t xml:space="preserve">] </w:t>
      </w:r>
      <w:r w:rsidR="0098494D" w:rsidRPr="00BC370C">
        <w:t>Ángeles, D., Báez, M. y Ramírez, M. (2021). Diseño del perfil de ingreso para la Ingeniería en Gestión Empresarial del Instituto Tecnológico Superior de Libres. Hitos de Ciencias Económico Administrativas, *27*(79), 328-344. https://doi.org/10.19136/hitos.a27n79.4703</w:t>
      </w:r>
      <w:r w:rsidR="00430ADD" w:rsidRPr="00BC370C">
        <w:t>.</w:t>
      </w:r>
    </w:p>
    <w:p w14:paraId="6AD77811" w14:textId="0DCE298C" w:rsidR="005B57E5" w:rsidRPr="00BC370C" w:rsidRDefault="00E8579C">
      <w:pPr>
        <w:ind w:left="709" w:hanging="709"/>
        <w:jc w:val="both"/>
        <w:rPr>
          <w:lang w:val="en-US"/>
        </w:rPr>
      </w:pPr>
      <w:r w:rsidRPr="00BC370C">
        <w:t>[</w:t>
      </w:r>
      <w:r w:rsidR="009E1402" w:rsidRPr="00BC370C">
        <w:t>7</w:t>
      </w:r>
      <w:r w:rsidRPr="00BC370C">
        <w:t xml:space="preserve">] </w:t>
      </w:r>
      <w:proofErr w:type="spellStart"/>
      <w:r w:rsidRPr="00BC370C">
        <w:t>Thombare</w:t>
      </w:r>
      <w:proofErr w:type="spellEnd"/>
      <w:r w:rsidRPr="00BC370C">
        <w:t xml:space="preserve">, D. G., &amp; Mirza, M. M. (2015). </w:t>
      </w:r>
      <w:r w:rsidRPr="00BC370C">
        <w:rPr>
          <w:lang w:val="en-US"/>
        </w:rPr>
        <w:t>Personality mapping of entry level Engineering students for assessment of Engineering Competencies. Journal of Engineering Education Transformations, 28(2), 105-112.</w:t>
      </w:r>
    </w:p>
    <w:p w14:paraId="4BF1C1DD" w14:textId="77777777" w:rsidR="00DC28AE" w:rsidRPr="00BC370C" w:rsidRDefault="00DC28AE">
      <w:pPr>
        <w:ind w:left="709" w:hanging="709"/>
        <w:jc w:val="both"/>
        <w:rPr>
          <w:lang w:val="en-US"/>
        </w:rPr>
      </w:pPr>
    </w:p>
    <w:p w14:paraId="6726049B" w14:textId="1B695818" w:rsidR="005B57E5" w:rsidRPr="00BC370C" w:rsidRDefault="00E8579C">
      <w:pPr>
        <w:ind w:left="709" w:hanging="709"/>
        <w:jc w:val="both"/>
      </w:pPr>
      <w:r w:rsidRPr="00BC370C">
        <w:rPr>
          <w:lang w:val="en-US"/>
        </w:rPr>
        <w:t>[</w:t>
      </w:r>
      <w:r w:rsidR="009E1402" w:rsidRPr="00BC370C">
        <w:rPr>
          <w:lang w:val="en-US"/>
        </w:rPr>
        <w:t>8</w:t>
      </w:r>
      <w:r w:rsidRPr="00BC370C">
        <w:rPr>
          <w:lang w:val="en-US"/>
        </w:rPr>
        <w:t xml:space="preserve">] Fernández, G. M. Q., &amp; Minaya, W. R. J. (2017). </w:t>
      </w:r>
      <w:r w:rsidRPr="00BC370C">
        <w:t>Medición de la eficiencia técnica en las universidades autónomas del sistema universitario boliviano: Aplicación del análisis envolvente de datos (DEA). Revista Espacios, 38(45).</w:t>
      </w:r>
    </w:p>
    <w:p w14:paraId="388BA5D2" w14:textId="77777777" w:rsidR="005B57E5" w:rsidRPr="00BC370C" w:rsidRDefault="005B57E5">
      <w:pPr>
        <w:ind w:left="709" w:hanging="709"/>
        <w:jc w:val="both"/>
      </w:pPr>
    </w:p>
    <w:p w14:paraId="60653843" w14:textId="504C1472" w:rsidR="005B57E5" w:rsidRPr="00BC370C" w:rsidRDefault="00E8579C">
      <w:pPr>
        <w:ind w:left="709" w:hanging="709"/>
        <w:jc w:val="both"/>
      </w:pPr>
      <w:r w:rsidRPr="00556B68">
        <w:rPr>
          <w:lang w:val="es-VE"/>
        </w:rPr>
        <w:t>[</w:t>
      </w:r>
      <w:r w:rsidR="009E1402" w:rsidRPr="00556B68">
        <w:rPr>
          <w:lang w:val="es-VE"/>
        </w:rPr>
        <w:t>9</w:t>
      </w:r>
      <w:r w:rsidRPr="00556B68">
        <w:rPr>
          <w:lang w:val="es-VE"/>
        </w:rPr>
        <w:t xml:space="preserve">] </w:t>
      </w:r>
      <w:proofErr w:type="spellStart"/>
      <w:r w:rsidRPr="00556B68">
        <w:rPr>
          <w:lang w:val="es-VE"/>
        </w:rPr>
        <w:t>Gradinaru</w:t>
      </w:r>
      <w:proofErr w:type="spellEnd"/>
      <w:r w:rsidRPr="00556B68">
        <w:rPr>
          <w:lang w:val="es-VE"/>
        </w:rPr>
        <w:t xml:space="preserve">, S., Aldea, A., </w:t>
      </w:r>
      <w:proofErr w:type="spellStart"/>
      <w:r w:rsidRPr="00556B68">
        <w:rPr>
          <w:lang w:val="es-VE"/>
        </w:rPr>
        <w:t>Besir</w:t>
      </w:r>
      <w:proofErr w:type="spellEnd"/>
      <w:r w:rsidRPr="00556B68">
        <w:rPr>
          <w:lang w:val="es-VE"/>
        </w:rPr>
        <w:t xml:space="preserve">, L., &amp; Coser, A. (2019). </w:t>
      </w:r>
      <w:r w:rsidRPr="00BC370C">
        <w:rPr>
          <w:lang w:val="en-US"/>
        </w:rPr>
        <w:t xml:space="preserve">A Non-Parametric Efficiency Perspective on the Research-Active European Universities Performance. </w:t>
      </w:r>
      <w:r w:rsidRPr="00BC370C">
        <w:t xml:space="preserve">LUMEN </w:t>
      </w:r>
      <w:proofErr w:type="spellStart"/>
      <w:r w:rsidRPr="00BC370C">
        <w:t>Proceedings</w:t>
      </w:r>
      <w:proofErr w:type="spellEnd"/>
      <w:r w:rsidRPr="00BC370C">
        <w:t>, 9, 371-385.</w:t>
      </w:r>
    </w:p>
    <w:p w14:paraId="262C4D6A" w14:textId="77777777" w:rsidR="005B57E5" w:rsidRPr="00BC370C" w:rsidRDefault="005B57E5">
      <w:pPr>
        <w:ind w:left="709" w:hanging="709"/>
        <w:jc w:val="both"/>
      </w:pPr>
    </w:p>
    <w:p w14:paraId="0CA2A4A4" w14:textId="297BFB89" w:rsidR="005B57E5" w:rsidRPr="00BC370C" w:rsidRDefault="00E8579C">
      <w:pPr>
        <w:ind w:left="709" w:hanging="709"/>
        <w:jc w:val="both"/>
      </w:pPr>
      <w:r w:rsidRPr="00BC370C">
        <w:t>[</w:t>
      </w:r>
      <w:r w:rsidR="009E1402" w:rsidRPr="00BC370C">
        <w:t>10</w:t>
      </w:r>
      <w:r w:rsidRPr="00BC370C">
        <w:t xml:space="preserve">] </w:t>
      </w:r>
      <w:r w:rsidR="0098494D" w:rsidRPr="00BC370C">
        <w:t>Silva-Gutiérrez, B. N., De la Cruz-Guzmán, U. O., &amp; Cruz-Barba, E. (2017). Análisis no paramétrico de las condiciones laborales y psicosociales de estudiantes en un centro temático de la Universidad de Guadalajara / Non-</w:t>
      </w:r>
      <w:proofErr w:type="spellStart"/>
      <w:r w:rsidR="0098494D" w:rsidRPr="00BC370C">
        <w:t>parametric</w:t>
      </w:r>
      <w:proofErr w:type="spellEnd"/>
      <w:r w:rsidR="0098494D" w:rsidRPr="00BC370C">
        <w:t xml:space="preserve"> </w:t>
      </w:r>
      <w:proofErr w:type="spellStart"/>
      <w:r w:rsidR="0098494D" w:rsidRPr="00BC370C">
        <w:t>Analysis</w:t>
      </w:r>
      <w:proofErr w:type="spellEnd"/>
      <w:r w:rsidR="0098494D" w:rsidRPr="00BC370C">
        <w:t xml:space="preserve"> </w:t>
      </w:r>
      <w:proofErr w:type="spellStart"/>
      <w:r w:rsidR="0098494D" w:rsidRPr="00BC370C">
        <w:t>of</w:t>
      </w:r>
      <w:proofErr w:type="spellEnd"/>
      <w:r w:rsidR="0098494D" w:rsidRPr="00BC370C">
        <w:t xml:space="preserve"> </w:t>
      </w:r>
      <w:proofErr w:type="spellStart"/>
      <w:r w:rsidR="0098494D" w:rsidRPr="00BC370C">
        <w:t>the</w:t>
      </w:r>
      <w:proofErr w:type="spellEnd"/>
      <w:r w:rsidR="0098494D" w:rsidRPr="00BC370C">
        <w:t xml:space="preserve"> </w:t>
      </w:r>
      <w:proofErr w:type="spellStart"/>
      <w:r w:rsidR="0098494D" w:rsidRPr="00BC370C">
        <w:t>Working</w:t>
      </w:r>
      <w:proofErr w:type="spellEnd"/>
      <w:r w:rsidR="0098494D" w:rsidRPr="00BC370C">
        <w:t xml:space="preserve"> and </w:t>
      </w:r>
      <w:proofErr w:type="spellStart"/>
      <w:r w:rsidR="0098494D" w:rsidRPr="00BC370C">
        <w:t>Psychosocial</w:t>
      </w:r>
      <w:proofErr w:type="spellEnd"/>
      <w:r w:rsidR="0098494D" w:rsidRPr="00BC370C">
        <w:t xml:space="preserve"> </w:t>
      </w:r>
      <w:proofErr w:type="spellStart"/>
      <w:r w:rsidR="0098494D" w:rsidRPr="00BC370C">
        <w:t>Conditions</w:t>
      </w:r>
      <w:proofErr w:type="spellEnd"/>
      <w:r w:rsidR="0098494D" w:rsidRPr="00BC370C">
        <w:t xml:space="preserve"> </w:t>
      </w:r>
      <w:proofErr w:type="spellStart"/>
      <w:r w:rsidR="0098494D" w:rsidRPr="00BC370C">
        <w:t>of</w:t>
      </w:r>
      <w:proofErr w:type="spellEnd"/>
      <w:r w:rsidR="0098494D" w:rsidRPr="00BC370C">
        <w:t xml:space="preserve"> </w:t>
      </w:r>
      <w:proofErr w:type="spellStart"/>
      <w:r w:rsidR="0098494D" w:rsidRPr="00BC370C">
        <w:t>Students</w:t>
      </w:r>
      <w:proofErr w:type="spellEnd"/>
      <w:r w:rsidR="0098494D" w:rsidRPr="00BC370C">
        <w:t xml:space="preserve"> in a </w:t>
      </w:r>
      <w:proofErr w:type="spellStart"/>
      <w:r w:rsidR="0098494D" w:rsidRPr="00BC370C">
        <w:t>Thematic</w:t>
      </w:r>
      <w:proofErr w:type="spellEnd"/>
      <w:r w:rsidR="0098494D" w:rsidRPr="00BC370C">
        <w:t xml:space="preserve"> Center </w:t>
      </w:r>
      <w:proofErr w:type="spellStart"/>
      <w:r w:rsidR="0098494D" w:rsidRPr="00BC370C">
        <w:t>of</w:t>
      </w:r>
      <w:proofErr w:type="spellEnd"/>
      <w:r w:rsidR="0098494D" w:rsidRPr="00BC370C">
        <w:t xml:space="preserve"> </w:t>
      </w:r>
      <w:proofErr w:type="spellStart"/>
      <w:r w:rsidR="0098494D" w:rsidRPr="00BC370C">
        <w:t>the</w:t>
      </w:r>
      <w:proofErr w:type="spellEnd"/>
      <w:r w:rsidR="0098494D" w:rsidRPr="00BC370C">
        <w:t xml:space="preserve"> </w:t>
      </w:r>
      <w:proofErr w:type="spellStart"/>
      <w:r w:rsidR="0098494D" w:rsidRPr="00BC370C">
        <w:t>University</w:t>
      </w:r>
      <w:proofErr w:type="spellEnd"/>
      <w:r w:rsidR="0098494D" w:rsidRPr="00BC370C">
        <w:t xml:space="preserve"> </w:t>
      </w:r>
      <w:proofErr w:type="spellStart"/>
      <w:r w:rsidR="0098494D" w:rsidRPr="00BC370C">
        <w:t>of</w:t>
      </w:r>
      <w:proofErr w:type="spellEnd"/>
      <w:r w:rsidR="0098494D" w:rsidRPr="00BC370C">
        <w:t xml:space="preserve"> Guadalajara. RICSH Revista Iberoamericana De Las Ciencias Sociales Y Humanísticas, 6(12), 200 - 224. </w:t>
      </w:r>
      <w:hyperlink r:id="rId24" w:history="1">
        <w:r w:rsidR="00C00FCE" w:rsidRPr="00BC370C">
          <w:rPr>
            <w:rStyle w:val="Hipervnculo"/>
          </w:rPr>
          <w:t>https://doi.org/10.23913/ricsh.v6i12.130</w:t>
        </w:r>
      </w:hyperlink>
    </w:p>
    <w:p w14:paraId="633F70C2" w14:textId="77777777" w:rsidR="00C00FCE" w:rsidRPr="00BC370C" w:rsidRDefault="00C00FCE">
      <w:pPr>
        <w:ind w:left="709" w:hanging="709"/>
        <w:jc w:val="both"/>
      </w:pPr>
    </w:p>
    <w:p w14:paraId="146D7929" w14:textId="604196B2" w:rsidR="00C00FCE" w:rsidRPr="00BC370C" w:rsidRDefault="00C00FCE">
      <w:pPr>
        <w:ind w:left="709" w:hanging="709"/>
        <w:jc w:val="both"/>
      </w:pPr>
      <w:r w:rsidRPr="00BC370C">
        <w:t>[11] Quiroga Martínez, F. (2016). Medición de la eficiencia en universidades nacionales argentinas: Análisis de la variación en el periodo 2009-2011. En XXII Encuentro de Economía Pública: reformas y nuevos retos de los estados de bienestar. Eficiencia y equidad.</w:t>
      </w:r>
    </w:p>
    <w:p w14:paraId="5692E5D8" w14:textId="77777777" w:rsidR="005B57E5" w:rsidRPr="00BC370C" w:rsidRDefault="005B57E5">
      <w:pPr>
        <w:ind w:left="709" w:hanging="709"/>
        <w:jc w:val="both"/>
      </w:pPr>
    </w:p>
    <w:p w14:paraId="5C886722" w14:textId="4F3F1C2E" w:rsidR="005B57E5" w:rsidRPr="00BC370C" w:rsidRDefault="00E8579C">
      <w:pPr>
        <w:ind w:left="709" w:hanging="709"/>
        <w:jc w:val="both"/>
        <w:rPr>
          <w:lang w:val="en-US"/>
        </w:rPr>
      </w:pPr>
      <w:r w:rsidRPr="00BC370C">
        <w:t>[1</w:t>
      </w:r>
      <w:r w:rsidR="00C00FCE" w:rsidRPr="00BC370C">
        <w:t>2</w:t>
      </w:r>
      <w:r w:rsidRPr="00BC370C">
        <w:t xml:space="preserve">] </w:t>
      </w:r>
      <w:r w:rsidR="00430ADD" w:rsidRPr="00BC370C">
        <w:t xml:space="preserve">Gamboa </w:t>
      </w:r>
      <w:proofErr w:type="spellStart"/>
      <w:r w:rsidR="00430ADD" w:rsidRPr="00BC370C">
        <w:t>Unsihuay</w:t>
      </w:r>
      <w:proofErr w:type="spellEnd"/>
      <w:r w:rsidR="00430ADD" w:rsidRPr="00BC370C">
        <w:t xml:space="preserve">, J. E., y Salinas Flores, J. W. (2022). Predicción de la situación académica en alumnos de pregrado usando algoritmos de machine </w:t>
      </w:r>
      <w:proofErr w:type="spellStart"/>
      <w:r w:rsidR="00430ADD" w:rsidRPr="00BC370C">
        <w:t>learning</w:t>
      </w:r>
      <w:proofErr w:type="spellEnd"/>
      <w:r w:rsidR="00430ADD" w:rsidRPr="00BC370C">
        <w:t>.</w:t>
      </w:r>
      <w:r w:rsidR="00430ADD" w:rsidRPr="00BC3B56">
        <w:rPr>
          <w:sz w:val="18"/>
        </w:rPr>
        <w:t xml:space="preserve"> </w:t>
      </w:r>
      <w:proofErr w:type="spellStart"/>
      <w:r w:rsidR="00430ADD" w:rsidRPr="00BC370C">
        <w:rPr>
          <w:lang w:val="en-US"/>
        </w:rPr>
        <w:t>Perfiles</w:t>
      </w:r>
      <w:proofErr w:type="spellEnd"/>
      <w:r w:rsidR="00430ADD" w:rsidRPr="00BC370C">
        <w:rPr>
          <w:lang w:val="en-US"/>
        </w:rPr>
        <w:t>, *1*(27), 4-10. https://doi.org/10.47187/perf.v1i27.142</w:t>
      </w:r>
    </w:p>
    <w:p w14:paraId="77E9711E" w14:textId="77777777" w:rsidR="005B57E5" w:rsidRPr="00BC370C" w:rsidRDefault="005B57E5">
      <w:pPr>
        <w:ind w:left="709" w:hanging="709"/>
        <w:jc w:val="both"/>
        <w:rPr>
          <w:lang w:val="en-US"/>
        </w:rPr>
      </w:pPr>
    </w:p>
    <w:p w14:paraId="51A59012" w14:textId="4328F1AB" w:rsidR="005B57E5" w:rsidRPr="00BC370C" w:rsidRDefault="00E8579C">
      <w:pPr>
        <w:ind w:left="709" w:hanging="709"/>
        <w:jc w:val="both"/>
        <w:rPr>
          <w:lang w:val="en-US"/>
        </w:rPr>
      </w:pPr>
      <w:r w:rsidRPr="00BC370C">
        <w:rPr>
          <w:lang w:val="en-US"/>
        </w:rPr>
        <w:t>[1</w:t>
      </w:r>
      <w:r w:rsidR="00C00FCE" w:rsidRPr="00BC370C">
        <w:rPr>
          <w:lang w:val="en-US"/>
        </w:rPr>
        <w:t>3</w:t>
      </w:r>
      <w:r w:rsidRPr="00BC370C">
        <w:rPr>
          <w:lang w:val="en-US"/>
        </w:rPr>
        <w:t>] Cichosz P. Data Mining Algorithms: Explained Using R. New Jersey: John Wiley &amp; Sons, Ltd.; 2015.</w:t>
      </w:r>
    </w:p>
    <w:p w14:paraId="5794EC43" w14:textId="77777777" w:rsidR="005B57E5" w:rsidRPr="00BC370C" w:rsidRDefault="005B57E5">
      <w:pPr>
        <w:ind w:left="709" w:hanging="709"/>
        <w:jc w:val="both"/>
        <w:rPr>
          <w:lang w:val="en-US"/>
        </w:rPr>
      </w:pPr>
    </w:p>
    <w:p w14:paraId="0738AB7F" w14:textId="14CC089D" w:rsidR="005B57E5" w:rsidRPr="00556B68" w:rsidRDefault="00E8579C">
      <w:pPr>
        <w:ind w:left="709" w:hanging="709"/>
        <w:jc w:val="both"/>
        <w:rPr>
          <w:lang w:val="es-VE"/>
        </w:rPr>
      </w:pPr>
      <w:r w:rsidRPr="00BC370C">
        <w:rPr>
          <w:lang w:val="en-US"/>
        </w:rPr>
        <w:t>[1</w:t>
      </w:r>
      <w:r w:rsidR="00C00FCE" w:rsidRPr="00BC370C">
        <w:rPr>
          <w:lang w:val="en-US"/>
        </w:rPr>
        <w:t>4</w:t>
      </w:r>
      <w:r w:rsidRPr="00BC370C">
        <w:rPr>
          <w:lang w:val="en-US"/>
        </w:rPr>
        <w:t xml:space="preserve">] Witten I, Frank E, Hall M, Pal C. Data Mining: Practical Machine Learning Tools and Techniques. </w:t>
      </w:r>
      <w:r w:rsidRPr="00556B68">
        <w:rPr>
          <w:lang w:val="es-VE"/>
        </w:rPr>
        <w:t>4er. ed. Massachusetts: Morgan Kauffman; 2019</w:t>
      </w:r>
    </w:p>
    <w:p w14:paraId="2417E2DB" w14:textId="77777777" w:rsidR="005B57E5" w:rsidRPr="00556B68" w:rsidRDefault="005B57E5">
      <w:pPr>
        <w:ind w:left="709" w:hanging="709"/>
        <w:jc w:val="both"/>
        <w:rPr>
          <w:lang w:val="es-VE"/>
        </w:rPr>
      </w:pPr>
    </w:p>
    <w:p w14:paraId="4366BC7B" w14:textId="72731A31" w:rsidR="005B57E5" w:rsidRPr="00BC370C" w:rsidRDefault="00E8579C">
      <w:pPr>
        <w:ind w:left="709" w:hanging="709"/>
        <w:jc w:val="both"/>
        <w:rPr>
          <w:lang w:val="en-US"/>
        </w:rPr>
      </w:pPr>
      <w:r w:rsidRPr="00BC370C">
        <w:t>[1</w:t>
      </w:r>
      <w:r w:rsidR="00C00FCE" w:rsidRPr="00BC370C">
        <w:t>5</w:t>
      </w:r>
      <w:r w:rsidRPr="00BC370C">
        <w:t xml:space="preserve">] Contreras, L. E., Fuentes, H. J., &amp; Rodríguez, J. I. (2020). Predicción del rendimiento académico como indicador de éxito/fracaso de los estudiantes de ingeniería, mediante aprendizaje automático. </w:t>
      </w:r>
      <w:proofErr w:type="spellStart"/>
      <w:r w:rsidRPr="00BC370C">
        <w:rPr>
          <w:lang w:val="en-US"/>
        </w:rPr>
        <w:t>Formación</w:t>
      </w:r>
      <w:proofErr w:type="spellEnd"/>
      <w:r w:rsidRPr="00BC370C">
        <w:rPr>
          <w:lang w:val="en-US"/>
        </w:rPr>
        <w:t xml:space="preserve"> </w:t>
      </w:r>
      <w:proofErr w:type="spellStart"/>
      <w:r w:rsidRPr="00BC370C">
        <w:rPr>
          <w:lang w:val="en-US"/>
        </w:rPr>
        <w:t>universitaria</w:t>
      </w:r>
      <w:proofErr w:type="spellEnd"/>
      <w:r w:rsidRPr="00BC370C">
        <w:rPr>
          <w:lang w:val="en-US"/>
        </w:rPr>
        <w:t>, 13(5), 233-246.</w:t>
      </w:r>
    </w:p>
    <w:p w14:paraId="57599B1D" w14:textId="77777777" w:rsidR="005B57E5" w:rsidRPr="00BC370C" w:rsidRDefault="005B57E5">
      <w:pPr>
        <w:ind w:left="709" w:hanging="709"/>
        <w:jc w:val="both"/>
        <w:rPr>
          <w:lang w:val="en-US"/>
        </w:rPr>
      </w:pPr>
    </w:p>
    <w:p w14:paraId="23A09EF9" w14:textId="44C0BB9E" w:rsidR="005B57E5" w:rsidRPr="00BC370C" w:rsidRDefault="00E8579C">
      <w:pPr>
        <w:ind w:left="709" w:hanging="709"/>
        <w:jc w:val="both"/>
        <w:rPr>
          <w:lang w:val="en-US"/>
        </w:rPr>
      </w:pPr>
      <w:r w:rsidRPr="00BC370C">
        <w:rPr>
          <w:lang w:val="en-US"/>
        </w:rPr>
        <w:t>[1</w:t>
      </w:r>
      <w:r w:rsidR="00C00FCE" w:rsidRPr="00BC370C">
        <w:rPr>
          <w:lang w:val="en-US"/>
        </w:rPr>
        <w:t>6</w:t>
      </w:r>
      <w:r w:rsidRPr="00BC370C">
        <w:rPr>
          <w:lang w:val="en-US"/>
        </w:rPr>
        <w:t xml:space="preserve">] </w:t>
      </w:r>
      <w:proofErr w:type="spellStart"/>
      <w:r w:rsidR="00430ADD" w:rsidRPr="00BC370C">
        <w:rPr>
          <w:lang w:val="en-US"/>
        </w:rPr>
        <w:t>Dyckhoff</w:t>
      </w:r>
      <w:proofErr w:type="spellEnd"/>
      <w:r w:rsidR="00430ADD" w:rsidRPr="00BC370C">
        <w:rPr>
          <w:lang w:val="en-US"/>
        </w:rPr>
        <w:t xml:space="preserve">, A. L., Zielke, D., </w:t>
      </w:r>
      <w:proofErr w:type="spellStart"/>
      <w:r w:rsidR="00430ADD" w:rsidRPr="00BC370C">
        <w:rPr>
          <w:lang w:val="en-US"/>
        </w:rPr>
        <w:t>Bültmann</w:t>
      </w:r>
      <w:proofErr w:type="spellEnd"/>
      <w:r w:rsidR="00430ADD" w:rsidRPr="00BC370C">
        <w:rPr>
          <w:lang w:val="en-US"/>
        </w:rPr>
        <w:t>, M., Chatti, M. A. y Schroeder, U. (2012). Design and implementation of a learning analytics toolkit for teachers. Educational Technology and Society, *15*(3), 58-76.</w:t>
      </w:r>
    </w:p>
    <w:sectPr w:rsidR="005B57E5" w:rsidRPr="00BC370C">
      <w:pgSz w:w="11909" w:h="16834"/>
      <w:pgMar w:top="1417" w:right="1701" w:bottom="1417" w:left="1701" w:header="708" w:footer="708" w:gutter="0"/>
      <w:cols w:num="2" w:space="720" w:equalWidth="0">
        <w:col w:w="4065" w:space="708"/>
        <w:col w:w="406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1CD78" w14:textId="77777777" w:rsidR="00E43F60" w:rsidRDefault="00E43F60">
      <w:pPr>
        <w:spacing w:line="240" w:lineRule="auto"/>
      </w:pPr>
      <w:r>
        <w:separator/>
      </w:r>
    </w:p>
  </w:endnote>
  <w:endnote w:type="continuationSeparator" w:id="0">
    <w:p w14:paraId="7E7BBF89" w14:textId="77777777" w:rsidR="00E43F60" w:rsidRDefault="00E43F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1" w:fontKey="{99025E91-9556-4B0F-A55A-192C29194AFD}"/>
  </w:font>
  <w:font w:name="Aptos Display">
    <w:altName w:val="Calibri"/>
    <w:charset w:val="00"/>
    <w:family w:val="swiss"/>
    <w:pitch w:val="variable"/>
    <w:sig w:usb0="20000287" w:usb1="00000003" w:usb2="00000000" w:usb3="00000000" w:csb0="0000019F" w:csb1="00000000"/>
    <w:embedRegular r:id="rId2" w:fontKey="{31127360-5B39-4E6F-9F43-D834B5A66826}"/>
  </w:font>
  <w:font w:name="Tahoma">
    <w:panose1 w:val="020B0604030504040204"/>
    <w:charset w:val="00"/>
    <w:family w:val="swiss"/>
    <w:pitch w:val="variable"/>
    <w:sig w:usb0="E1002EFF" w:usb1="C000605B" w:usb2="00000029" w:usb3="00000000" w:csb0="000101FF" w:csb1="00000000"/>
    <w:embedRegular r:id="rId3" w:fontKey="{6872692B-FA9C-4614-B27A-10BBA2A49D78}"/>
  </w:font>
  <w:font w:name="Aptos">
    <w:altName w:val="Calibri"/>
    <w:charset w:val="00"/>
    <w:family w:val="swiss"/>
    <w:pitch w:val="variable"/>
    <w:sig w:usb0="20000287" w:usb1="00000003" w:usb2="00000000" w:usb3="00000000" w:csb0="0000019F" w:csb1="00000000"/>
    <w:embedRegular r:id="rId4" w:fontKey="{66C64200-130C-422C-BE7E-098556626880}"/>
  </w:font>
  <w:font w:name="EB Garamond">
    <w:altName w:val="Calibri"/>
    <w:charset w:val="00"/>
    <w:family w:val="auto"/>
    <w:pitch w:val="variable"/>
    <w:sig w:usb0="E00002FF" w:usb1="02000413" w:usb2="00000000" w:usb3="00000000" w:csb0="0000019F" w:csb1="00000000"/>
    <w:embedRegular r:id="rId5" w:fontKey="{4185C1B7-3AA2-4AE0-97D2-7EFD239D02CA}"/>
    <w:embedBold r:id="rId6" w:fontKey="{F345F9F4-AD18-4E7F-88FB-837D6F672690}"/>
    <w:embedItalic r:id="rId7" w:fontKey="{53912C26-72D1-4ECD-9110-7927F1B128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9B305" w14:textId="77777777" w:rsidR="005B57E5" w:rsidRDefault="005B57E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49A5B662" w14:textId="77777777" w:rsidR="005B57E5" w:rsidRDefault="00E8579C">
    <w:pPr>
      <w:pBdr>
        <w:top w:val="nil"/>
        <w:left w:val="nil"/>
        <w:bottom w:val="nil"/>
        <w:right w:val="nil"/>
        <w:between w:val="nil"/>
      </w:pBdr>
      <w:ind w:right="292"/>
      <w:jc w:val="right"/>
      <w:rPr>
        <w:rFonts w:ascii="EB Garamond" w:eastAsia="EB Garamond" w:hAnsi="EB Garamond" w:cs="EB Garamond"/>
        <w:sz w:val="16"/>
        <w:szCs w:val="16"/>
      </w:rPr>
    </w:pPr>
    <w:r>
      <w:rPr>
        <w:rFonts w:ascii="EB Garamond" w:eastAsia="EB Garamond" w:hAnsi="EB Garamond" w:cs="EB Garamond"/>
        <w:color w:val="000000"/>
        <w:sz w:val="16"/>
        <w:szCs w:val="16"/>
      </w:rPr>
      <w:t xml:space="preserve"> </w:t>
    </w:r>
    <w:r>
      <w:rPr>
        <w:rFonts w:ascii="EB Garamond" w:eastAsia="EB Garamond" w:hAnsi="EB Garamond" w:cs="EB Garamond"/>
        <w:sz w:val="16"/>
        <w:szCs w:val="16"/>
      </w:rPr>
      <w:t>Revista TEKHNÉ Nº 00.</w:t>
    </w:r>
    <w:r>
      <w:rPr>
        <w:noProof/>
        <w:lang w:val="es-VE"/>
      </w:rPr>
      <mc:AlternateContent>
        <mc:Choice Requires="wps">
          <w:drawing>
            <wp:anchor distT="0" distB="0" distL="114300" distR="114300" simplePos="0" relativeHeight="251662336" behindDoc="0" locked="0" layoutInCell="1" hidden="0" allowOverlap="1" wp14:anchorId="56EA7427" wp14:editId="7B76D21B">
              <wp:simplePos x="0" y="0"/>
              <wp:positionH relativeFrom="column">
                <wp:posOffset>6197600</wp:posOffset>
              </wp:positionH>
              <wp:positionV relativeFrom="paragraph">
                <wp:posOffset>0</wp:posOffset>
              </wp:positionV>
              <wp:extent cx="60325" cy="843280"/>
              <wp:effectExtent l="0" t="0" r="0" b="0"/>
              <wp:wrapNone/>
              <wp:docPr id="68" name="Conector recto de flecha 68"/>
              <wp:cNvGraphicFramePr/>
              <a:graphic xmlns:a="http://schemas.openxmlformats.org/drawingml/2006/main">
                <a:graphicData uri="http://schemas.microsoft.com/office/word/2010/wordprocessingShape">
                  <wps:wsp>
                    <wps:cNvCnPr/>
                    <wps:spPr>
                      <a:xfrm>
                        <a:off x="5346000" y="3382173"/>
                        <a:ext cx="0" cy="79565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1C0F20B" id="_x0000_t32" coordsize="21600,21600" o:spt="32" o:oned="t" path="m,l21600,21600e" filled="f">
              <v:path arrowok="t" fillok="f" o:connecttype="none"/>
              <o:lock v:ext="edit" shapetype="t"/>
            </v:shapetype>
            <v:shape id="Conector recto de flecha 68" o:spid="_x0000_s1026" type="#_x0000_t32" style="position:absolute;margin-left:488pt;margin-top:0;width:4.75pt;height:66.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" strokecolor="black [3200]">
              <v:stroke startarrowwidth="narrow" startarrowlength="short" endarrowwidth="narrow" endarrowlength="short" joinstyle="miter"/>
            </v:shape>
          </w:pict>
        </mc:Fallback>
      </mc:AlternateContent>
    </w:r>
  </w:p>
  <w:p w14:paraId="7552B945" w14:textId="77777777" w:rsidR="005B57E5" w:rsidRDefault="00E8579C">
    <w:pPr>
      <w:ind w:right="292"/>
      <w:jc w:val="right"/>
      <w:rPr>
        <w:rFonts w:ascii="EB Garamond" w:eastAsia="EB Garamond" w:hAnsi="EB Garamond" w:cs="EB Garamond"/>
        <w:sz w:val="16"/>
        <w:szCs w:val="16"/>
      </w:rPr>
    </w:pPr>
    <w:r>
      <w:rPr>
        <w:rFonts w:ascii="EB Garamond" w:eastAsia="EB Garamond" w:hAnsi="EB Garamond" w:cs="EB Garamond"/>
        <w:sz w:val="16"/>
        <w:szCs w:val="16"/>
      </w:rPr>
      <w:t>Semestre mes-mes 2022</w:t>
    </w:r>
  </w:p>
  <w:p w14:paraId="019A8CF2" w14:textId="77777777" w:rsidR="005B57E5" w:rsidRDefault="00E8579C">
    <w:pPr>
      <w:spacing w:line="288" w:lineRule="auto"/>
      <w:ind w:right="292"/>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211DE394" w14:textId="77777777" w:rsidR="005B57E5" w:rsidRDefault="00E8579C">
    <w:pPr>
      <w:ind w:right="292"/>
      <w:jc w:val="right"/>
      <w:rPr>
        <w:rFonts w:ascii="EB Garamond" w:eastAsia="EB Garamond" w:hAnsi="EB Garamond" w:cs="EB Garamond"/>
        <w:sz w:val="16"/>
        <w:szCs w:val="16"/>
      </w:rPr>
    </w:pPr>
    <w:r>
      <w:rPr>
        <w:rFonts w:ascii="EB Garamond" w:eastAsia="EB Garamond" w:hAnsi="EB Garamond" w:cs="EB Garamond"/>
        <w:sz w:val="16"/>
        <w:szCs w:val="16"/>
      </w:rPr>
      <w:t xml:space="preserve"> ISSN: 1316-3930</w:t>
    </w:r>
  </w:p>
  <w:p w14:paraId="12B05912" w14:textId="77777777" w:rsidR="005B57E5" w:rsidRDefault="005B57E5">
    <w:pPr>
      <w:pBdr>
        <w:top w:val="nil"/>
        <w:left w:val="nil"/>
        <w:bottom w:val="nil"/>
        <w:right w:val="nil"/>
        <w:between w:val="nil"/>
      </w:pBdr>
      <w:tabs>
        <w:tab w:val="center" w:pos="4419"/>
        <w:tab w:val="right" w:pos="88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411595"/>
      <w:docPartObj>
        <w:docPartGallery w:val="Page Numbers (Bottom of Page)"/>
        <w:docPartUnique/>
      </w:docPartObj>
    </w:sdtPr>
    <w:sdtEndPr/>
    <w:sdtContent>
      <w:p w14:paraId="5A0D32E6" w14:textId="71410FF0" w:rsidR="00DB7681" w:rsidRDefault="00DB7681">
        <w:pPr>
          <w:pStyle w:val="Piedepgina"/>
          <w:jc w:val="right"/>
        </w:pPr>
        <w:r>
          <w:rPr>
            <w:noProof/>
            <w:lang w:val="en-US"/>
          </w:rPr>
          <mc:AlternateContent>
            <mc:Choice Requires="wps">
              <w:drawing>
                <wp:anchor distT="0" distB="0" distL="114300" distR="114300" simplePos="0" relativeHeight="251673600" behindDoc="0" locked="0" layoutInCell="1" allowOverlap="1" wp14:anchorId="680D6884" wp14:editId="3FC29DDB">
                  <wp:simplePos x="0" y="0"/>
                  <wp:positionH relativeFrom="column">
                    <wp:posOffset>5458714</wp:posOffset>
                  </wp:positionH>
                  <wp:positionV relativeFrom="paragraph">
                    <wp:posOffset>12039</wp:posOffset>
                  </wp:positionV>
                  <wp:extent cx="0" cy="607162"/>
                  <wp:effectExtent l="0" t="0" r="38100" b="21590"/>
                  <wp:wrapNone/>
                  <wp:docPr id="5" name="Conector recto 5"/>
                  <wp:cNvGraphicFramePr/>
                  <a:graphic xmlns:a="http://schemas.openxmlformats.org/drawingml/2006/main">
                    <a:graphicData uri="http://schemas.microsoft.com/office/word/2010/wordprocessingShape">
                      <wps:wsp>
                        <wps:cNvCnPr/>
                        <wps:spPr>
                          <a:xfrm>
                            <a:off x="0" y="0"/>
                            <a:ext cx="0" cy="607162"/>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505625B" id="Conector recto 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8pt,.95pt" to="429.8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" strokecolor="black [3213]" strokeweight=".5pt">
                  <v:stroke joinstyle="miter"/>
                </v:line>
              </w:pict>
            </mc:Fallback>
          </mc:AlternateContent>
        </w:r>
        <w:r w:rsidRPr="00263D1B">
          <w:rPr>
            <w:noProof/>
            <w:lang w:val="en-US"/>
          </w:rPr>
          <mc:AlternateContent>
            <mc:Choice Requires="wps">
              <w:drawing>
                <wp:anchor distT="0" distB="0" distL="114300" distR="114300" simplePos="0" relativeHeight="251660800" behindDoc="1" locked="0" layoutInCell="1" allowOverlap="1" wp14:anchorId="270BBC0E" wp14:editId="6C9AE053">
                  <wp:simplePos x="0" y="0"/>
                  <wp:positionH relativeFrom="page">
                    <wp:posOffset>4566132</wp:posOffset>
                  </wp:positionH>
                  <wp:positionV relativeFrom="page">
                    <wp:posOffset>9910801</wp:posOffset>
                  </wp:positionV>
                  <wp:extent cx="1501140" cy="802640"/>
                  <wp:effectExtent l="0" t="0" r="3810" b="16510"/>
                  <wp:wrapNone/>
                  <wp:docPr id="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A15BA" w14:textId="759E2F31" w:rsidR="00DB7681" w:rsidRDefault="00DB7681" w:rsidP="00DB7681">
                              <w:pPr>
                                <w:ind w:left="77" w:right="19" w:firstLine="216"/>
                                <w:jc w:val="right"/>
                                <w:rPr>
                                  <w:rFonts w:ascii="EB Garamond" w:hAnsi="EB Garamond"/>
                                  <w:sz w:val="16"/>
                                </w:rPr>
                              </w:pPr>
                              <w:r>
                                <w:rPr>
                                  <w:rFonts w:ascii="EB Garamond" w:hAnsi="EB Garamond"/>
                                  <w:sz w:val="16"/>
                                </w:rPr>
                                <w:t>Revista TEKHNÉ Nº 29.2</w:t>
                              </w:r>
                            </w:p>
                            <w:p w14:paraId="57B023DC" w14:textId="3DC363B0" w:rsidR="00DB7681" w:rsidRPr="00BB46C4" w:rsidRDefault="00DB7681" w:rsidP="00DB7681">
                              <w:pPr>
                                <w:ind w:left="77" w:right="19" w:firstLine="216"/>
                                <w:jc w:val="right"/>
                                <w:rPr>
                                  <w:rFonts w:ascii="EB Garamond" w:hAnsi="EB Garamond"/>
                                  <w:sz w:val="16"/>
                                </w:rPr>
                              </w:pPr>
                              <w:r w:rsidRPr="00BB46C4">
                                <w:rPr>
                                  <w:rFonts w:ascii="EB Garamond" w:hAnsi="EB Garamond"/>
                                  <w:spacing w:val="-33"/>
                                  <w:sz w:val="16"/>
                                </w:rPr>
                                <w:t xml:space="preserve"> </w:t>
                              </w:r>
                              <w:r w:rsidRPr="00BB46C4">
                                <w:rPr>
                                  <w:rFonts w:ascii="EB Garamond" w:hAnsi="EB Garamond"/>
                                  <w:sz w:val="16"/>
                                </w:rPr>
                                <w:t>Semestre</w:t>
                              </w:r>
                              <w:r w:rsidRPr="00BB46C4">
                                <w:rPr>
                                  <w:rFonts w:ascii="EB Garamond" w:hAnsi="EB Garamond"/>
                                  <w:spacing w:val="-8"/>
                                  <w:sz w:val="16"/>
                                </w:rPr>
                                <w:t xml:space="preserve"> </w:t>
                              </w:r>
                              <w:r>
                                <w:rPr>
                                  <w:rFonts w:ascii="EB Garamond" w:hAnsi="EB Garamond"/>
                                  <w:sz w:val="16"/>
                                </w:rPr>
                                <w:t>septiembre - enero 2025</w:t>
                              </w:r>
                            </w:p>
                            <w:p w14:paraId="1B5C9DF8" w14:textId="77777777" w:rsidR="00DB7681" w:rsidRPr="00BB46C4" w:rsidRDefault="00DB7681" w:rsidP="00DB7681">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B24EDE9" w14:textId="77777777" w:rsidR="00DB7681" w:rsidRDefault="00DB7681" w:rsidP="00DB7681">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62C7F409" w14:textId="77777777" w:rsidR="00DB7681" w:rsidRDefault="00DB7681" w:rsidP="00DB7681">
                              <w:pPr>
                                <w:ind w:right="18"/>
                                <w:jc w:val="right"/>
                                <w:rPr>
                                  <w:rFonts w:ascii="EB Garamond" w:hAnsi="EB Garamond"/>
                                  <w:sz w:val="16"/>
                                </w:rPr>
                              </w:pPr>
                            </w:p>
                            <w:p w14:paraId="2BE9E8CB" w14:textId="77777777" w:rsidR="00DB7681" w:rsidRPr="00BB46C4" w:rsidRDefault="00DB7681" w:rsidP="00DB7681">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BBC0E" id="_x0000_t202" coordsize="21600,21600" o:spt="202" path="m,l,21600r21600,l21600,xe">
                  <v:stroke joinstyle="miter"/>
                  <v:path gradientshapeok="t" o:connecttype="rect"/>
                </v:shapetype>
                <v:shape id="Cuadro de texto 16" o:spid="_x0000_s1029" type="#_x0000_t202" style="position:absolute;left:0;text-align:left;margin-left:359.55pt;margin-top:780.4pt;width:118.2pt;height:63.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" filled="f" stroked="f">
                  <v:textbox inset="0,0,0,0">
                    <w:txbxContent>
                      <w:p w14:paraId="04CA15BA" w14:textId="759E2F31" w:rsidR="00DB7681" w:rsidRDefault="00DB7681" w:rsidP="00DB7681">
                        <w:pPr>
                          <w:ind w:left="77" w:right="19" w:firstLine="216"/>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w:t>
                        </w:r>
                      </w:p>
                      <w:p w14:paraId="57B023DC" w14:textId="3DC363B0" w:rsidR="00DB7681" w:rsidRPr="00BB46C4" w:rsidRDefault="00DB7681" w:rsidP="00DB7681">
                        <w:pPr>
                          <w:ind w:left="77" w:right="19" w:firstLine="216"/>
                          <w:jc w:val="right"/>
                          <w:rPr>
                            <w:rFonts w:ascii="EB Garamond" w:hAnsi="EB Garamond"/>
                            <w:sz w:val="16"/>
                          </w:rPr>
                        </w:pPr>
                        <w:r w:rsidRPr="00BB46C4">
                          <w:rPr>
                            <w:rFonts w:ascii="EB Garamond" w:hAnsi="EB Garamond"/>
                            <w:spacing w:val="-33"/>
                            <w:sz w:val="16"/>
                          </w:rPr>
                          <w:t xml:space="preserve"> </w:t>
                        </w:r>
                        <w:r w:rsidRPr="00BB46C4">
                          <w:rPr>
                            <w:rFonts w:ascii="EB Garamond" w:hAnsi="EB Garamond"/>
                            <w:sz w:val="16"/>
                          </w:rPr>
                          <w:t>Semestre</w:t>
                        </w:r>
                        <w:r w:rsidRPr="00BB46C4">
                          <w:rPr>
                            <w:rFonts w:ascii="EB Garamond" w:hAnsi="EB Garamond"/>
                            <w:spacing w:val="-8"/>
                            <w:sz w:val="16"/>
                          </w:rPr>
                          <w:t xml:space="preserve"> </w:t>
                        </w:r>
                        <w:r>
                          <w:rPr>
                            <w:rFonts w:ascii="EB Garamond" w:hAnsi="EB Garamond"/>
                            <w:sz w:val="16"/>
                          </w:rPr>
                          <w:t>septiembre - enero 2025</w:t>
                        </w:r>
                      </w:p>
                      <w:p w14:paraId="1B5C9DF8" w14:textId="77777777" w:rsidR="00DB7681" w:rsidRPr="00BB46C4" w:rsidRDefault="00DB7681" w:rsidP="00DB7681">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B24EDE9" w14:textId="77777777" w:rsidR="00DB7681" w:rsidRDefault="00DB7681" w:rsidP="00DB7681">
                        <w:pPr>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p w14:paraId="62C7F409" w14:textId="77777777" w:rsidR="00DB7681" w:rsidRDefault="00DB7681" w:rsidP="00DB7681">
                        <w:pPr>
                          <w:ind w:right="18"/>
                          <w:jc w:val="right"/>
                          <w:rPr>
                            <w:rFonts w:ascii="EB Garamond" w:hAnsi="EB Garamond"/>
                            <w:sz w:val="16"/>
                          </w:rPr>
                        </w:pPr>
                      </w:p>
                      <w:p w14:paraId="2BE9E8CB" w14:textId="77777777" w:rsidR="00DB7681" w:rsidRPr="00BB46C4" w:rsidRDefault="00DB7681" w:rsidP="00DB7681">
                        <w:pPr>
                          <w:ind w:right="18"/>
                          <w:jc w:val="right"/>
                          <w:rPr>
                            <w:rFonts w:ascii="EB Garamond" w:hAnsi="EB Garamond"/>
                            <w:sz w:val="16"/>
                          </w:rPr>
                        </w:pPr>
                      </w:p>
                    </w:txbxContent>
                  </v:textbox>
                  <w10:wrap anchorx="page" anchory="page"/>
                </v:shape>
              </w:pict>
            </mc:Fallback>
          </mc:AlternateContent>
        </w:r>
        <w:r>
          <w:rPr>
            <w:rFonts w:ascii="EB Garamond" w:eastAsia="EB Garamond" w:hAnsi="EB Garamond" w:cs="EB Garamond"/>
            <w:b/>
            <w:noProof/>
            <w:color w:val="000000"/>
            <w:sz w:val="28"/>
            <w:szCs w:val="28"/>
            <w:lang w:val="en-US"/>
          </w:rPr>
          <mc:AlternateContent>
            <mc:Choice Requires="wps">
              <w:drawing>
                <wp:anchor distT="0" distB="0" distL="114300" distR="114300" simplePos="0" relativeHeight="251657728" behindDoc="0" locked="0" layoutInCell="1" allowOverlap="1" wp14:anchorId="6B8F6E0B" wp14:editId="02FF9C5D">
                  <wp:simplePos x="0" y="0"/>
                  <wp:positionH relativeFrom="column">
                    <wp:posOffset>-641502</wp:posOffset>
                  </wp:positionH>
                  <wp:positionV relativeFrom="paragraph">
                    <wp:posOffset>-77597</wp:posOffset>
                  </wp:positionV>
                  <wp:extent cx="4483100" cy="767715"/>
                  <wp:effectExtent l="0" t="0" r="0" b="0"/>
                  <wp:wrapNone/>
                  <wp:docPr id="7"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45A338D4" w14:textId="77777777" w:rsidR="00DB7681" w:rsidRDefault="00DB7681" w:rsidP="00DB7681">
                              <w:pPr>
                                <w:rPr>
                                  <w:rFonts w:ascii="EB Garamond" w:hAnsi="EB Garamond"/>
                                  <w:sz w:val="16"/>
                                </w:rPr>
                              </w:pPr>
                              <w:r w:rsidRPr="00BB46C4">
                                <w:rPr>
                                  <w:rFonts w:ascii="EB Garamond" w:hAnsi="EB Garamond"/>
                                  <w:sz w:val="16"/>
                                </w:rPr>
                                <w:t xml:space="preserve">Esta obra está bajo una licencia de Creative </w:t>
                              </w:r>
                              <w:r w:rsidRPr="00BB46C4">
                                <w:rPr>
                                  <w:rFonts w:ascii="EB Garamond" w:hAnsi="EB Garamond"/>
                                  <w:sz w:val="16"/>
                                </w:rPr>
                                <w:t>Commons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21C803AB" w14:textId="77777777" w:rsidR="00DB7681" w:rsidRPr="006F309A" w:rsidRDefault="00DB7681" w:rsidP="00DB7681">
                              <w:pPr>
                                <w:rPr>
                                  <w:rFonts w:ascii="EB Garamond" w:hAnsi="EB Garamond"/>
                                  <w:sz w:val="16"/>
                                  <w:lang w:val="pt-BR"/>
                                </w:rPr>
                              </w:pPr>
                              <w:r w:rsidRPr="006F309A">
                                <w:rPr>
                                  <w:rFonts w:ascii="EB Garamond" w:hAnsi="EB Garamond"/>
                                  <w:spacing w:val="-1"/>
                                  <w:sz w:val="16"/>
                                  <w:lang w:val="pt-BR"/>
                                </w:rPr>
                                <w:t>HYPERLINK</w:t>
                              </w:r>
                              <w:r w:rsidRPr="006F309A">
                                <w:rPr>
                                  <w:rFonts w:ascii="EB Garamond" w:hAnsi="EB Garamond"/>
                                  <w:sz w:val="16"/>
                                  <w:lang w:val="pt-BR"/>
                                </w:rPr>
                                <w:t xml:space="preserve"> </w:t>
                              </w:r>
                              <w:r w:rsidRPr="006F309A">
                                <w:rPr>
                                  <w:rFonts w:ascii="EB Garamond" w:hAnsi="EB Garamond"/>
                                  <w:spacing w:val="-1"/>
                                  <w:sz w:val="16"/>
                                  <w:lang w:val="pt-BR"/>
                                </w:rPr>
                                <w:t>"https://creativecommons.org/licenses/by-nc-sa/3.0/deed.es_ES"</w:t>
                              </w:r>
                              <w:r w:rsidRPr="006F309A">
                                <w:rPr>
                                  <w:rFonts w:ascii="EB Garamond" w:hAnsi="EB Garamond"/>
                                  <w:sz w:val="16"/>
                                  <w:lang w:val="pt-BR"/>
                                </w:rPr>
                                <w:t xml:space="preserve"> </w:t>
                              </w:r>
                            </w:p>
                            <w:p w14:paraId="11418B1E" w14:textId="77777777" w:rsidR="00DB7681" w:rsidRPr="006F309A" w:rsidRDefault="002C2189" w:rsidP="00DB7681">
                              <w:pPr>
                                <w:rPr>
                                  <w:rFonts w:ascii="EB Garamond" w:hAnsi="EB Garamond"/>
                                  <w:color w:val="0462C1"/>
                                  <w:spacing w:val="1"/>
                                  <w:sz w:val="16"/>
                                  <w:lang w:val="pt-BR"/>
                                </w:rPr>
                              </w:pPr>
                              <w:hyperlink r:id="rId1" w:history="1">
                                <w:r w:rsidR="00DB7681" w:rsidRPr="006F309A">
                                  <w:rPr>
                                    <w:rStyle w:val="Hipervnculo"/>
                                    <w:rFonts w:ascii="EB Garamond" w:hAnsi="EB Garamond"/>
                                    <w:lang w:val="pt-BR"/>
                                  </w:rPr>
                                  <w:t>https://creativecommons.org/licenses/by-nc-sa/3.0/deed.es_ES</w:t>
                                </w:r>
                              </w:hyperlink>
                              <w:r w:rsidR="00DB7681" w:rsidRPr="006F309A">
                                <w:rPr>
                                  <w:rFonts w:ascii="EB Garamond" w:hAnsi="EB Garamond"/>
                                  <w:color w:val="0462C1"/>
                                  <w:spacing w:val="1"/>
                                  <w:sz w:val="16"/>
                                  <w:lang w:val="pt-BR"/>
                                </w:rPr>
                                <w:t xml:space="preserve"> </w:t>
                              </w:r>
                            </w:p>
                            <w:p w14:paraId="1A82C921" w14:textId="77777777" w:rsidR="00DB7681" w:rsidRPr="006F309A" w:rsidRDefault="00DB7681" w:rsidP="00DB7681">
                              <w:pPr>
                                <w:rPr>
                                  <w:rFonts w:ascii="EB Garamond" w:hAnsi="EB Garamond"/>
                                  <w:sz w:val="16"/>
                                  <w:lang w:val="pt-BR"/>
                                </w:rPr>
                              </w:pPr>
                              <w:r w:rsidRPr="006F309A">
                                <w:rPr>
                                  <w:rFonts w:ascii="EB Garamond" w:hAnsi="EB Garamond"/>
                                  <w:color w:val="0462C1"/>
                                  <w:sz w:val="16"/>
                                  <w:u w:val="single" w:color="0462C1"/>
                                  <w:lang w:val="pt-BR"/>
                                </w:rPr>
                                <w:t>https://revistasenlinea.saber.ucab.edu.ve/index.php/tekhne/index</w:t>
                              </w:r>
                            </w:p>
                            <w:p w14:paraId="266AB88D" w14:textId="77777777" w:rsidR="00DB7681" w:rsidRPr="006F309A" w:rsidRDefault="00DB7681" w:rsidP="00DB7681">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F6E0B" id="Text Box 9" o:spid="_x0000_s1030" type="#_x0000_t202" style="position:absolute;left:0;text-align:left;margin-left:-50.5pt;margin-top:-6.1pt;width:353pt;height:6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" filled="f" stroked="f" strokeweight=".5pt">
                  <v:textbox>
                    <w:txbxContent>
                      <w:p w14:paraId="45A338D4" w14:textId="77777777" w:rsidR="00DB7681" w:rsidRDefault="00DB7681" w:rsidP="00DB7681">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21C803AB" w14:textId="77777777" w:rsidR="00DB7681" w:rsidRPr="006F309A" w:rsidRDefault="00DB7681" w:rsidP="00DB7681">
                        <w:pPr>
                          <w:rPr>
                            <w:rFonts w:ascii="EB Garamond" w:hAnsi="EB Garamond"/>
                            <w:sz w:val="16"/>
                            <w:lang w:val="pt-BR"/>
                          </w:rPr>
                        </w:pPr>
                        <w:r w:rsidRPr="006F309A">
                          <w:rPr>
                            <w:rFonts w:ascii="EB Garamond" w:hAnsi="EB Garamond"/>
                            <w:spacing w:val="-1"/>
                            <w:sz w:val="16"/>
                            <w:lang w:val="pt-BR"/>
                          </w:rPr>
                          <w:t>HYPERLINK</w:t>
                        </w:r>
                        <w:r w:rsidRPr="006F309A">
                          <w:rPr>
                            <w:rFonts w:ascii="EB Garamond" w:hAnsi="EB Garamond"/>
                            <w:sz w:val="16"/>
                            <w:lang w:val="pt-BR"/>
                          </w:rPr>
                          <w:t xml:space="preserve"> </w:t>
                        </w:r>
                        <w:r w:rsidRPr="006F309A">
                          <w:rPr>
                            <w:rFonts w:ascii="EB Garamond" w:hAnsi="EB Garamond"/>
                            <w:spacing w:val="-1"/>
                            <w:sz w:val="16"/>
                            <w:lang w:val="pt-BR"/>
                          </w:rPr>
                          <w:t>"https://creativecommons.org/</w:t>
                        </w:r>
                        <w:proofErr w:type="spellStart"/>
                        <w:r w:rsidRPr="006F309A">
                          <w:rPr>
                            <w:rFonts w:ascii="EB Garamond" w:hAnsi="EB Garamond"/>
                            <w:spacing w:val="-1"/>
                            <w:sz w:val="16"/>
                            <w:lang w:val="pt-BR"/>
                          </w:rPr>
                          <w:t>licenses</w:t>
                        </w:r>
                        <w:proofErr w:type="spellEnd"/>
                        <w:r w:rsidRPr="006F309A">
                          <w:rPr>
                            <w:rFonts w:ascii="EB Garamond" w:hAnsi="EB Garamond"/>
                            <w:spacing w:val="-1"/>
                            <w:sz w:val="16"/>
                            <w:lang w:val="pt-BR"/>
                          </w:rPr>
                          <w:t>/</w:t>
                        </w:r>
                        <w:proofErr w:type="spellStart"/>
                        <w:r w:rsidRPr="006F309A">
                          <w:rPr>
                            <w:rFonts w:ascii="EB Garamond" w:hAnsi="EB Garamond"/>
                            <w:spacing w:val="-1"/>
                            <w:sz w:val="16"/>
                            <w:lang w:val="pt-BR"/>
                          </w:rPr>
                          <w:t>by-nc-sa</w:t>
                        </w:r>
                        <w:proofErr w:type="spellEnd"/>
                        <w:r w:rsidRPr="006F309A">
                          <w:rPr>
                            <w:rFonts w:ascii="EB Garamond" w:hAnsi="EB Garamond"/>
                            <w:spacing w:val="-1"/>
                            <w:sz w:val="16"/>
                            <w:lang w:val="pt-BR"/>
                          </w:rPr>
                          <w:t>/3.0/</w:t>
                        </w:r>
                        <w:proofErr w:type="spellStart"/>
                        <w:r w:rsidRPr="006F309A">
                          <w:rPr>
                            <w:rFonts w:ascii="EB Garamond" w:hAnsi="EB Garamond"/>
                            <w:spacing w:val="-1"/>
                            <w:sz w:val="16"/>
                            <w:lang w:val="pt-BR"/>
                          </w:rPr>
                          <w:t>deed.es_ES</w:t>
                        </w:r>
                        <w:proofErr w:type="spellEnd"/>
                        <w:r w:rsidRPr="006F309A">
                          <w:rPr>
                            <w:rFonts w:ascii="EB Garamond" w:hAnsi="EB Garamond"/>
                            <w:spacing w:val="-1"/>
                            <w:sz w:val="16"/>
                            <w:lang w:val="pt-BR"/>
                          </w:rPr>
                          <w:t>"</w:t>
                        </w:r>
                        <w:r w:rsidRPr="006F309A">
                          <w:rPr>
                            <w:rFonts w:ascii="EB Garamond" w:hAnsi="EB Garamond"/>
                            <w:sz w:val="16"/>
                            <w:lang w:val="pt-BR"/>
                          </w:rPr>
                          <w:t xml:space="preserve"> </w:t>
                        </w:r>
                      </w:p>
                      <w:p w14:paraId="11418B1E" w14:textId="77777777" w:rsidR="00DB7681" w:rsidRPr="006F309A" w:rsidRDefault="002C2189" w:rsidP="00DB7681">
                        <w:pPr>
                          <w:rPr>
                            <w:rFonts w:ascii="EB Garamond" w:hAnsi="EB Garamond"/>
                            <w:color w:val="0462C1"/>
                            <w:spacing w:val="1"/>
                            <w:sz w:val="16"/>
                            <w:lang w:val="pt-BR"/>
                          </w:rPr>
                        </w:pPr>
                        <w:r>
                          <w:fldChar w:fldCharType="begin"/>
                        </w:r>
                        <w:r w:rsidRPr="0021196D">
                          <w:rPr>
                            <w:lang w:val="pt-BR"/>
                          </w:rPr>
                          <w:instrText xml:space="preserve"> HYPERLINK "https://creativecommons.org/licenses/by-nc-sa/3.0/deed.es_ES" </w:instrText>
                        </w:r>
                        <w:r>
                          <w:fldChar w:fldCharType="separate"/>
                        </w:r>
                        <w:r w:rsidR="00DB7681" w:rsidRPr="006F309A">
                          <w:rPr>
                            <w:rStyle w:val="Hipervnculo"/>
                            <w:rFonts w:ascii="EB Garamond" w:hAnsi="EB Garamond"/>
                            <w:lang w:val="pt-BR"/>
                          </w:rPr>
                          <w:t>https://creativecommons.org/licenses/by-nc-sa/3.0/deed.es_ES</w:t>
                        </w:r>
                        <w:r>
                          <w:rPr>
                            <w:rStyle w:val="Hipervnculo"/>
                            <w:rFonts w:ascii="EB Garamond" w:hAnsi="EB Garamond"/>
                            <w:lang w:val="pt-BR"/>
                          </w:rPr>
                          <w:fldChar w:fldCharType="end"/>
                        </w:r>
                        <w:r w:rsidR="00DB7681" w:rsidRPr="006F309A">
                          <w:rPr>
                            <w:rFonts w:ascii="EB Garamond" w:hAnsi="EB Garamond"/>
                            <w:color w:val="0462C1"/>
                            <w:spacing w:val="1"/>
                            <w:sz w:val="16"/>
                            <w:lang w:val="pt-BR"/>
                          </w:rPr>
                          <w:t xml:space="preserve"> </w:t>
                        </w:r>
                      </w:p>
                      <w:p w14:paraId="1A82C921" w14:textId="77777777" w:rsidR="00DB7681" w:rsidRPr="006F309A" w:rsidRDefault="00DB7681" w:rsidP="00DB7681">
                        <w:pPr>
                          <w:rPr>
                            <w:rFonts w:ascii="EB Garamond" w:hAnsi="EB Garamond"/>
                            <w:sz w:val="16"/>
                            <w:lang w:val="pt-BR"/>
                          </w:rPr>
                        </w:pPr>
                        <w:r w:rsidRPr="006F309A">
                          <w:rPr>
                            <w:rFonts w:ascii="EB Garamond" w:hAnsi="EB Garamond"/>
                            <w:color w:val="0462C1"/>
                            <w:sz w:val="16"/>
                            <w:u w:val="single" w:color="0462C1"/>
                            <w:lang w:val="pt-BR"/>
                          </w:rPr>
                          <w:t>https://revistasenlinea.saber.ucab.edu.ve/index.php/tekhne/index</w:t>
                        </w:r>
                      </w:p>
                      <w:p w14:paraId="266AB88D" w14:textId="77777777" w:rsidR="00DB7681" w:rsidRPr="006F309A" w:rsidRDefault="00DB7681" w:rsidP="00DB7681">
                        <w:pPr>
                          <w:rPr>
                            <w:lang w:val="pt-BR"/>
                          </w:rPr>
                        </w:pPr>
                      </w:p>
                    </w:txbxContent>
                  </v:textbox>
                </v:shape>
              </w:pict>
            </mc:Fallback>
          </mc:AlternateContent>
        </w:r>
        <w:r>
          <w:fldChar w:fldCharType="begin"/>
        </w:r>
        <w:r>
          <w:instrText>PAGE   \* MERGEFORMAT</w:instrText>
        </w:r>
        <w:r>
          <w:fldChar w:fldCharType="separate"/>
        </w:r>
        <w:r>
          <w:rPr>
            <w:lang w:val="es-ES"/>
          </w:rPr>
          <w:t>2</w:t>
        </w:r>
        <w:r>
          <w:fldChar w:fldCharType="end"/>
        </w:r>
      </w:p>
    </w:sdtContent>
  </w:sdt>
  <w:p w14:paraId="2632AABC" w14:textId="4504AB42" w:rsidR="005B57E5" w:rsidRDefault="005B57E5">
    <w:pPr>
      <w:pBdr>
        <w:top w:val="nil"/>
        <w:left w:val="nil"/>
        <w:bottom w:val="nil"/>
        <w:right w:val="nil"/>
        <w:between w:val="nil"/>
      </w:pBdr>
      <w:tabs>
        <w:tab w:val="center" w:pos="4419"/>
        <w:tab w:val="right" w:pos="8838"/>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A3B7" w14:textId="4806EAD6" w:rsidR="00DB7681" w:rsidRDefault="00DB7681">
    <w:pPr>
      <w:pStyle w:val="Piedepgina"/>
      <w:jc w:val="right"/>
    </w:pPr>
  </w:p>
  <w:p w14:paraId="6E72E7A4" w14:textId="77777777" w:rsidR="005B57E5" w:rsidRDefault="005B57E5">
    <w:pPr>
      <w:pBdr>
        <w:top w:val="nil"/>
        <w:left w:val="nil"/>
        <w:bottom w:val="nil"/>
        <w:right w:val="nil"/>
        <w:between w:val="nil"/>
      </w:pBdr>
      <w:tabs>
        <w:tab w:val="center" w:pos="4419"/>
        <w:tab w:val="right" w:pos="88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C9CE5" w14:textId="77777777" w:rsidR="00E43F60" w:rsidRDefault="00E43F60">
      <w:pPr>
        <w:spacing w:line="240" w:lineRule="auto"/>
      </w:pPr>
      <w:r>
        <w:separator/>
      </w:r>
    </w:p>
  </w:footnote>
  <w:footnote w:type="continuationSeparator" w:id="0">
    <w:p w14:paraId="18178939" w14:textId="77777777" w:rsidR="00E43F60" w:rsidRDefault="00E43F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9960F" w14:textId="77777777" w:rsidR="005B57E5" w:rsidRDefault="00E8579C">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echa de recepción día/mes/año</w:t>
    </w:r>
    <w:r>
      <w:rPr>
        <w:noProof/>
        <w:lang w:val="es-VE"/>
      </w:rPr>
      <mc:AlternateContent>
        <mc:Choice Requires="wps">
          <w:drawing>
            <wp:anchor distT="0" distB="0" distL="114300" distR="114300" simplePos="0" relativeHeight="251657216" behindDoc="0" locked="0" layoutInCell="1" hidden="0" allowOverlap="1" wp14:anchorId="37B63BCB" wp14:editId="6520B52F">
              <wp:simplePos x="0" y="0"/>
              <wp:positionH relativeFrom="column">
                <wp:posOffset>1</wp:posOffset>
              </wp:positionH>
              <wp:positionV relativeFrom="paragraph">
                <wp:posOffset>0</wp:posOffset>
              </wp:positionV>
              <wp:extent cx="60325" cy="387350"/>
              <wp:effectExtent l="0" t="0" r="0" b="0"/>
              <wp:wrapNone/>
              <wp:docPr id="71" name="Conector recto de flecha 71"/>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7931148" id="_x0000_t32" coordsize="21600,21600" o:spt="32" o:oned="t" path="m,l21600,21600e" filled="f">
              <v:path arrowok="t" fillok="f" o:connecttype="none"/>
              <o:lock v:ext="edit" shapetype="t"/>
            </v:shapetype>
            <v:shape id="Conector recto de flecha 71" o:spid="_x0000_s1026" type="#_x0000_t32" style="position:absolute;margin-left:0;margin-top:0;width:4.75pt;height:30.5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">
              <v:stroke startarrowwidth="narrow" startarrowlength="short" endarrowwidth="narrow" endarrowlength="short" joinstyle="miter"/>
            </v:shape>
          </w:pict>
        </mc:Fallback>
      </mc:AlternateContent>
    </w:r>
  </w:p>
  <w:p w14:paraId="329E99B0" w14:textId="77777777" w:rsidR="005B57E5" w:rsidRDefault="00E8579C">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día/ mes /año</w:t>
    </w:r>
  </w:p>
  <w:p w14:paraId="097ABF6B" w14:textId="77777777" w:rsidR="005B57E5" w:rsidRDefault="00E8579C">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X – Pp. XX</w:t>
    </w:r>
  </w:p>
  <w:p w14:paraId="450E347A" w14:textId="77777777" w:rsidR="005B57E5" w:rsidRDefault="005B57E5">
    <w:pPr>
      <w:pBdr>
        <w:top w:val="nil"/>
        <w:left w:val="nil"/>
        <w:bottom w:val="nil"/>
        <w:right w:val="nil"/>
        <w:between w:val="nil"/>
      </w:pBdr>
      <w:tabs>
        <w:tab w:val="center" w:pos="4419"/>
        <w:tab w:val="right" w:pos="88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C2EB" w14:textId="7FD368A0" w:rsidR="00212419" w:rsidRPr="00CA71E5" w:rsidRDefault="00B5328A" w:rsidP="00B5328A">
    <w:pPr>
      <w:rPr>
        <w:rFonts w:ascii="EB Garamond" w:hAnsi="EB Garamond" w:cs="Times New Roman"/>
        <w:bCs/>
        <w:i/>
        <w:color w:val="000000"/>
        <w:szCs w:val="28"/>
      </w:rPr>
    </w:pPr>
    <w:r>
      <w:rPr>
        <w:rFonts w:ascii="EB Garamond" w:hAnsi="EB Garamond" w:cs="Times New Roman"/>
        <w:bCs/>
        <w:i/>
        <w:color w:val="000000"/>
        <w:szCs w:val="28"/>
      </w:rPr>
      <w:t>Revisión bibliográfica de los factores sociodemográficos y académicos que influyen en la elección de carrera de ingeniería, en el perfil y en su retención: un análisis de los datos de las universidades privadas</w:t>
    </w:r>
  </w:p>
  <w:p w14:paraId="072C666D" w14:textId="0945F5A0" w:rsidR="00212419" w:rsidRDefault="00D63202" w:rsidP="00B5328A">
    <w:pPr>
      <w:rPr>
        <w:rFonts w:ascii="EB Garamond" w:eastAsia="EB Garamond" w:hAnsi="EB Garamond" w:cs="EB Garamond"/>
        <w:i/>
        <w:color w:val="000000"/>
      </w:rPr>
    </w:pPr>
    <w:r>
      <w:rPr>
        <w:noProof/>
        <w:lang w:val="es-VE"/>
      </w:rPr>
      <mc:AlternateContent>
        <mc:Choice Requires="wps">
          <w:drawing>
            <wp:anchor distT="0" distB="0" distL="114300" distR="114300" simplePos="0" relativeHeight="251665408" behindDoc="0" locked="0" layoutInCell="1" allowOverlap="1" wp14:anchorId="42F79D9B" wp14:editId="4C33A116">
              <wp:simplePos x="0" y="0"/>
              <wp:positionH relativeFrom="column">
                <wp:posOffset>-78740</wp:posOffset>
              </wp:positionH>
              <wp:positionV relativeFrom="paragraph">
                <wp:posOffset>38734</wp:posOffset>
              </wp:positionV>
              <wp:extent cx="6229350" cy="12700"/>
              <wp:effectExtent l="0" t="0" r="19050" b="25400"/>
              <wp:wrapNone/>
              <wp:docPr id="1" name="1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F7BE9E1" id="_x0000_t32" coordsize="21600,21600" o:spt="32" o:oned="t" path="m,l21600,21600e" filled="f">
              <v:path arrowok="t" fillok="f" o:connecttype="none"/>
              <o:lock v:ext="edit" shapetype="t"/>
            </v:shapetype>
            <v:shape id="1 Conector recto de flecha" o:spid="_x0000_s1026" type="#_x0000_t32" style="position:absolute;margin-left:-6.2pt;margin-top:3.05pt;width:490.5pt;height:1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" strokecolor="black [3200]">
              <v:stroke startarrowwidth="narrow" startarrowlength="short" endarrowwidth="narrow" endarrowlength="short" joinstyle="miter"/>
              <o:lock v:ext="edit" shapetype="f"/>
            </v:shape>
          </w:pict>
        </mc:Fallback>
      </mc:AlternateContent>
    </w:r>
    <w:r w:rsidR="00212419">
      <w:rPr>
        <w:noProof/>
        <w:lang w:val="es-VE"/>
      </w:rPr>
      <mc:AlternateContent>
        <mc:Choice Requires="wps">
          <w:drawing>
            <wp:anchor distT="0" distB="0" distL="114300" distR="114300" simplePos="0" relativeHeight="251664384" behindDoc="0" locked="0" layoutInCell="1" allowOverlap="1" wp14:anchorId="44D19FF5" wp14:editId="5BEC9E44">
              <wp:simplePos x="0" y="0"/>
              <wp:positionH relativeFrom="column">
                <wp:posOffset>38100</wp:posOffset>
              </wp:positionH>
              <wp:positionV relativeFrom="paragraph">
                <wp:posOffset>50800</wp:posOffset>
              </wp:positionV>
              <wp:extent cx="12700" cy="12700"/>
              <wp:effectExtent l="0" t="0" r="25400" b="25400"/>
              <wp:wrapNone/>
              <wp:docPr id="15"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0B614A4" id="15 Conector recto de flecha" o:spid="_x0000_s1026" type="#_x0000_t32" style="position:absolute;margin-left:3pt;margin-top:4pt;width:1pt;height:1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" strokecolor="black [3200]">
              <v:stroke startarrowwidth="narrow" startarrowlength="short" endarrowwidth="narrow" endarrowlength="short" joinstyle="miter"/>
              <o:lock v:ext="edit" shapetype="f"/>
            </v:shape>
          </w:pict>
        </mc:Fallback>
      </mc:AlternateContent>
    </w:r>
  </w:p>
  <w:p w14:paraId="4D6207CA" w14:textId="5EAB84A1" w:rsidR="00212419" w:rsidRDefault="00B5328A" w:rsidP="00212419">
    <w:pPr>
      <w:ind w:right="143"/>
      <w:jc w:val="right"/>
      <w:rPr>
        <w:rFonts w:ascii="EB Garamond" w:eastAsia="EB Garamond" w:hAnsi="EB Garamond" w:cs="EB Garamond"/>
        <w:smallCaps/>
      </w:rPr>
    </w:pPr>
    <w:r>
      <w:rPr>
        <w:rFonts w:ascii="EB Garamond" w:eastAsia="EB Garamond" w:hAnsi="EB Garamond" w:cs="EB Garamond"/>
        <w:smallCaps/>
      </w:rPr>
      <w:t>SIRO TAGLIAFERRO</w:t>
    </w:r>
  </w:p>
  <w:p w14:paraId="52980A04" w14:textId="00E45C77" w:rsidR="005B57E5" w:rsidRPr="00212419" w:rsidRDefault="005B57E5" w:rsidP="0021241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AE87" w14:textId="7E6086E1" w:rsidR="000041B6" w:rsidRDefault="000041B6" w:rsidP="000041B6">
    <w:pPr>
      <w:ind w:left="142"/>
      <w:rPr>
        <w:rFonts w:ascii="EB Garamond" w:eastAsia="EB Garamond" w:hAnsi="EB Garamond" w:cs="EB Garamond"/>
        <w:color w:val="000000"/>
        <w:sz w:val="15"/>
        <w:szCs w:val="15"/>
      </w:rPr>
    </w:pPr>
    <w:r>
      <w:rPr>
        <w:noProof/>
        <w:lang w:val="en-US"/>
      </w:rPr>
      <mc:AlternateContent>
        <mc:Choice Requires="wps">
          <w:drawing>
            <wp:anchor distT="0" distB="0" distL="114300" distR="114300" simplePos="0" relativeHeight="251668480" behindDoc="0" locked="0" layoutInCell="1" allowOverlap="1" wp14:anchorId="5391AC33" wp14:editId="71D32B33">
              <wp:simplePos x="0" y="0"/>
              <wp:positionH relativeFrom="column">
                <wp:posOffset>-32394</wp:posOffset>
              </wp:positionH>
              <wp:positionV relativeFrom="paragraph">
                <wp:posOffset>25494</wp:posOffset>
              </wp:positionV>
              <wp:extent cx="0" cy="384740"/>
              <wp:effectExtent l="0" t="0" r="38100" b="34925"/>
              <wp:wrapNone/>
              <wp:docPr id="2" name="Conector recto 2"/>
              <wp:cNvGraphicFramePr/>
              <a:graphic xmlns:a="http://schemas.openxmlformats.org/drawingml/2006/main">
                <a:graphicData uri="http://schemas.microsoft.com/office/word/2010/wordprocessingShape">
                  <wps:wsp>
                    <wps:cNvCnPr/>
                    <wps:spPr>
                      <a:xfrm>
                        <a:off x="0" y="0"/>
                        <a:ext cx="0" cy="38474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3404CD5" id="Conector recto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2pt" to="-2.5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" strokecolor="black [3213]" strokeweight=".5pt">
              <v:stroke joinstyle="miter"/>
            </v:line>
          </w:pict>
        </mc:Fallback>
      </mc:AlternateContent>
    </w: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 xml:space="preserve">echa de recepción </w:t>
    </w:r>
    <w:r w:rsidR="00DB7681">
      <w:rPr>
        <w:rFonts w:ascii="EB Garamond" w:eastAsia="EB Garamond" w:hAnsi="EB Garamond" w:cs="EB Garamond"/>
        <w:color w:val="000000"/>
        <w:sz w:val="15"/>
        <w:szCs w:val="15"/>
      </w:rPr>
      <w:t>19</w:t>
    </w:r>
    <w:r>
      <w:rPr>
        <w:rFonts w:ascii="EB Garamond" w:eastAsia="EB Garamond" w:hAnsi="EB Garamond" w:cs="EB Garamond"/>
        <w:color w:val="000000"/>
        <w:sz w:val="15"/>
        <w:szCs w:val="15"/>
      </w:rPr>
      <w:t>/</w:t>
    </w:r>
    <w:r w:rsidR="00DB7681">
      <w:rPr>
        <w:rFonts w:ascii="EB Garamond" w:eastAsia="EB Garamond" w:hAnsi="EB Garamond" w:cs="EB Garamond"/>
        <w:color w:val="000000"/>
        <w:sz w:val="15"/>
        <w:szCs w:val="15"/>
      </w:rPr>
      <w:t>05</w:t>
    </w:r>
    <w:r>
      <w:rPr>
        <w:rFonts w:ascii="EB Garamond" w:eastAsia="EB Garamond" w:hAnsi="EB Garamond" w:cs="EB Garamond"/>
        <w:color w:val="000000"/>
        <w:sz w:val="15"/>
        <w:szCs w:val="15"/>
      </w:rPr>
      <w:t>/202</w:t>
    </w:r>
    <w:r w:rsidR="00DB7681">
      <w:rPr>
        <w:rFonts w:ascii="EB Garamond" w:eastAsia="EB Garamond" w:hAnsi="EB Garamond" w:cs="EB Garamond"/>
        <w:color w:val="000000"/>
        <w:sz w:val="15"/>
        <w:szCs w:val="15"/>
      </w:rPr>
      <w:t>5</w:t>
    </w:r>
  </w:p>
  <w:p w14:paraId="3CC342A4" w14:textId="752989FF" w:rsidR="000041B6" w:rsidRDefault="000041B6" w:rsidP="000041B6">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Fecha de aceptación: </w:t>
    </w:r>
    <w:r w:rsidR="00BC370C">
      <w:rPr>
        <w:rFonts w:ascii="EB Garamond" w:eastAsia="EB Garamond" w:hAnsi="EB Garamond" w:cs="EB Garamond"/>
        <w:color w:val="000000"/>
        <w:sz w:val="15"/>
        <w:szCs w:val="15"/>
      </w:rPr>
      <w:t>13</w:t>
    </w:r>
    <w:r>
      <w:rPr>
        <w:rFonts w:ascii="EB Garamond" w:eastAsia="EB Garamond" w:hAnsi="EB Garamond" w:cs="EB Garamond"/>
        <w:color w:val="000000"/>
        <w:sz w:val="15"/>
        <w:szCs w:val="15"/>
      </w:rPr>
      <w:t>/</w:t>
    </w:r>
    <w:r w:rsidR="00BC370C">
      <w:rPr>
        <w:rFonts w:ascii="EB Garamond" w:eastAsia="EB Garamond" w:hAnsi="EB Garamond" w:cs="EB Garamond"/>
        <w:color w:val="000000"/>
        <w:sz w:val="15"/>
        <w:szCs w:val="15"/>
      </w:rPr>
      <w:t>10</w:t>
    </w:r>
    <w:r>
      <w:rPr>
        <w:rFonts w:ascii="EB Garamond" w:eastAsia="EB Garamond" w:hAnsi="EB Garamond" w:cs="EB Garamond"/>
        <w:color w:val="000000"/>
        <w:sz w:val="15"/>
        <w:szCs w:val="15"/>
      </w:rPr>
      <w:t>/2025</w:t>
    </w:r>
  </w:p>
  <w:p w14:paraId="29E06000" w14:textId="1C72143E" w:rsidR="000041B6" w:rsidRPr="00C63203" w:rsidRDefault="000041B6" w:rsidP="000041B6">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w:t>
    </w:r>
    <w:r w:rsidR="00BC370C">
      <w:rPr>
        <w:rFonts w:ascii="EB Garamond" w:eastAsia="EB Garamond" w:hAnsi="EB Garamond" w:cs="EB Garamond"/>
        <w:color w:val="000000"/>
        <w:sz w:val="15"/>
        <w:szCs w:val="15"/>
      </w:rPr>
      <w:t>44</w:t>
    </w:r>
    <w:r>
      <w:rPr>
        <w:rFonts w:ascii="EB Garamond" w:eastAsia="EB Garamond" w:hAnsi="EB Garamond" w:cs="EB Garamond"/>
        <w:color w:val="000000"/>
        <w:sz w:val="15"/>
        <w:szCs w:val="15"/>
      </w:rPr>
      <w:t xml:space="preserve"> – Pp. </w:t>
    </w:r>
    <w:r w:rsidR="00BC370C">
      <w:rPr>
        <w:rFonts w:ascii="EB Garamond" w:eastAsia="EB Garamond" w:hAnsi="EB Garamond" w:cs="EB Garamond"/>
        <w:color w:val="000000"/>
        <w:sz w:val="15"/>
        <w:szCs w:val="15"/>
      </w:rPr>
      <w:t>6</w:t>
    </w:r>
    <w:r w:rsidR="00F01D81">
      <w:rPr>
        <w:rFonts w:ascii="EB Garamond" w:eastAsia="EB Garamond" w:hAnsi="EB Garamond" w:cs="EB Garamond"/>
        <w:color w:val="000000"/>
        <w:sz w:val="15"/>
        <w:szCs w:val="15"/>
      </w:rPr>
      <w:t>1</w:t>
    </w:r>
  </w:p>
  <w:p w14:paraId="3E27800C" w14:textId="77777777" w:rsidR="005B57E5" w:rsidRDefault="005B5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A5B98"/>
    <w:multiLevelType w:val="hybridMultilevel"/>
    <w:tmpl w:val="F27893A6"/>
    <w:lvl w:ilvl="0" w:tplc="5FC218C8">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15:restartNumberingAfterBreak="0">
    <w:nsid w:val="2A634740"/>
    <w:multiLevelType w:val="multilevel"/>
    <w:tmpl w:val="38A20D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C905EE"/>
    <w:multiLevelType w:val="hybridMultilevel"/>
    <w:tmpl w:val="DFE03D70"/>
    <w:lvl w:ilvl="0" w:tplc="EBB0645E">
      <w:start w:val="1"/>
      <w:numFmt w:val="upperRoman"/>
      <w:lvlText w:val="%1."/>
      <w:lvlJc w:val="left"/>
      <w:pPr>
        <w:ind w:left="1080" w:hanging="720"/>
      </w:pPr>
      <w:rPr>
        <w:rFonts w:ascii="Arial" w:hAnsi="Arial" w:hint="default"/>
        <w:b w:val="0"/>
        <w:i w:val="0"/>
        <w:spacing w:val="0"/>
        <w:position w:val="0"/>
        <w:sz w:val="2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15:restartNumberingAfterBreak="0">
    <w:nsid w:val="56E303C6"/>
    <w:multiLevelType w:val="multilevel"/>
    <w:tmpl w:val="A48C0F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08C20EF"/>
    <w:multiLevelType w:val="hybridMultilevel"/>
    <w:tmpl w:val="75C80240"/>
    <w:lvl w:ilvl="0" w:tplc="7EF63B12">
      <w:numFmt w:val="bullet"/>
      <w:lvlText w:val="•"/>
      <w:lvlJc w:val="left"/>
      <w:pPr>
        <w:ind w:left="720" w:hanging="360"/>
      </w:pPr>
      <w:rPr>
        <w:rFonts w:ascii="Arial" w:eastAsia="Arial"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5" w15:restartNumberingAfterBreak="0">
    <w:nsid w:val="70FC43D1"/>
    <w:multiLevelType w:val="hybridMultilevel"/>
    <w:tmpl w:val="BFD6EE76"/>
    <w:lvl w:ilvl="0" w:tplc="D388C6DE">
      <w:start w:val="1"/>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activeWritingStyle w:appName="MSWord" w:lang="pt-BR" w:vendorID="64" w:dllVersion="6" w:nlCheck="1" w:checkStyle="0"/>
  <w:activeWritingStyle w:appName="MSWord" w:lang="es-ES_tradnl" w:vendorID="64" w:dllVersion="6" w:nlCheck="1" w:checkStyle="1"/>
  <w:activeWritingStyle w:appName="MSWord" w:lang="es-ES_tradnl" w:vendorID="64" w:dllVersion="0" w:nlCheck="1" w:checkStyle="0"/>
  <w:activeWritingStyle w:appName="MSWord" w:lang="en-US" w:vendorID="64" w:dllVersion="0" w:nlCheck="1" w:checkStyle="0"/>
  <w:activeWritingStyle w:appName="MSWord" w:lang="es-VE" w:vendorID="64" w:dllVersion="0" w:nlCheck="1" w:checkStyle="0"/>
  <w:activeWritingStyle w:appName="MSWord" w:lang="pt-BR" w:vendorID="64" w:dllVersion="0" w:nlCheck="1" w:checkStyle="0"/>
  <w:activeWritingStyle w:appName="MSWord" w:lang="en-US" w:vendorID="64" w:dllVersion="6" w:nlCheck="1" w:checkStyle="1"/>
  <w:activeWritingStyle w:appName="MSWord" w:lang="es-VE" w:vendorID="64" w:dllVersion="6" w:nlCheck="1" w:checkStyle="1"/>
  <w:activeWritingStyle w:appName="MSWord" w:lang="es-ES_tradnl" w:vendorID="64" w:dllVersion="4096" w:nlCheck="1" w:checkStyle="0"/>
  <w:activeWritingStyle w:appName="MSWord" w:lang="en-US" w:vendorID="64" w:dllVersion="4096" w:nlCheck="1" w:checkStyle="0"/>
  <w:activeWritingStyle w:appName="MSWord" w:lang="es-VE"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ES" w:vendorID="64" w:dllVersion="0"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7E5"/>
    <w:rsid w:val="000041B6"/>
    <w:rsid w:val="00032940"/>
    <w:rsid w:val="000B5E1C"/>
    <w:rsid w:val="000D4BFB"/>
    <w:rsid w:val="001170FE"/>
    <w:rsid w:val="00120691"/>
    <w:rsid w:val="00165C7F"/>
    <w:rsid w:val="00174218"/>
    <w:rsid w:val="001F078D"/>
    <w:rsid w:val="0021196D"/>
    <w:rsid w:val="00212419"/>
    <w:rsid w:val="002313E8"/>
    <w:rsid w:val="002C2189"/>
    <w:rsid w:val="002E6283"/>
    <w:rsid w:val="002F3B75"/>
    <w:rsid w:val="00323753"/>
    <w:rsid w:val="0037273B"/>
    <w:rsid w:val="00430ADD"/>
    <w:rsid w:val="004B28FB"/>
    <w:rsid w:val="00556B68"/>
    <w:rsid w:val="005B57E5"/>
    <w:rsid w:val="005B634E"/>
    <w:rsid w:val="005B7A82"/>
    <w:rsid w:val="00615A83"/>
    <w:rsid w:val="0069512D"/>
    <w:rsid w:val="006C7203"/>
    <w:rsid w:val="006D37FF"/>
    <w:rsid w:val="00705D1F"/>
    <w:rsid w:val="00771308"/>
    <w:rsid w:val="007833D7"/>
    <w:rsid w:val="007A4155"/>
    <w:rsid w:val="00875A50"/>
    <w:rsid w:val="00876978"/>
    <w:rsid w:val="008F6F02"/>
    <w:rsid w:val="00902A6F"/>
    <w:rsid w:val="00930C9B"/>
    <w:rsid w:val="00937B23"/>
    <w:rsid w:val="009714F8"/>
    <w:rsid w:val="0097517D"/>
    <w:rsid w:val="00976FB9"/>
    <w:rsid w:val="0098494D"/>
    <w:rsid w:val="009A238B"/>
    <w:rsid w:val="009E1402"/>
    <w:rsid w:val="00A77C28"/>
    <w:rsid w:val="00B07963"/>
    <w:rsid w:val="00B5328A"/>
    <w:rsid w:val="00B952CB"/>
    <w:rsid w:val="00BB3DE1"/>
    <w:rsid w:val="00BC370C"/>
    <w:rsid w:val="00BC3B56"/>
    <w:rsid w:val="00C00FCE"/>
    <w:rsid w:val="00C56551"/>
    <w:rsid w:val="00CA122C"/>
    <w:rsid w:val="00CA48BE"/>
    <w:rsid w:val="00CC5695"/>
    <w:rsid w:val="00CE706F"/>
    <w:rsid w:val="00CF6001"/>
    <w:rsid w:val="00D10D69"/>
    <w:rsid w:val="00D37077"/>
    <w:rsid w:val="00D53CE0"/>
    <w:rsid w:val="00D63202"/>
    <w:rsid w:val="00D93F83"/>
    <w:rsid w:val="00D9591E"/>
    <w:rsid w:val="00DB7681"/>
    <w:rsid w:val="00DC28AE"/>
    <w:rsid w:val="00DF2A61"/>
    <w:rsid w:val="00E00ADF"/>
    <w:rsid w:val="00E00AEA"/>
    <w:rsid w:val="00E43F60"/>
    <w:rsid w:val="00E8579C"/>
    <w:rsid w:val="00EA177C"/>
    <w:rsid w:val="00ED685D"/>
    <w:rsid w:val="00EF3587"/>
    <w:rsid w:val="00F01D81"/>
    <w:rsid w:val="00F75979"/>
    <w:rsid w:val="00F9099A"/>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00AEF0"/>
  <w15:docId w15:val="{E547BC94-8D83-4418-9B92-A4BBDE19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V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7A1"/>
  </w:style>
  <w:style w:type="paragraph" w:styleId="Ttulo1">
    <w:name w:val="heading 1"/>
    <w:basedOn w:val="Normal"/>
    <w:next w:val="Normal"/>
    <w:link w:val="Ttulo1Car"/>
    <w:uiPriority w:val="9"/>
    <w:qFormat/>
    <w:rsid w:val="00CC5695"/>
    <w:pPr>
      <w:keepNext/>
      <w:keepLines/>
      <w:spacing w:before="360" w:after="120" w:line="240" w:lineRule="auto"/>
      <w:outlineLvl w:val="0"/>
    </w:pPr>
    <w:rPr>
      <w:rFonts w:eastAsiaTheme="majorEastAsia" w:cstheme="majorBidi"/>
      <w:b/>
      <w:sz w:val="20"/>
      <w:szCs w:val="40"/>
    </w:rPr>
  </w:style>
  <w:style w:type="paragraph" w:styleId="Ttulo2">
    <w:name w:val="heading 2"/>
    <w:basedOn w:val="Normal"/>
    <w:next w:val="Normal"/>
    <w:link w:val="Ttulo2Car"/>
    <w:uiPriority w:val="9"/>
    <w:semiHidden/>
    <w:unhideWhenUsed/>
    <w:qFormat/>
    <w:rsid w:val="009A7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77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77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77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77A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77A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77A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77A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9A77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CC5695"/>
    <w:rPr>
      <w:rFonts w:eastAsiaTheme="majorEastAsia" w:cstheme="majorBidi"/>
      <w:b/>
      <w:sz w:val="20"/>
      <w:szCs w:val="40"/>
    </w:rPr>
  </w:style>
  <w:style w:type="character" w:customStyle="1" w:styleId="Ttulo2Car">
    <w:name w:val="Título 2 Car"/>
    <w:basedOn w:val="Fuentedeprrafopredeter"/>
    <w:link w:val="Ttulo2"/>
    <w:uiPriority w:val="9"/>
    <w:semiHidden/>
    <w:rsid w:val="009A77A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77A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77A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77A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77A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77A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77A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77A1"/>
    <w:rPr>
      <w:rFonts w:eastAsiaTheme="majorEastAsia" w:cstheme="majorBidi"/>
      <w:color w:val="272727" w:themeColor="text1" w:themeTint="D8"/>
    </w:rPr>
  </w:style>
  <w:style w:type="character" w:customStyle="1" w:styleId="TtuloCar">
    <w:name w:val="Título Car"/>
    <w:basedOn w:val="Fuentedeprrafopredeter"/>
    <w:link w:val="Ttulo"/>
    <w:uiPriority w:val="10"/>
    <w:rsid w:val="009A77A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9A77A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77A1"/>
    <w:pPr>
      <w:spacing w:before="160"/>
      <w:jc w:val="center"/>
    </w:pPr>
    <w:rPr>
      <w:i/>
      <w:iCs/>
      <w:color w:val="404040" w:themeColor="text1" w:themeTint="BF"/>
    </w:rPr>
  </w:style>
  <w:style w:type="character" w:customStyle="1" w:styleId="CitaCar">
    <w:name w:val="Cita Car"/>
    <w:basedOn w:val="Fuentedeprrafopredeter"/>
    <w:link w:val="Cita"/>
    <w:uiPriority w:val="29"/>
    <w:rsid w:val="009A77A1"/>
    <w:rPr>
      <w:i/>
      <w:iCs/>
      <w:color w:val="404040" w:themeColor="text1" w:themeTint="BF"/>
    </w:rPr>
  </w:style>
  <w:style w:type="paragraph" w:styleId="Prrafodelista">
    <w:name w:val="List Paragraph"/>
    <w:basedOn w:val="Normal"/>
    <w:uiPriority w:val="34"/>
    <w:qFormat/>
    <w:rsid w:val="009A77A1"/>
    <w:pPr>
      <w:ind w:left="720"/>
      <w:contextualSpacing/>
    </w:pPr>
  </w:style>
  <w:style w:type="character" w:styleId="nfasisintenso">
    <w:name w:val="Intense Emphasis"/>
    <w:basedOn w:val="Fuentedeprrafopredeter"/>
    <w:uiPriority w:val="21"/>
    <w:qFormat/>
    <w:rsid w:val="009A77A1"/>
    <w:rPr>
      <w:i/>
      <w:iCs/>
      <w:color w:val="0F4761" w:themeColor="accent1" w:themeShade="BF"/>
    </w:rPr>
  </w:style>
  <w:style w:type="paragraph" w:styleId="Citadestacada">
    <w:name w:val="Intense Quote"/>
    <w:basedOn w:val="Normal"/>
    <w:next w:val="Normal"/>
    <w:link w:val="CitadestacadaCar"/>
    <w:uiPriority w:val="30"/>
    <w:qFormat/>
    <w:rsid w:val="009A7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77A1"/>
    <w:rPr>
      <w:i/>
      <w:iCs/>
      <w:color w:val="0F4761" w:themeColor="accent1" w:themeShade="BF"/>
    </w:rPr>
  </w:style>
  <w:style w:type="character" w:styleId="Referenciaintensa">
    <w:name w:val="Intense Reference"/>
    <w:basedOn w:val="Fuentedeprrafopredeter"/>
    <w:uiPriority w:val="32"/>
    <w:qFormat/>
    <w:rsid w:val="009A77A1"/>
    <w:rPr>
      <w:b/>
      <w:bCs/>
      <w:smallCaps/>
      <w:color w:val="0F4761" w:themeColor="accent1" w:themeShade="BF"/>
      <w:spacing w:val="5"/>
    </w:rPr>
  </w:style>
  <w:style w:type="character" w:styleId="Refdecomentario">
    <w:name w:val="annotation reference"/>
    <w:basedOn w:val="Fuentedeprrafopredeter"/>
    <w:uiPriority w:val="99"/>
    <w:semiHidden/>
    <w:unhideWhenUsed/>
    <w:rsid w:val="00D93F83"/>
    <w:rPr>
      <w:sz w:val="16"/>
      <w:szCs w:val="16"/>
    </w:rPr>
  </w:style>
  <w:style w:type="paragraph" w:styleId="Textocomentario">
    <w:name w:val="annotation text"/>
    <w:basedOn w:val="Normal"/>
    <w:link w:val="TextocomentarioCar"/>
    <w:uiPriority w:val="99"/>
    <w:unhideWhenUsed/>
    <w:rsid w:val="00D93F83"/>
    <w:pPr>
      <w:spacing w:line="240" w:lineRule="auto"/>
    </w:pPr>
    <w:rPr>
      <w:sz w:val="20"/>
      <w:szCs w:val="20"/>
    </w:rPr>
  </w:style>
  <w:style w:type="character" w:customStyle="1" w:styleId="TextocomentarioCar">
    <w:name w:val="Texto comentario Car"/>
    <w:basedOn w:val="Fuentedeprrafopredeter"/>
    <w:link w:val="Textocomentario"/>
    <w:uiPriority w:val="99"/>
    <w:rsid w:val="00D93F83"/>
    <w:rPr>
      <w:sz w:val="20"/>
      <w:szCs w:val="20"/>
    </w:rPr>
  </w:style>
  <w:style w:type="paragraph" w:styleId="Asuntodelcomentario">
    <w:name w:val="annotation subject"/>
    <w:basedOn w:val="Textocomentario"/>
    <w:next w:val="Textocomentario"/>
    <w:link w:val="AsuntodelcomentarioCar"/>
    <w:uiPriority w:val="99"/>
    <w:semiHidden/>
    <w:unhideWhenUsed/>
    <w:rsid w:val="00D93F83"/>
    <w:rPr>
      <w:b/>
      <w:bCs/>
    </w:rPr>
  </w:style>
  <w:style w:type="character" w:customStyle="1" w:styleId="AsuntodelcomentarioCar">
    <w:name w:val="Asunto del comentario Car"/>
    <w:basedOn w:val="TextocomentarioCar"/>
    <w:link w:val="Asuntodelcomentario"/>
    <w:uiPriority w:val="99"/>
    <w:semiHidden/>
    <w:rsid w:val="00D93F83"/>
    <w:rPr>
      <w:b/>
      <w:bCs/>
      <w:sz w:val="20"/>
      <w:szCs w:val="20"/>
    </w:rPr>
  </w:style>
  <w:style w:type="paragraph" w:styleId="Textodeglobo">
    <w:name w:val="Balloon Text"/>
    <w:basedOn w:val="Normal"/>
    <w:link w:val="TextodegloboCar"/>
    <w:uiPriority w:val="99"/>
    <w:semiHidden/>
    <w:unhideWhenUsed/>
    <w:rsid w:val="0012069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0691"/>
    <w:rPr>
      <w:rFonts w:ascii="Tahoma" w:hAnsi="Tahoma" w:cs="Tahoma"/>
      <w:sz w:val="16"/>
      <w:szCs w:val="16"/>
    </w:rPr>
  </w:style>
  <w:style w:type="character" w:styleId="Hipervnculo">
    <w:name w:val="Hyperlink"/>
    <w:basedOn w:val="Fuentedeprrafopredeter"/>
    <w:uiPriority w:val="99"/>
    <w:unhideWhenUsed/>
    <w:rsid w:val="00C00FCE"/>
    <w:rPr>
      <w:color w:val="467886" w:themeColor="hyperlink"/>
      <w:u w:val="single"/>
    </w:rPr>
  </w:style>
  <w:style w:type="paragraph" w:styleId="Encabezado">
    <w:name w:val="header"/>
    <w:basedOn w:val="Normal"/>
    <w:link w:val="EncabezadoCar"/>
    <w:uiPriority w:val="99"/>
    <w:unhideWhenUsed/>
    <w:rsid w:val="0021241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12419"/>
  </w:style>
  <w:style w:type="paragraph" w:styleId="Piedepgina">
    <w:name w:val="footer"/>
    <w:basedOn w:val="Normal"/>
    <w:link w:val="PiedepginaCar"/>
    <w:uiPriority w:val="99"/>
    <w:unhideWhenUsed/>
    <w:rsid w:val="00DB7681"/>
    <w:pPr>
      <w:tabs>
        <w:tab w:val="center" w:pos="4680"/>
        <w:tab w:val="right" w:pos="9360"/>
      </w:tabs>
      <w:spacing w:line="240" w:lineRule="auto"/>
    </w:pPr>
    <w:rPr>
      <w:rFonts w:asciiTheme="minorHAnsi" w:eastAsiaTheme="minorEastAsia" w:hAnsiTheme="minorHAnsi" w:cs="Times New Roman"/>
      <w:lang w:val="es-VE"/>
    </w:rPr>
  </w:style>
  <w:style w:type="character" w:customStyle="1" w:styleId="PiedepginaCar">
    <w:name w:val="Pie de página Car"/>
    <w:basedOn w:val="Fuentedeprrafopredeter"/>
    <w:link w:val="Piedepgina"/>
    <w:uiPriority w:val="99"/>
    <w:rsid w:val="00DB7681"/>
    <w:rPr>
      <w:rFonts w:asciiTheme="minorHAnsi" w:eastAsiaTheme="minorEastAsia" w:hAnsiTheme="minorHAnsi" w:cs="Times New Roman"/>
      <w:lang w:val="es-VE"/>
    </w:rPr>
  </w:style>
  <w:style w:type="character" w:styleId="Mencinsinresolver">
    <w:name w:val="Unresolved Mention"/>
    <w:basedOn w:val="Fuentedeprrafopredeter"/>
    <w:uiPriority w:val="99"/>
    <w:semiHidden/>
    <w:unhideWhenUsed/>
    <w:rsid w:val="0021196D"/>
    <w:rPr>
      <w:color w:val="605E5C"/>
      <w:shd w:val="clear" w:color="auto" w:fill="E1DFDD"/>
    </w:rPr>
  </w:style>
  <w:style w:type="character" w:styleId="Hipervnculovisitado">
    <w:name w:val="FollowedHyperlink"/>
    <w:basedOn w:val="Fuentedeprrafopredeter"/>
    <w:uiPriority w:val="99"/>
    <w:semiHidden/>
    <w:unhideWhenUsed/>
    <w:rsid w:val="002119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doi.org/10.23913/ricsh.v6i12.130"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7.png"/><Relationship Id="rId10" Type="http://schemas.openxmlformats.org/officeDocument/2006/relationships/hyperlink" Target="https://orcid.org/0000-0001-7501-3568"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hyperlink" Target="mailto:stagliaferro@unimet.edu.ve" TargetMode="External"/><Relationship Id="rId14" Type="http://schemas.openxmlformats.org/officeDocument/2006/relationships/footer" Target="footer2.xml"/><Relationship Id="rId22" Type="http://schemas.openxmlformats.org/officeDocument/2006/relationships/image" Target="media/image6.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RnwPrVmVTfXVgZSYapoLqsG0Gg==">CgMxLjA4AHIhMWhJYUJRSTdxd0N4Y0JoMW1NR0NsZDRCU0ZEclFScDBp</go:docsCustomData>
</go:gDocsCustomXmlDataStorage>
</file>

<file path=customXml/itemProps1.xml><?xml version="1.0" encoding="utf-8"?>
<ds:datastoreItem xmlns:ds="http://schemas.openxmlformats.org/officeDocument/2006/customXml" ds:itemID="{6F2841A7-E00B-4189-B38C-2909D360B4A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6346</Words>
  <Characters>34908</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Siro Germán Tagliaferro Isturiz</dc:creator>
  <cp:lastModifiedBy>Simon Antonio Pernia Valero</cp:lastModifiedBy>
  <cp:revision>2</cp:revision>
  <cp:lastPrinted>2025-11-04T18:09:00Z</cp:lastPrinted>
  <dcterms:created xsi:type="dcterms:W3CDTF">2025-11-07T18:51:00Z</dcterms:created>
  <dcterms:modified xsi:type="dcterms:W3CDTF">2025-11-07T18:51:00Z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82e3a1d6-12c5-4279-b92a-767d0cd2c639</vt:lpwstr>
  </property>
</Properties>
</file>