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1BD4FD" w14:textId="77777777" w:rsidR="003D24D0" w:rsidRDefault="003D24D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rPr>
          <w:rFonts w:ascii="Garamond" w:eastAsia="Garamond" w:hAnsi="Garamond" w:cs="Garamond"/>
          <w:b/>
          <w:sz w:val="32"/>
          <w:szCs w:val="32"/>
        </w:rPr>
      </w:pPr>
    </w:p>
    <w:p w14:paraId="13C6C907" w14:textId="77777777" w:rsidR="003D24D0" w:rsidRDefault="00000000">
      <w:pPr>
        <w:keepNex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line="276" w:lineRule="auto"/>
        <w:jc w:val="center"/>
        <w:rPr>
          <w:rFonts w:ascii="Garamond" w:eastAsia="Garamond" w:hAnsi="Garamond" w:cs="Garamond"/>
          <w:sz w:val="32"/>
          <w:szCs w:val="32"/>
        </w:rPr>
      </w:pPr>
      <w:r>
        <w:rPr>
          <w:rFonts w:ascii="Garamond" w:eastAsia="Garamond" w:hAnsi="Garamond" w:cs="Garamond"/>
          <w:b/>
          <w:sz w:val="32"/>
          <w:szCs w:val="32"/>
        </w:rPr>
        <w:t xml:space="preserve">Informe de coyuntura </w:t>
      </w:r>
      <w:r>
        <w:rPr>
          <w:rFonts w:ascii="Garamond" w:eastAsia="Garamond" w:hAnsi="Garamond" w:cs="Garamond"/>
          <w:b/>
          <w:sz w:val="32"/>
          <w:szCs w:val="32"/>
        </w:rPr>
        <w:br/>
        <w:t>Venezuela, octubre de 2024</w:t>
      </w:r>
      <w:r>
        <w:rPr>
          <w:rFonts w:ascii="Garamond" w:eastAsia="Garamond" w:hAnsi="Garamond" w:cs="Garamond"/>
          <w:b/>
          <w:sz w:val="32"/>
          <w:szCs w:val="32"/>
          <w:vertAlign w:val="superscript"/>
        </w:rPr>
        <w:footnoteReference w:id="1"/>
      </w:r>
    </w:p>
    <w:p w14:paraId="4C1AC039" w14:textId="77777777" w:rsidR="003D24D0" w:rsidRDefault="00000000">
      <w:pPr>
        <w:spacing w:after="240"/>
        <w:rPr>
          <w:rFonts w:ascii="Garamond" w:eastAsia="Garamond" w:hAnsi="Garamond" w:cs="Garamond"/>
        </w:rPr>
      </w:pPr>
      <w:r>
        <w:rPr>
          <w:rFonts w:ascii="Garamond" w:eastAsia="Garamond" w:hAnsi="Garamond" w:cs="Garamond"/>
          <w:b/>
        </w:rPr>
        <w:t>PRESENTACIÓN</w:t>
      </w:r>
      <w:r>
        <w:rPr>
          <w:rFonts w:ascii="Garamond" w:eastAsia="Garamond" w:hAnsi="Garamond" w:cs="Garamond"/>
          <w:b/>
          <w:vertAlign w:val="superscript"/>
        </w:rPr>
        <w:footnoteReference w:id="2"/>
      </w:r>
    </w:p>
    <w:p w14:paraId="394D2AC4" w14:textId="77777777" w:rsidR="003D24D0" w:rsidRDefault="00000000">
      <w:pPr>
        <w:spacing w:before="240" w:after="120" w:line="360" w:lineRule="auto"/>
        <w:ind w:firstLine="280"/>
        <w:jc w:val="both"/>
        <w:rPr>
          <w:rFonts w:ascii="Garamond" w:eastAsia="Garamond" w:hAnsi="Garamond" w:cs="Garamond"/>
          <w:sz w:val="22"/>
          <w:szCs w:val="22"/>
        </w:rPr>
      </w:pPr>
      <w:r>
        <w:rPr>
          <w:rFonts w:ascii="Garamond" w:eastAsia="Garamond" w:hAnsi="Garamond" w:cs="Garamond"/>
          <w:sz w:val="22"/>
          <w:szCs w:val="22"/>
        </w:rPr>
        <w:t>La evolución de la economía venezolana en 2024, como era de esperar, ha estado determinada en buena medida por el ciclo político-electoral y sus implicaciones. El comportamiento de los agregados macroeconómicos durante el primer semestre contrasta con el que se proyecta para el segundo semestre.</w:t>
      </w:r>
    </w:p>
    <w:p w14:paraId="606E75CC" w14:textId="77777777" w:rsidR="003D24D0" w:rsidRDefault="00000000">
      <w:pPr>
        <w:spacing w:before="240" w:after="120" w:line="360" w:lineRule="auto"/>
        <w:ind w:firstLine="280"/>
        <w:jc w:val="both"/>
        <w:rPr>
          <w:rFonts w:ascii="Garamond" w:eastAsia="Garamond" w:hAnsi="Garamond" w:cs="Garamond"/>
          <w:sz w:val="22"/>
          <w:szCs w:val="22"/>
        </w:rPr>
      </w:pPr>
      <w:r>
        <w:rPr>
          <w:rFonts w:ascii="Garamond" w:eastAsia="Garamond" w:hAnsi="Garamond" w:cs="Garamond"/>
          <w:sz w:val="22"/>
          <w:szCs w:val="22"/>
        </w:rPr>
        <w:t>En la primera parte del año la economía dio muestras de una importante expansión, teniendo en cuenta los bajos niveles de los cuales se parte. Este crecimiento en el nivel de actividad fue la consecuencia de varios factores: la mayor estabilidad del tipo de cambio, una importante reducción en la tasa de inflación, un incremento en la producción y las exportaciones petroleras, la esperada expansión fiscal asociada a la coyuntura político-electoral y las expectativas en torno a una transición en el régimen político una vez que se concretara el evento electoral de julio.</w:t>
      </w:r>
    </w:p>
    <w:p w14:paraId="08A9EFB9" w14:textId="77777777" w:rsidR="003D24D0" w:rsidRDefault="00000000">
      <w:pPr>
        <w:spacing w:before="240" w:after="120" w:line="360" w:lineRule="auto"/>
        <w:ind w:firstLine="280"/>
        <w:jc w:val="both"/>
        <w:rPr>
          <w:rFonts w:ascii="Garamond" w:eastAsia="Garamond" w:hAnsi="Garamond" w:cs="Garamond"/>
          <w:sz w:val="22"/>
          <w:szCs w:val="22"/>
        </w:rPr>
      </w:pPr>
      <w:r>
        <w:rPr>
          <w:rFonts w:ascii="Garamond" w:eastAsia="Garamond" w:hAnsi="Garamond" w:cs="Garamond"/>
          <w:sz w:val="22"/>
          <w:szCs w:val="22"/>
        </w:rPr>
        <w:t>La dinámica en el segundo semestre ha sido diferente. Dada la manera como se desenvolvió el evento electoral, la creciente inestabilidad política subsecuente y la incertidumbre en torno a la reacción de la comunidad internacional frente al comportamiento político-institucional del Gobierno, las expectativas de los agentes económicos se han deteriorado.</w:t>
      </w:r>
    </w:p>
    <w:p w14:paraId="7A5E5329" w14:textId="77777777" w:rsidR="003D24D0" w:rsidRDefault="00000000">
      <w:pPr>
        <w:spacing w:before="240" w:after="120" w:line="360" w:lineRule="auto"/>
        <w:ind w:firstLine="280"/>
        <w:jc w:val="both"/>
        <w:rPr>
          <w:rFonts w:ascii="Garamond" w:eastAsia="Garamond" w:hAnsi="Garamond" w:cs="Garamond"/>
          <w:sz w:val="22"/>
          <w:szCs w:val="22"/>
        </w:rPr>
      </w:pPr>
      <w:r>
        <w:rPr>
          <w:rFonts w:ascii="Garamond" w:eastAsia="Garamond" w:hAnsi="Garamond" w:cs="Garamond"/>
          <w:sz w:val="22"/>
          <w:szCs w:val="22"/>
        </w:rPr>
        <w:t>Las consecuencias, en vista de la elevada incertidumbre con relación a la evolución del nivel de actividad económica en el corto y mediano plazo, han hecho que la economía del país entre de nuevo en un periodo recesivo. Las presiones sobre el mercado cambiario se han elevado, aumentando la brecha entre el tipo de cambio oficial y el paralelo, y obligando al BCV a acelerar la tasa de deslizamiento del tipo de cambio oficial.</w:t>
      </w:r>
    </w:p>
    <w:p w14:paraId="0FA94CA0" w14:textId="77777777" w:rsidR="003D24D0" w:rsidRDefault="00000000">
      <w:pPr>
        <w:spacing w:before="240" w:after="120" w:line="360" w:lineRule="auto"/>
        <w:ind w:firstLine="280"/>
        <w:jc w:val="both"/>
        <w:rPr>
          <w:rFonts w:ascii="Garamond" w:eastAsia="Garamond" w:hAnsi="Garamond" w:cs="Garamond"/>
          <w:sz w:val="22"/>
          <w:szCs w:val="22"/>
        </w:rPr>
      </w:pPr>
      <w:r>
        <w:rPr>
          <w:rFonts w:ascii="Garamond" w:eastAsia="Garamond" w:hAnsi="Garamond" w:cs="Garamond"/>
          <w:sz w:val="22"/>
          <w:szCs w:val="22"/>
        </w:rPr>
        <w:t>Por otra parte, durante el cuarto trimestre del año se espera que la presión fiscal sobre los agregados monetarios se incremente, debido a los egresos presupuestarios vinculados a las remuneraciones y compensaciones de fin de año. La mayor expansión de la base monetaria se supone agregará presiones sobre el mercado cambiario y el comportamiento de los precios internos. Es por ello que se espera que, en lo que queda del año, el BCV se vea obligado a deslizar aún más el tipo de cambio oficial, la tasa de inflación se incremente con relación al comportamiento observado en los últimos meses; todo esto frente a una reducida reacción de la oferta de bienes y servicios, afectada por la incertidumbre y la inestabilidad política que se supone sea creciente a medida que nos acerquemos al mes de enero, fecha en que debe comenzar un nuevo período presidencial.</w:t>
      </w:r>
    </w:p>
    <w:p w14:paraId="6CED4BFF" w14:textId="77777777" w:rsidR="003D24D0" w:rsidRDefault="00000000">
      <w:pPr>
        <w:spacing w:before="240" w:after="120" w:line="360" w:lineRule="auto"/>
        <w:ind w:firstLine="280"/>
        <w:jc w:val="both"/>
        <w:rPr>
          <w:rFonts w:ascii="Garamond" w:eastAsia="Garamond" w:hAnsi="Garamond" w:cs="Garamond"/>
          <w:sz w:val="22"/>
          <w:szCs w:val="22"/>
        </w:rPr>
      </w:pPr>
      <w:r>
        <w:rPr>
          <w:rFonts w:ascii="Garamond" w:eastAsia="Garamond" w:hAnsi="Garamond" w:cs="Garamond"/>
          <w:sz w:val="22"/>
          <w:szCs w:val="22"/>
        </w:rPr>
        <w:lastRenderedPageBreak/>
        <w:t>Hay que agregar, además, las expectativas inciertas con relación a los resultados de las elecciones en EE. UU. y la manera cómo reaccionará la comunidad internacional una vez que se tenga mayor claridad en torno a si habrá o no una transición política.</w:t>
      </w:r>
    </w:p>
    <w:p w14:paraId="6689667A" w14:textId="77777777" w:rsidR="003D24D0" w:rsidRDefault="00000000">
      <w:pPr>
        <w:spacing w:before="240" w:after="120" w:line="360" w:lineRule="auto"/>
        <w:ind w:firstLine="280"/>
        <w:jc w:val="both"/>
        <w:rPr>
          <w:rFonts w:ascii="Garamond" w:eastAsia="Garamond" w:hAnsi="Garamond" w:cs="Garamond"/>
          <w:sz w:val="22"/>
          <w:szCs w:val="22"/>
        </w:rPr>
      </w:pPr>
      <w:r>
        <w:rPr>
          <w:rFonts w:ascii="Garamond" w:eastAsia="Garamond" w:hAnsi="Garamond" w:cs="Garamond"/>
          <w:sz w:val="22"/>
          <w:szCs w:val="22"/>
        </w:rPr>
        <w:t>Si se tiene en cuenta el comportamiento diferenciado entre el primer y segundo semestre del año, se estima que, en términos anuales, la economía termine mostrando un crecimiento en 2024, acompañado de una reducción en la tasa de inflación menor a la registrada en 2023. Pero debe resaltarse que la tendencia que se ha venido consolidando en este segundo semestre, y lo que se espera pueda suceder a comienzos de 2025, sea una nueva recesión, cuando no a una contracción en el nivel de actividad económica.</w:t>
      </w:r>
    </w:p>
    <w:p w14:paraId="402D4570" w14:textId="77777777" w:rsidR="003D24D0" w:rsidRDefault="00000000">
      <w:pPr>
        <w:spacing w:before="240" w:after="120" w:line="360" w:lineRule="auto"/>
        <w:ind w:firstLine="280"/>
        <w:jc w:val="both"/>
        <w:rPr>
          <w:rFonts w:ascii="Garamond" w:eastAsia="Garamond" w:hAnsi="Garamond" w:cs="Garamond"/>
          <w:sz w:val="16"/>
          <w:szCs w:val="16"/>
        </w:rPr>
      </w:pPr>
      <w:r>
        <w:rPr>
          <w:rFonts w:ascii="Garamond" w:eastAsia="Garamond" w:hAnsi="Garamond" w:cs="Garamond"/>
          <w:sz w:val="22"/>
          <w:szCs w:val="22"/>
        </w:rPr>
        <w:t>En esta edición del informe de coyuntura, como ya es habitual, se pasa revista a la evolución del contexto externo, el desempeño esperado de los principales agregados macroeconómicos, el comportamiento de la economía real y en particular el sector manufacturero y la situación del sistema bancario. En esta oportunidad, hemos añadido una sección especial donde se resumen los resultados de una reciente investigación sobre la situación de la actividad emprendedora en Venezuela.</w:t>
      </w:r>
    </w:p>
    <w:sectPr w:rsidR="003D24D0">
      <w:headerReference w:type="even" r:id="rId6"/>
      <w:headerReference w:type="default" r:id="rId7"/>
      <w:footerReference w:type="even" r:id="rId8"/>
      <w:footerReference w:type="default" r:id="rId9"/>
      <w:headerReference w:type="first" r:id="rId10"/>
      <w:footerReference w:type="first" r:id="rId11"/>
      <w:pgSz w:w="12240" w:h="15840"/>
      <w:pgMar w:top="713" w:right="1041" w:bottom="1417" w:left="1275" w:header="714" w:footer="566" w:gutter="0"/>
      <w:pgNumType w:start="6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0FC5F5" w14:textId="77777777" w:rsidR="00A86482" w:rsidRDefault="00A86482">
      <w:r>
        <w:separator/>
      </w:r>
    </w:p>
  </w:endnote>
  <w:endnote w:type="continuationSeparator" w:id="0">
    <w:p w14:paraId="67726C5D" w14:textId="77777777" w:rsidR="00A86482" w:rsidRDefault="00A86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DAE4D5E7-D4C7-4776-BF74-CCE15398C7C0}"/>
    <w:embedBold r:id="rId2" w:fontKey="{A79D2DEA-7798-485E-B302-B12F85E9D74E}"/>
    <w:embedItalic r:id="rId3" w:fontKey="{9AEA9E0E-E348-4E58-AC37-FA42B76A1019}"/>
  </w:font>
  <w:font w:name="Times New Roman">
    <w:panose1 w:val="02020603050405020304"/>
    <w:charset w:val="00"/>
    <w:family w:val="roman"/>
    <w:pitch w:val="variable"/>
    <w:sig w:usb0="E0002EFF" w:usb1="C000785B" w:usb2="00000009" w:usb3="00000000" w:csb0="000001FF" w:csb1="00000000"/>
  </w:font>
  <w:font w:name="EB Garamond">
    <w:charset w:val="00"/>
    <w:family w:val="auto"/>
    <w:pitch w:val="variable"/>
    <w:sig w:usb0="E00002FF" w:usb1="02000413" w:usb2="00000000" w:usb3="00000000" w:csb0="0000019F" w:csb1="00000000"/>
    <w:embedRegular r:id="rId4" w:fontKey="{3036EA7C-4919-413B-B75A-8635A2485B84}"/>
    <w:embedBold r:id="rId5" w:fontKey="{26D86D8A-FE80-4B59-B71B-A49B7DF6BAFA}"/>
  </w:font>
  <w:font w:name="Calibri">
    <w:panose1 w:val="020F0502020204030204"/>
    <w:charset w:val="00"/>
    <w:family w:val="swiss"/>
    <w:pitch w:val="variable"/>
    <w:sig w:usb0="E4002EFF" w:usb1="C200247B" w:usb2="00000009" w:usb3="00000000" w:csb0="000001FF" w:csb1="00000000"/>
    <w:embedRegular r:id="rId6" w:fontKey="{37F15432-787D-477E-AAA0-9D0FCF4A4864}"/>
  </w:font>
  <w:font w:name="Cambria">
    <w:panose1 w:val="02040503050406030204"/>
    <w:charset w:val="00"/>
    <w:family w:val="roman"/>
    <w:pitch w:val="variable"/>
    <w:sig w:usb0="E00006FF" w:usb1="420024FF" w:usb2="02000000" w:usb3="00000000" w:csb0="0000019F" w:csb1="00000000"/>
    <w:embedRegular r:id="rId7" w:fontKey="{5B60522B-0015-4063-8FAA-CC116E5654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535F7" w14:textId="77777777" w:rsidR="003D24D0" w:rsidRDefault="00000000">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4A4320D" w14:textId="77777777" w:rsidR="003D24D0" w:rsidRDefault="003D24D0">
    <w:pPr>
      <w:pBdr>
        <w:top w:val="nil"/>
        <w:left w:val="nil"/>
        <w:bottom w:val="nil"/>
        <w:right w:val="nil"/>
        <w:between w:val="nil"/>
      </w:pBdr>
      <w:tabs>
        <w:tab w:val="center" w:pos="4419"/>
        <w:tab w:val="right" w:pos="8838"/>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6C2F4" w14:textId="77777777" w:rsidR="003D24D0" w:rsidRDefault="00000000">
    <w:pPr>
      <w:pBdr>
        <w:top w:val="nil"/>
        <w:left w:val="nil"/>
        <w:bottom w:val="nil"/>
        <w:right w:val="nil"/>
        <w:between w:val="nil"/>
      </w:pBdr>
      <w:tabs>
        <w:tab w:val="center" w:pos="4419"/>
        <w:tab w:val="right" w:pos="8838"/>
      </w:tabs>
      <w:jc w:val="right"/>
      <w:rPr>
        <w:rFonts w:ascii="Garamond" w:eastAsia="Garamond" w:hAnsi="Garamond" w:cs="Garamond"/>
        <w:color w:val="000000"/>
        <w:sz w:val="16"/>
        <w:szCs w:val="16"/>
      </w:rPr>
    </w:pPr>
    <w:r>
      <w:rPr>
        <w:rFonts w:ascii="Garamond" w:eastAsia="Garamond" w:hAnsi="Garamond" w:cs="Garamond"/>
        <w:sz w:val="16"/>
        <w:szCs w:val="16"/>
      </w:rPr>
      <w:t xml:space="preserve">Temas de Coyuntura n.º 90        </w:t>
    </w:r>
    <w:r>
      <w:rPr>
        <w:rFonts w:ascii="Garamond" w:eastAsia="Garamond" w:hAnsi="Garamond" w:cs="Garamond"/>
        <w:color w:val="000000"/>
        <w:sz w:val="22"/>
        <w:szCs w:val="22"/>
      </w:rPr>
      <w:fldChar w:fldCharType="begin"/>
    </w:r>
    <w:r>
      <w:rPr>
        <w:rFonts w:ascii="Garamond" w:eastAsia="Garamond" w:hAnsi="Garamond" w:cs="Garamond"/>
        <w:color w:val="000000"/>
        <w:sz w:val="22"/>
        <w:szCs w:val="22"/>
      </w:rPr>
      <w:instrText>PAGE</w:instrText>
    </w:r>
    <w:r>
      <w:rPr>
        <w:rFonts w:ascii="Garamond" w:eastAsia="Garamond" w:hAnsi="Garamond" w:cs="Garamond"/>
        <w:color w:val="000000"/>
        <w:sz w:val="22"/>
        <w:szCs w:val="22"/>
      </w:rPr>
      <w:fldChar w:fldCharType="separate"/>
    </w:r>
    <w:r w:rsidR="001157B6">
      <w:rPr>
        <w:rFonts w:ascii="Garamond" w:eastAsia="Garamond" w:hAnsi="Garamond" w:cs="Garamond"/>
        <w:noProof/>
        <w:color w:val="000000"/>
        <w:sz w:val="22"/>
        <w:szCs w:val="22"/>
      </w:rPr>
      <w:t>68</w:t>
    </w:r>
    <w:r>
      <w:rPr>
        <w:rFonts w:ascii="Garamond" w:eastAsia="Garamond" w:hAnsi="Garamond" w:cs="Garamond"/>
        <w:color w:val="000000"/>
        <w:sz w:val="22"/>
        <w:szCs w:val="22"/>
      </w:rPr>
      <w:fldChar w:fldCharType="end"/>
    </w:r>
    <w:r>
      <w:rPr>
        <w:rFonts w:ascii="EB Garamond" w:eastAsia="EB Garamond" w:hAnsi="EB Garamond" w:cs="EB Garamond"/>
        <w:color w:val="000000"/>
        <w:sz w:val="16"/>
        <w:szCs w:val="16"/>
      </w:rPr>
      <w:t xml:space="preserve"> </w:t>
    </w:r>
    <w:r>
      <w:rPr>
        <w:noProof/>
      </w:rPr>
      <mc:AlternateContent>
        <mc:Choice Requires="wpg">
          <w:drawing>
            <wp:anchor distT="0" distB="0" distL="114300" distR="114300" simplePos="0" relativeHeight="251661312" behindDoc="0" locked="0" layoutInCell="1" hidden="0" allowOverlap="1" wp14:anchorId="0AB3432E" wp14:editId="1A24ECA4">
              <wp:simplePos x="0" y="0"/>
              <wp:positionH relativeFrom="column">
                <wp:posOffset>6007100</wp:posOffset>
              </wp:positionH>
              <wp:positionV relativeFrom="paragraph">
                <wp:posOffset>25400</wp:posOffset>
              </wp:positionV>
              <wp:extent cx="22225" cy="822325"/>
              <wp:effectExtent l="0" t="0" r="0" b="0"/>
              <wp:wrapNone/>
              <wp:docPr id="4" name="Conector recto de flecha 4"/>
              <wp:cNvGraphicFramePr/>
              <a:graphic xmlns:a="http://schemas.openxmlformats.org/drawingml/2006/main">
                <a:graphicData uri="http://schemas.microsoft.com/office/word/2010/wordprocessingShape">
                  <wps:wsp>
                    <wps:cNvCnPr/>
                    <wps:spPr>
                      <a:xfrm>
                        <a:off x="5344650" y="3178350"/>
                        <a:ext cx="2700" cy="12033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6007100</wp:posOffset>
              </wp:positionH>
              <wp:positionV relativeFrom="paragraph">
                <wp:posOffset>25400</wp:posOffset>
              </wp:positionV>
              <wp:extent cx="22225" cy="822325"/>
              <wp:effectExtent b="0" l="0" r="0" t="0"/>
              <wp:wrapNone/>
              <wp:docPr id="4"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22225" cy="822325"/>
                      </a:xfrm>
                      <a:prstGeom prst="rect"/>
                      <a:ln/>
                    </pic:spPr>
                  </pic:pic>
                </a:graphicData>
              </a:graphic>
            </wp:anchor>
          </w:drawing>
        </mc:Fallback>
      </mc:AlternateContent>
    </w:r>
  </w:p>
  <w:p w14:paraId="3761C310" w14:textId="77777777" w:rsidR="003D24D0" w:rsidRDefault="00000000">
    <w:pPr>
      <w:pBdr>
        <w:top w:val="nil"/>
        <w:left w:val="nil"/>
        <w:bottom w:val="nil"/>
        <w:right w:val="nil"/>
        <w:between w:val="nil"/>
      </w:pBdr>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Jul</w:t>
    </w:r>
    <w:r>
      <w:rPr>
        <w:rFonts w:ascii="Garamond" w:eastAsia="Garamond" w:hAnsi="Garamond" w:cs="Garamond"/>
        <w:color w:val="000000"/>
        <w:sz w:val="16"/>
        <w:szCs w:val="16"/>
      </w:rPr>
      <w:t>.-</w:t>
    </w:r>
    <w:r>
      <w:rPr>
        <w:rFonts w:ascii="Garamond" w:eastAsia="Garamond" w:hAnsi="Garamond" w:cs="Garamond"/>
        <w:sz w:val="16"/>
        <w:szCs w:val="16"/>
      </w:rPr>
      <w:t>Dic.</w:t>
    </w:r>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3C850E09" w14:textId="77777777" w:rsidR="003D24D0" w:rsidRDefault="00000000">
    <w:pPr>
      <w:pBdr>
        <w:top w:val="nil"/>
        <w:left w:val="nil"/>
        <w:bottom w:val="nil"/>
        <w:right w:val="nil"/>
        <w:between w:val="nil"/>
      </w:pBdr>
      <w:spacing w:line="288" w:lineRule="auto"/>
      <w:ind w:right="568"/>
      <w:jc w:val="right"/>
      <w:rPr>
        <w:rFonts w:ascii="Garamond" w:eastAsia="Garamond" w:hAnsi="Garamond" w:cs="Garamond"/>
        <w:color w:val="000000"/>
        <w:sz w:val="16"/>
        <w:szCs w:val="16"/>
      </w:rPr>
    </w:pPr>
    <w:r>
      <w:rPr>
        <w:rFonts w:ascii="Garamond" w:eastAsia="Garamond" w:hAnsi="Garamond" w:cs="Garamond"/>
        <w:color w:val="000000"/>
        <w:sz w:val="16"/>
        <w:szCs w:val="16"/>
      </w:rPr>
      <w:t>ISSN: 2244-8632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6835F" w14:textId="77777777" w:rsidR="003D24D0" w:rsidRDefault="003D24D0">
    <w:pPr>
      <w:keepNext/>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rPr>
        <w:rFonts w:ascii="EB Garamond" w:eastAsia="EB Garamond" w:hAnsi="EB Garamond" w:cs="EB Garamond"/>
        <w:b/>
        <w:color w:val="000000"/>
        <w:sz w:val="28"/>
        <w:szCs w:val="28"/>
      </w:rPr>
    </w:pPr>
  </w:p>
  <w:p w14:paraId="45AAB3CB" w14:textId="77777777" w:rsidR="003D24D0"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EB Garamond" w:eastAsia="EB Garamond" w:hAnsi="EB Garamond" w:cs="EB Garamond"/>
        <w:color w:val="000000"/>
        <w:sz w:val="16"/>
        <w:szCs w:val="16"/>
      </w:rPr>
      <w:t xml:space="preserve"> </w:t>
    </w:r>
    <w:r>
      <w:rPr>
        <w:rFonts w:ascii="Garamond" w:eastAsia="Garamond" w:hAnsi="Garamond" w:cs="Garamond"/>
        <w:color w:val="000000"/>
        <w:sz w:val="16"/>
        <w:szCs w:val="16"/>
      </w:rPr>
      <w:t xml:space="preserve">Temas de Coyuntura </w:t>
    </w:r>
    <w:r>
      <w:rPr>
        <w:rFonts w:ascii="Garamond" w:eastAsia="Garamond" w:hAnsi="Garamond" w:cs="Garamond"/>
        <w:sz w:val="16"/>
        <w:szCs w:val="16"/>
      </w:rPr>
      <w:t>n</w:t>
    </w:r>
    <w:r>
      <w:rPr>
        <w:rFonts w:ascii="Garamond" w:eastAsia="Garamond" w:hAnsi="Garamond" w:cs="Garamond"/>
        <w:color w:val="000000"/>
        <w:sz w:val="16"/>
        <w:szCs w:val="16"/>
      </w:rPr>
      <w:t xml:space="preserve">.º </w:t>
    </w:r>
    <w:r>
      <w:rPr>
        <w:rFonts w:ascii="Garamond" w:eastAsia="Garamond" w:hAnsi="Garamond" w:cs="Garamond"/>
        <w:sz w:val="16"/>
        <w:szCs w:val="16"/>
      </w:rPr>
      <w:t>90</w:t>
    </w:r>
    <w:r>
      <w:rPr>
        <w:noProof/>
      </w:rPr>
      <mc:AlternateContent>
        <mc:Choice Requires="wpg">
          <w:drawing>
            <wp:anchor distT="0" distB="0" distL="114300" distR="114300" simplePos="0" relativeHeight="251662336" behindDoc="0" locked="0" layoutInCell="1" hidden="0" allowOverlap="1" wp14:anchorId="563FC19F" wp14:editId="66F3DEAE">
              <wp:simplePos x="0" y="0"/>
              <wp:positionH relativeFrom="column">
                <wp:posOffset>6007100</wp:posOffset>
              </wp:positionH>
              <wp:positionV relativeFrom="paragraph">
                <wp:posOffset>12700</wp:posOffset>
              </wp:positionV>
              <wp:extent cx="22225" cy="739775"/>
              <wp:effectExtent l="0" t="0" r="0" b="0"/>
              <wp:wrapNone/>
              <wp:docPr id="2" name="Conector recto de flecha 2"/>
              <wp:cNvGraphicFramePr/>
              <a:graphic xmlns:a="http://schemas.openxmlformats.org/drawingml/2006/main">
                <a:graphicData uri="http://schemas.microsoft.com/office/word/2010/wordprocessingShape">
                  <wps:wsp>
                    <wps:cNvCnPr/>
                    <wps:spPr>
                      <a:xfrm>
                        <a:off x="5344650" y="3240000"/>
                        <a:ext cx="2700" cy="10800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6007100</wp:posOffset>
              </wp:positionH>
              <wp:positionV relativeFrom="paragraph">
                <wp:posOffset>12700</wp:posOffset>
              </wp:positionV>
              <wp:extent cx="22225" cy="739775"/>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2225" cy="739775"/>
                      </a:xfrm>
                      <a:prstGeom prst="rect"/>
                      <a:ln/>
                    </pic:spPr>
                  </pic:pic>
                </a:graphicData>
              </a:graphic>
            </wp:anchor>
          </w:drawing>
        </mc:Fallback>
      </mc:AlternateContent>
    </w:r>
  </w:p>
  <w:p w14:paraId="40C05C3F" w14:textId="77777777" w:rsidR="003D24D0" w:rsidRDefault="00000000">
    <w:pPr>
      <w:pBdr>
        <w:top w:val="nil"/>
        <w:left w:val="nil"/>
        <w:bottom w:val="nil"/>
        <w:right w:val="nil"/>
        <w:between w:val="nil"/>
      </w:pBdr>
      <w:ind w:right="575"/>
      <w:jc w:val="right"/>
      <w:rPr>
        <w:rFonts w:ascii="Garamond" w:eastAsia="Garamond" w:hAnsi="Garamond" w:cs="Garamond"/>
        <w:color w:val="000000"/>
        <w:sz w:val="16"/>
        <w:szCs w:val="16"/>
      </w:rPr>
    </w:pPr>
    <w:r>
      <w:rPr>
        <w:rFonts w:ascii="Garamond" w:eastAsia="Garamond" w:hAnsi="Garamond" w:cs="Garamond"/>
        <w:color w:val="000000"/>
        <w:sz w:val="16"/>
        <w:szCs w:val="16"/>
      </w:rPr>
      <w:t xml:space="preserve">Semestre </w:t>
    </w:r>
    <w:r>
      <w:rPr>
        <w:rFonts w:ascii="Garamond" w:eastAsia="Garamond" w:hAnsi="Garamond" w:cs="Garamond"/>
        <w:sz w:val="16"/>
        <w:szCs w:val="16"/>
      </w:rPr>
      <w:t>Jul.</w:t>
    </w:r>
    <w:r>
      <w:rPr>
        <w:rFonts w:ascii="Garamond" w:eastAsia="Garamond" w:hAnsi="Garamond" w:cs="Garamond"/>
        <w:color w:val="000000"/>
        <w:sz w:val="16"/>
        <w:szCs w:val="16"/>
      </w:rPr>
      <w:t>-</w:t>
    </w:r>
    <w:r>
      <w:rPr>
        <w:rFonts w:ascii="Garamond" w:eastAsia="Garamond" w:hAnsi="Garamond" w:cs="Garamond"/>
        <w:sz w:val="16"/>
        <w:szCs w:val="16"/>
      </w:rPr>
      <w:t>Dic</w:t>
    </w:r>
    <w:r>
      <w:rPr>
        <w:rFonts w:ascii="Garamond" w:eastAsia="Garamond" w:hAnsi="Garamond" w:cs="Garamond"/>
        <w:color w:val="000000"/>
        <w:sz w:val="16"/>
        <w:szCs w:val="16"/>
      </w:rPr>
      <w:t xml:space="preserve">. </w:t>
    </w:r>
    <w:r>
      <w:rPr>
        <w:rFonts w:ascii="Garamond" w:eastAsia="Garamond" w:hAnsi="Garamond" w:cs="Garamond"/>
        <w:sz w:val="16"/>
        <w:szCs w:val="16"/>
      </w:rPr>
      <w:t>2024</w:t>
    </w:r>
  </w:p>
  <w:p w14:paraId="2E9FAD23" w14:textId="77777777" w:rsidR="003D24D0" w:rsidRDefault="00000000">
    <w:pPr>
      <w:pBdr>
        <w:top w:val="nil"/>
        <w:left w:val="nil"/>
        <w:bottom w:val="nil"/>
        <w:right w:val="nil"/>
        <w:between w:val="nil"/>
      </w:pBdr>
      <w:spacing w:line="288" w:lineRule="auto"/>
      <w:ind w:right="575"/>
      <w:jc w:val="right"/>
      <w:rPr>
        <w:rFonts w:ascii="Garamond" w:eastAsia="Garamond" w:hAnsi="Garamond" w:cs="Garamond"/>
        <w:sz w:val="16"/>
        <w:szCs w:val="16"/>
      </w:rPr>
    </w:pPr>
    <w:r>
      <w:rPr>
        <w:rFonts w:ascii="Garamond" w:eastAsia="Garamond" w:hAnsi="Garamond" w:cs="Garamond"/>
        <w:color w:val="000000"/>
        <w:sz w:val="16"/>
        <w:szCs w:val="16"/>
      </w:rPr>
      <w:t xml:space="preserve"> ISSN: 2244-8632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7D5780" w14:textId="77777777" w:rsidR="00A86482" w:rsidRDefault="00A86482">
      <w:r>
        <w:separator/>
      </w:r>
    </w:p>
  </w:footnote>
  <w:footnote w:type="continuationSeparator" w:id="0">
    <w:p w14:paraId="285B4E49" w14:textId="77777777" w:rsidR="00A86482" w:rsidRDefault="00A86482">
      <w:r>
        <w:continuationSeparator/>
      </w:r>
    </w:p>
  </w:footnote>
  <w:footnote w:id="1">
    <w:p w14:paraId="34B2A4F5" w14:textId="77777777" w:rsidR="003D24D0" w:rsidRDefault="00000000">
      <w:pPr>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Equipo del Instituto de Investigaciones Económicas y Sociales de la Universidad Católica Andrés Bello (IIES-UCAB).</w:t>
      </w:r>
    </w:p>
  </w:footnote>
  <w:footnote w:id="2">
    <w:p w14:paraId="446F2C7C" w14:textId="77777777" w:rsidR="003D24D0" w:rsidRDefault="00000000">
      <w:pPr>
        <w:rPr>
          <w:rFonts w:ascii="Garamond" w:eastAsia="Garamond" w:hAnsi="Garamond" w:cs="Garamond"/>
          <w:sz w:val="20"/>
          <w:szCs w:val="20"/>
        </w:rPr>
      </w:pPr>
      <w:r>
        <w:rPr>
          <w:vertAlign w:val="superscript"/>
        </w:rPr>
        <w:footnoteRef/>
      </w:r>
      <w:r>
        <w:rPr>
          <w:rFonts w:ascii="Garamond" w:eastAsia="Garamond" w:hAnsi="Garamond" w:cs="Garamond"/>
          <w:sz w:val="20"/>
          <w:szCs w:val="20"/>
        </w:rPr>
        <w:t xml:space="preserve"> Aquellos interesados en profundizar en el informe de coyuntura de este periodo pueden dirigirse a </w:t>
      </w:r>
      <w:hyperlink r:id="rId1">
        <w:r>
          <w:rPr>
            <w:rFonts w:ascii="Garamond" w:eastAsia="Garamond" w:hAnsi="Garamond" w:cs="Garamond"/>
            <w:color w:val="0563C1"/>
            <w:sz w:val="20"/>
            <w:szCs w:val="20"/>
            <w:u w:val="single"/>
          </w:rPr>
          <w:t>https://www.ucab.edu.ve/investigacion/centros-e-institutos-de-investigacion/iies/informes-de-coyuntura/</w:t>
        </w:r>
      </w:hyperlink>
      <w:r>
        <w:rPr>
          <w:rFonts w:ascii="Garamond" w:eastAsia="Garamond" w:hAnsi="Garamond" w:cs="Garamond"/>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57315" w14:textId="77777777" w:rsidR="001157B6" w:rsidRDefault="001157B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62A15" w14:textId="77777777" w:rsidR="003D24D0" w:rsidRDefault="00000000">
    <w:pPr>
      <w:rPr>
        <w:rFonts w:ascii="Garamond" w:eastAsia="Garamond" w:hAnsi="Garamond" w:cs="Garamond"/>
        <w:i/>
        <w:color w:val="000000"/>
        <w:sz w:val="22"/>
        <w:szCs w:val="22"/>
      </w:rPr>
    </w:pPr>
    <w:r>
      <w:rPr>
        <w:rFonts w:ascii="Garamond" w:eastAsia="Garamond" w:hAnsi="Garamond" w:cs="Garamond"/>
        <w:i/>
        <w:sz w:val="22"/>
        <w:szCs w:val="22"/>
      </w:rPr>
      <w:t>Indicadores</w:t>
    </w:r>
  </w:p>
  <w:p w14:paraId="1EA93CAD" w14:textId="77777777" w:rsidR="003D24D0" w:rsidRDefault="00000000">
    <w:pPr>
      <w:pBdr>
        <w:top w:val="nil"/>
        <w:left w:val="nil"/>
        <w:bottom w:val="nil"/>
        <w:right w:val="nil"/>
        <w:between w:val="nil"/>
      </w:pBdr>
      <w:jc w:val="center"/>
      <w:rPr>
        <w:rFonts w:ascii="Garamond" w:eastAsia="Garamond" w:hAnsi="Garamond" w:cs="Garamond"/>
        <w:i/>
        <w:color w:val="000000"/>
        <w:sz w:val="22"/>
        <w:szCs w:val="22"/>
      </w:rPr>
    </w:pPr>
    <w:r>
      <w:rPr>
        <w:noProof/>
      </w:rPr>
      <mc:AlternateContent>
        <mc:Choice Requires="wpg">
          <w:drawing>
            <wp:anchor distT="0" distB="0" distL="114300" distR="114300" simplePos="0" relativeHeight="251658240" behindDoc="0" locked="0" layoutInCell="1" hidden="0" allowOverlap="1" wp14:anchorId="33330348" wp14:editId="4711A351">
              <wp:simplePos x="0" y="0"/>
              <wp:positionH relativeFrom="column">
                <wp:posOffset>38101</wp:posOffset>
              </wp:positionH>
              <wp:positionV relativeFrom="paragraph">
                <wp:posOffset>38100</wp:posOffset>
              </wp:positionV>
              <wp:extent cx="6229350" cy="22224"/>
              <wp:effectExtent l="0" t="0" r="0" b="0"/>
              <wp:wrapNone/>
              <wp:docPr id="3" name="Conector recto de flecha 3"/>
              <wp:cNvGraphicFramePr/>
              <a:graphic xmlns:a="http://schemas.openxmlformats.org/drawingml/2006/main">
                <a:graphicData uri="http://schemas.microsoft.com/office/word/2010/wordprocessingShape">
                  <wps:wsp>
                    <wps:cNvCnPr/>
                    <wps:spPr>
                      <a:xfrm rot="10800000">
                        <a:off x="2236088" y="3780000"/>
                        <a:ext cx="6219825"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38100</wp:posOffset>
              </wp:positionV>
              <wp:extent cx="6229350" cy="22224"/>
              <wp:effectExtent b="0" l="0" r="0" t="0"/>
              <wp:wrapNone/>
              <wp:docPr id="3"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6229350" cy="22224"/>
                      </a:xfrm>
                      <a:prstGeom prst="rect"/>
                      <a:ln/>
                    </pic:spPr>
                  </pic:pic>
                </a:graphicData>
              </a:graphic>
            </wp:anchor>
          </w:drawing>
        </mc:Fallback>
      </mc:AlternateContent>
    </w:r>
  </w:p>
  <w:p w14:paraId="5D89728A" w14:textId="77777777" w:rsidR="003D24D0" w:rsidRDefault="003D24D0">
    <w:pPr>
      <w:pBdr>
        <w:top w:val="nil"/>
        <w:left w:val="nil"/>
        <w:bottom w:val="nil"/>
        <w:right w:val="nil"/>
        <w:between w:val="nil"/>
      </w:pBdr>
      <w:ind w:right="143"/>
      <w:rPr>
        <w:rFonts w:ascii="Garamond" w:eastAsia="Garamond" w:hAnsi="Garamond" w:cs="Garamond"/>
        <w:smallCaps/>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40F92" w14:textId="364C98A7" w:rsidR="003D24D0" w:rsidRDefault="00000000">
    <w:pPr>
      <w:ind w:left="142"/>
      <w:rPr>
        <w:rFonts w:ascii="Garamond" w:eastAsia="Garamond" w:hAnsi="Garamond" w:cs="Garamond"/>
        <w:color w:val="000000"/>
        <w:sz w:val="15"/>
        <w:szCs w:val="15"/>
      </w:rPr>
    </w:pPr>
    <w:r>
      <w:rPr>
        <w:noProof/>
      </w:rPr>
      <w:drawing>
        <wp:anchor distT="0" distB="0" distL="114300" distR="114300" simplePos="0" relativeHeight="251659264" behindDoc="0" locked="0" layoutInCell="1" hidden="0" allowOverlap="1" wp14:anchorId="15971A82" wp14:editId="60E0B947">
          <wp:simplePos x="0" y="0"/>
          <wp:positionH relativeFrom="column">
            <wp:posOffset>5463540</wp:posOffset>
          </wp:positionH>
          <wp:positionV relativeFrom="paragraph">
            <wp:posOffset>0</wp:posOffset>
          </wp:positionV>
          <wp:extent cx="838200" cy="298450"/>
          <wp:effectExtent l="0" t="0" r="0" b="0"/>
          <wp:wrapSquare wrapText="bothSides" distT="0" distB="0" distL="114300" distR="114300"/>
          <wp:docPr id="5" name="image1.png" descr="Creative Commons License"/>
          <wp:cNvGraphicFramePr/>
          <a:graphic xmlns:a="http://schemas.openxmlformats.org/drawingml/2006/main">
            <a:graphicData uri="http://schemas.openxmlformats.org/drawingml/2006/picture">
              <pic:pic xmlns:pic="http://schemas.openxmlformats.org/drawingml/2006/picture">
                <pic:nvPicPr>
                  <pic:cNvPr id="0" name="image1.png" descr="Creative Commons License"/>
                  <pic:cNvPicPr preferRelativeResize="0"/>
                </pic:nvPicPr>
                <pic:blipFill>
                  <a:blip r:embed="rId1"/>
                  <a:srcRect/>
                  <a:stretch>
                    <a:fillRect/>
                  </a:stretch>
                </pic:blipFill>
                <pic:spPr>
                  <a:xfrm>
                    <a:off x="0" y="0"/>
                    <a:ext cx="838200" cy="298450"/>
                  </a:xfrm>
                  <a:prstGeom prst="rect">
                    <a:avLst/>
                  </a:prstGeom>
                  <a:ln/>
                </pic:spPr>
              </pic:pic>
            </a:graphicData>
          </a:graphic>
        </wp:anchor>
      </w:drawing>
    </w:r>
  </w:p>
  <w:p w14:paraId="02D61D8C" w14:textId="77777777" w:rsidR="003D24D0" w:rsidRDefault="00000000">
    <w:pPr>
      <w:ind w:left="142"/>
      <w:rPr>
        <w:rFonts w:ascii="Garamond" w:eastAsia="Garamond" w:hAnsi="Garamond" w:cs="Garamond"/>
        <w:color w:val="000000"/>
        <w:sz w:val="15"/>
        <w:szCs w:val="15"/>
      </w:rPr>
    </w:pPr>
    <w:r>
      <w:rPr>
        <w:rFonts w:ascii="Garamond" w:eastAsia="Garamond" w:hAnsi="Garamond" w:cs="Garamond"/>
        <w:color w:val="000000"/>
        <w:sz w:val="15"/>
        <w:szCs w:val="15"/>
      </w:rPr>
      <w:t xml:space="preserve">Pp. </w:t>
    </w:r>
    <w:r>
      <w:rPr>
        <w:rFonts w:ascii="Garamond" w:eastAsia="Garamond" w:hAnsi="Garamond" w:cs="Garamond"/>
        <w:sz w:val="15"/>
        <w:szCs w:val="15"/>
      </w:rPr>
      <w:t xml:space="preserve">67 </w:t>
    </w:r>
    <w:r>
      <w:rPr>
        <w:rFonts w:ascii="Garamond" w:eastAsia="Garamond" w:hAnsi="Garamond" w:cs="Garamond"/>
        <w:color w:val="000000"/>
        <w:sz w:val="15"/>
        <w:szCs w:val="15"/>
      </w:rPr>
      <w:t xml:space="preserve">– </w:t>
    </w:r>
    <w:r>
      <w:rPr>
        <w:rFonts w:ascii="Garamond" w:eastAsia="Garamond" w:hAnsi="Garamond" w:cs="Garamond"/>
        <w:sz w:val="15"/>
        <w:szCs w:val="15"/>
      </w:rPr>
      <w:t>p</w:t>
    </w:r>
    <w:r>
      <w:rPr>
        <w:rFonts w:ascii="Garamond" w:eastAsia="Garamond" w:hAnsi="Garamond" w:cs="Garamond"/>
        <w:color w:val="000000"/>
        <w:sz w:val="15"/>
        <w:szCs w:val="15"/>
      </w:rPr>
      <w:t xml:space="preserve">p. </w:t>
    </w:r>
    <w:r>
      <w:rPr>
        <w:rFonts w:ascii="Garamond" w:eastAsia="Garamond" w:hAnsi="Garamond" w:cs="Garamond"/>
        <w:sz w:val="15"/>
        <w:szCs w:val="15"/>
      </w:rPr>
      <w:t>68</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4D0"/>
    <w:rsid w:val="001157B6"/>
    <w:rsid w:val="00384E86"/>
    <w:rsid w:val="003D24D0"/>
    <w:rsid w:val="00A86482"/>
  </w:rsids>
  <m:mathPr>
    <m:mathFont m:val="Cambria Math"/>
    <m:brkBin m:val="before"/>
    <m:brkBinSub m:val="--"/>
    <m:smallFrac m:val="0"/>
    <m:dispDef/>
    <m:lMargin m:val="0"/>
    <m:rMargin m:val="0"/>
    <m:defJc m:val="centerGroup"/>
    <m:wrapIndent m:val="1440"/>
    <m:intLim m:val="subSup"/>
    <m:naryLim m:val="undOvr"/>
  </m:mathPr>
  <w:themeFontLang w:val="es-VE" w:bidi="ar-SA"/>
  <w:clrSchemeMapping w:bg1="light1" w:t1="dark1" w:bg2="light2" w:t2="dark2" w:accent1="accent1" w:accent2="accent2" w:accent3="accent3" w:accent4="accent4" w:accent5="accent5" w:accent6="accent6" w:hyperlink="hyperlink" w:followedHyperlink="followedHyperlink"/>
  <w:decimalSymbol w:val=","/>
  <w:listSeparator w:val=";"/>
  <w14:docId w14:val="4F91A893"/>
  <w15:docId w15:val="{BD28BD22-B22F-4D55-A508-D6F4397C3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s-419" w:eastAsia="es-V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tabs>
        <w:tab w:val="left" w:pos="284"/>
      </w:tabs>
      <w:spacing w:after="120" w:line="360" w:lineRule="auto"/>
      <w:jc w:val="both"/>
      <w:outlineLvl w:val="0"/>
    </w:pPr>
    <w:rPr>
      <w:rFonts w:ascii="Garamond" w:eastAsia="Garamond" w:hAnsi="Garamond" w:cs="Garamond"/>
      <w:b/>
      <w:sz w:val="22"/>
      <w:szCs w:val="22"/>
    </w:rPr>
  </w:style>
  <w:style w:type="paragraph" w:styleId="Ttulo2">
    <w:name w:val="heading 2"/>
    <w:basedOn w:val="Normal"/>
    <w:next w:val="Normal"/>
    <w:uiPriority w:val="9"/>
    <w:semiHidden/>
    <w:unhideWhenUsed/>
    <w:qFormat/>
    <w:pPr>
      <w:keepNext/>
      <w:keepLines/>
      <w:spacing w:before="200"/>
      <w:outlineLvl w:val="1"/>
    </w:pPr>
    <w:rPr>
      <w:b/>
      <w:color w:val="4472C4"/>
      <w:sz w:val="26"/>
      <w:szCs w:val="26"/>
    </w:rPr>
  </w:style>
  <w:style w:type="paragraph" w:styleId="Ttulo3">
    <w:name w:val="heading 3"/>
    <w:basedOn w:val="Normal"/>
    <w:next w:val="Normal"/>
    <w:uiPriority w:val="9"/>
    <w:semiHidden/>
    <w:unhideWhenUsed/>
    <w:qFormat/>
    <w:pPr>
      <w:keepNext/>
      <w:keepLines/>
      <w:spacing w:after="120" w:line="360" w:lineRule="auto"/>
      <w:ind w:firstLine="284"/>
      <w:jc w:val="both"/>
      <w:outlineLvl w:val="2"/>
    </w:pPr>
    <w:rPr>
      <w:rFonts w:ascii="Garamond" w:eastAsia="Garamond" w:hAnsi="Garamond" w:cs="Garamond"/>
      <w:sz w:val="22"/>
      <w:szCs w:val="22"/>
    </w:rPr>
  </w:style>
  <w:style w:type="paragraph" w:styleId="Ttulo4">
    <w:name w:val="heading 4"/>
    <w:basedOn w:val="Normal"/>
    <w:next w:val="Normal"/>
    <w:uiPriority w:val="9"/>
    <w:semiHidden/>
    <w:unhideWhenUsed/>
    <w:qFormat/>
    <w:pPr>
      <w:keepNext/>
      <w:keepLines/>
      <w:spacing w:after="120"/>
      <w:ind w:left="709" w:right="709"/>
      <w:jc w:val="both"/>
      <w:outlineLvl w:val="3"/>
    </w:pPr>
    <w:rPr>
      <w:rFonts w:ascii="Garamond" w:eastAsia="Garamond" w:hAnsi="Garamond" w:cs="Garamond"/>
      <w:sz w:val="20"/>
      <w:szCs w:val="20"/>
    </w:rPr>
  </w:style>
  <w:style w:type="paragraph" w:styleId="Ttulo5">
    <w:name w:val="heading 5"/>
    <w:basedOn w:val="Normal"/>
    <w:next w:val="Normal"/>
    <w:uiPriority w:val="9"/>
    <w:semiHidden/>
    <w:unhideWhenUsed/>
    <w:qFormat/>
    <w:pPr>
      <w:keepNext/>
      <w:keepLines/>
      <w:spacing w:after="120"/>
      <w:ind w:left="284"/>
      <w:jc w:val="both"/>
      <w:outlineLvl w:val="4"/>
    </w:pPr>
    <w:rPr>
      <w:rFonts w:ascii="Garamond" w:eastAsia="Garamond" w:hAnsi="Garamond" w:cs="Garamond"/>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88" w:lineRule="auto"/>
      <w:jc w:val="center"/>
    </w:pPr>
    <w:rPr>
      <w:rFonts w:ascii="Garamond" w:eastAsia="Garamond" w:hAnsi="Garamond" w:cs="Garamond"/>
      <w:b/>
      <w:sz w:val="32"/>
      <w:szCs w:val="32"/>
    </w:rPr>
  </w:style>
  <w:style w:type="paragraph" w:styleId="Subttulo">
    <w:name w:val="Subtitle"/>
    <w:basedOn w:val="Normal"/>
    <w:next w:val="Normal"/>
    <w:uiPriority w:val="11"/>
    <w:qFormat/>
    <w:pPr>
      <w:keepNext/>
      <w:keepLines/>
      <w:tabs>
        <w:tab w:val="left" w:pos="284"/>
      </w:tabs>
      <w:spacing w:after="120" w:line="360" w:lineRule="auto"/>
      <w:jc w:val="both"/>
    </w:pPr>
    <w:rPr>
      <w:rFonts w:ascii="Garamond" w:eastAsia="Garamond" w:hAnsi="Garamond" w:cs="Garamond"/>
      <w:b/>
    </w:rPr>
  </w:style>
  <w:style w:type="paragraph" w:styleId="Encabezado">
    <w:name w:val="header"/>
    <w:basedOn w:val="Normal"/>
    <w:link w:val="EncabezadoCar"/>
    <w:uiPriority w:val="99"/>
    <w:unhideWhenUsed/>
    <w:rsid w:val="001157B6"/>
    <w:pPr>
      <w:tabs>
        <w:tab w:val="center" w:pos="4419"/>
        <w:tab w:val="right" w:pos="8838"/>
      </w:tabs>
    </w:pPr>
  </w:style>
  <w:style w:type="character" w:customStyle="1" w:styleId="EncabezadoCar">
    <w:name w:val="Encabezado Car"/>
    <w:basedOn w:val="Fuentedeprrafopredeter"/>
    <w:link w:val="Encabezado"/>
    <w:uiPriority w:val="99"/>
    <w:rsid w:val="001157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ucab.edu.ve/investigacion/centros-e-institutos-de-investigacion/iies/informes-de-coyuntur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587</Words>
  <Characters>3232</Characters>
  <Application>Microsoft Office Word</Application>
  <DocSecurity>0</DocSecurity>
  <Lines>26</Lines>
  <Paragraphs>7</Paragraphs>
  <ScaleCrop>false</ScaleCrop>
  <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Oscar Nuñez</cp:lastModifiedBy>
  <cp:revision>2</cp:revision>
  <dcterms:created xsi:type="dcterms:W3CDTF">2025-01-07T16:39:00Z</dcterms:created>
  <dcterms:modified xsi:type="dcterms:W3CDTF">2025-01-07T16:39:00Z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2025-01-07T16:39:35Z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0c2b6ee7-7309-4bb9-ae89-79b3dda3e7f2</vt:lpwstr>
  </property>
  <property fmtid="{D5CDD505-2E9C-101B-9397-08002B2CF9AE}" pid="7" name="MSIP_Label_defa4170-0d19-0005-0004-bc88714345d2_ActionId">
    <vt:lpwstr>fd4f4246-0abb-47b8-afa8-e147fb241fad</vt:lpwstr>
  </property>
  <property fmtid="{D5CDD505-2E9C-101B-9397-08002B2CF9AE}" pid="8" name="MSIP_Label_defa4170-0d19-0005-0004-bc88714345d2_ContentBits">
    <vt:lpwstr>0</vt:lpwstr>
  </property>
</Properties>
</file>