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60823" w14:textId="77777777" w:rsidR="00F261D8" w:rsidRDefault="00F261D8">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6012F7B6" w14:textId="77777777" w:rsidR="00F261D8" w:rsidRDefault="00F261D8">
      <w:pPr>
        <w:pStyle w:val="Ttulo"/>
        <w:keepNext w:val="0"/>
        <w:keepLines w:val="0"/>
        <w:spacing w:line="240" w:lineRule="auto"/>
        <w:ind w:left="2552"/>
        <w:jc w:val="left"/>
      </w:pPr>
    </w:p>
    <w:p w14:paraId="52B5E884" w14:textId="77777777" w:rsidR="00F261D8" w:rsidRPr="00785A9F" w:rsidRDefault="00000000">
      <w:pPr>
        <w:pStyle w:val="Ttulo"/>
        <w:keepNext w:val="0"/>
        <w:keepLines w:val="0"/>
        <w:spacing w:line="240" w:lineRule="auto"/>
        <w:ind w:left="2552"/>
        <w:jc w:val="left"/>
        <w:rPr>
          <w:i/>
          <w:lang w:val="en-US"/>
        </w:rPr>
      </w:pPr>
      <w:r w:rsidRPr="00785A9F">
        <w:rPr>
          <w:lang w:val="en-US"/>
        </w:rPr>
        <w:t>Anson Au (2024).</w:t>
      </w:r>
      <w:r w:rsidRPr="00785A9F">
        <w:rPr>
          <w:i/>
          <w:lang w:val="en-US"/>
        </w:rPr>
        <w:t xml:space="preserve"> The Governance of Economic Development: Investment, Innovation and Competition in China</w:t>
      </w:r>
      <w:r>
        <w:rPr>
          <w:noProof/>
        </w:rPr>
        <w:drawing>
          <wp:anchor distT="0" distB="0" distL="0" distR="0" simplePos="0" relativeHeight="251658240" behindDoc="0" locked="0" layoutInCell="1" hidden="0" allowOverlap="1" wp14:anchorId="6644F53D" wp14:editId="7E812489">
            <wp:simplePos x="0" y="0"/>
            <wp:positionH relativeFrom="column">
              <wp:posOffset>0</wp:posOffset>
            </wp:positionH>
            <wp:positionV relativeFrom="paragraph">
              <wp:posOffset>953</wp:posOffset>
            </wp:positionV>
            <wp:extent cx="692668" cy="1038723"/>
            <wp:effectExtent l="0" t="0" r="0" b="0"/>
            <wp:wrapSquare wrapText="bothSides" distT="0" distB="0" distL="0" distR="0"/>
            <wp:docPr id="6" name="image2.jpg" descr="The Technology Trap: Capital, Labor, and Power in the Age of Automation:  Frey, Carl Benedikt: 9780691210797: Amazon.com: Books"/>
            <wp:cNvGraphicFramePr/>
            <a:graphic xmlns:a="http://schemas.openxmlformats.org/drawingml/2006/main">
              <a:graphicData uri="http://schemas.openxmlformats.org/drawingml/2006/picture">
                <pic:pic xmlns:pic="http://schemas.openxmlformats.org/drawingml/2006/picture">
                  <pic:nvPicPr>
                    <pic:cNvPr id="0" name="image2.jpg" descr="The Technology Trap: Capital, Labor, and Power in the Age of Automation:  Frey, Carl Benedikt: 9780691210797: Amazon.com: Books"/>
                    <pic:cNvPicPr preferRelativeResize="0"/>
                  </pic:nvPicPr>
                  <pic:blipFill>
                    <a:blip r:embed="rId6"/>
                    <a:srcRect t="922" b="922"/>
                    <a:stretch>
                      <a:fillRect/>
                    </a:stretch>
                  </pic:blipFill>
                  <pic:spPr>
                    <a:xfrm>
                      <a:off x="0" y="0"/>
                      <a:ext cx="692668" cy="1038723"/>
                    </a:xfrm>
                    <a:prstGeom prst="rect">
                      <a:avLst/>
                    </a:prstGeom>
                    <a:ln/>
                  </pic:spPr>
                </pic:pic>
              </a:graphicData>
            </a:graphic>
          </wp:anchor>
        </w:drawing>
      </w:r>
    </w:p>
    <w:p w14:paraId="27A60345" w14:textId="77777777" w:rsidR="00F261D8" w:rsidRPr="00785A9F" w:rsidRDefault="00F261D8">
      <w:pPr>
        <w:pStyle w:val="Ttulo"/>
        <w:keepNext w:val="0"/>
        <w:keepLines w:val="0"/>
        <w:spacing w:line="240" w:lineRule="auto"/>
        <w:ind w:left="2552"/>
        <w:jc w:val="left"/>
        <w:rPr>
          <w:i/>
          <w:lang w:val="en-US"/>
        </w:rPr>
      </w:pPr>
      <w:bookmarkStart w:id="0" w:name="_qel2o3gn9g8b" w:colFirst="0" w:colLast="0"/>
      <w:bookmarkEnd w:id="0"/>
    </w:p>
    <w:p w14:paraId="26D83673" w14:textId="77777777" w:rsidR="00F261D8" w:rsidRPr="00785A9F"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right"/>
        <w:rPr>
          <w:rFonts w:ascii="Garamond" w:eastAsia="Garamond" w:hAnsi="Garamond" w:cs="Garamond"/>
          <w:i/>
          <w:sz w:val="16"/>
          <w:szCs w:val="16"/>
          <w:lang w:val="en-US"/>
        </w:rPr>
      </w:pPr>
      <w:r w:rsidRPr="00785A9F">
        <w:rPr>
          <w:rFonts w:ascii="Garamond" w:eastAsia="Garamond" w:hAnsi="Garamond" w:cs="Garamond"/>
          <w:i/>
          <w:sz w:val="28"/>
          <w:szCs w:val="28"/>
          <w:lang w:val="en-US"/>
        </w:rPr>
        <w:t>Santiago Sosa</w:t>
      </w:r>
      <w:r>
        <w:rPr>
          <w:rFonts w:ascii="Garamond" w:eastAsia="Garamond" w:hAnsi="Garamond" w:cs="Garamond"/>
          <w:i/>
          <w:sz w:val="28"/>
          <w:szCs w:val="28"/>
          <w:vertAlign w:val="superscript"/>
        </w:rPr>
        <w:footnoteReference w:id="1"/>
      </w:r>
    </w:p>
    <w:p w14:paraId="4FAD9F16" w14:textId="77777777" w:rsidR="00F261D8" w:rsidRPr="00785A9F" w:rsidRDefault="00F261D8">
      <w:pPr>
        <w:ind w:left="2127"/>
        <w:jc w:val="right"/>
        <w:rPr>
          <w:rFonts w:ascii="Garamond" w:eastAsia="Garamond" w:hAnsi="Garamond" w:cs="Garamond"/>
          <w:b/>
          <w:sz w:val="22"/>
          <w:szCs w:val="22"/>
          <w:lang w:val="en-US"/>
        </w:rPr>
      </w:pPr>
    </w:p>
    <w:p w14:paraId="52BCE981" w14:textId="77777777" w:rsidR="00F261D8" w:rsidRPr="00785A9F" w:rsidRDefault="00000000">
      <w:pPr>
        <w:jc w:val="both"/>
        <w:rPr>
          <w:rFonts w:ascii="Garamond" w:eastAsia="Garamond" w:hAnsi="Garamond" w:cs="Garamond"/>
          <w:sz w:val="22"/>
          <w:szCs w:val="22"/>
          <w:lang w:val="en-US"/>
        </w:rPr>
      </w:pPr>
      <w:r w:rsidRPr="00785A9F">
        <w:rPr>
          <w:rFonts w:ascii="Garamond" w:eastAsia="Garamond" w:hAnsi="Garamond" w:cs="Garamond"/>
          <w:sz w:val="22"/>
          <w:szCs w:val="22"/>
          <w:lang w:val="en-US"/>
        </w:rPr>
        <w:t>Editorial: Routledge.</w:t>
      </w:r>
    </w:p>
    <w:p w14:paraId="3456E3E3" w14:textId="77777777" w:rsidR="00F261D8" w:rsidRPr="00785A9F" w:rsidRDefault="00000000">
      <w:pPr>
        <w:jc w:val="both"/>
        <w:rPr>
          <w:rFonts w:ascii="Garamond" w:eastAsia="Garamond" w:hAnsi="Garamond" w:cs="Garamond"/>
          <w:sz w:val="22"/>
          <w:szCs w:val="22"/>
          <w:lang w:val="en-US"/>
        </w:rPr>
      </w:pPr>
      <w:r w:rsidRPr="00785A9F">
        <w:rPr>
          <w:rFonts w:ascii="Garamond" w:eastAsia="Garamond" w:hAnsi="Garamond" w:cs="Garamond"/>
          <w:sz w:val="22"/>
          <w:szCs w:val="22"/>
          <w:lang w:val="en-US"/>
        </w:rPr>
        <w:t>ISBN: 978-1032505572.</w:t>
      </w:r>
    </w:p>
    <w:p w14:paraId="04715622" w14:textId="77777777" w:rsidR="00F261D8" w:rsidRDefault="00000000">
      <w:pPr>
        <w:jc w:val="both"/>
        <w:rPr>
          <w:rFonts w:ascii="Garamond" w:eastAsia="Garamond" w:hAnsi="Garamond" w:cs="Garamond"/>
          <w:sz w:val="22"/>
          <w:szCs w:val="22"/>
        </w:rPr>
      </w:pPr>
      <w:r>
        <w:rPr>
          <w:rFonts w:ascii="Garamond" w:eastAsia="Garamond" w:hAnsi="Garamond" w:cs="Garamond"/>
          <w:sz w:val="22"/>
          <w:szCs w:val="22"/>
        </w:rPr>
        <w:t>Páginas: 152.</w:t>
      </w:r>
    </w:p>
    <w:p w14:paraId="0B020197" w14:textId="77777777" w:rsidR="00F261D8" w:rsidRDefault="00F261D8">
      <w:pPr>
        <w:jc w:val="both"/>
        <w:rPr>
          <w:rFonts w:ascii="Garamond" w:eastAsia="Garamond" w:hAnsi="Garamond" w:cs="Garamond"/>
          <w:b/>
          <w:sz w:val="22"/>
          <w:szCs w:val="22"/>
        </w:rPr>
      </w:pPr>
    </w:p>
    <w:p w14:paraId="6703A9E9" w14:textId="77777777" w:rsidR="00F261D8"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Dentro de la economía global moderna el peso y relevancia de China son indiscutibles. Siendo la segunda economía del mundo, sus exportaciones llegan a 3.73 trillones de dólares estadounidenses (</w:t>
      </w:r>
      <w:proofErr w:type="spellStart"/>
      <w:r>
        <w:rPr>
          <w:rFonts w:ascii="Garamond" w:eastAsia="Garamond" w:hAnsi="Garamond" w:cs="Garamond"/>
          <w:sz w:val="22"/>
          <w:szCs w:val="22"/>
        </w:rPr>
        <w:t>Observatory</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of</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Economic</w:t>
      </w:r>
      <w:proofErr w:type="spellEnd"/>
      <w:r>
        <w:rPr>
          <w:rFonts w:ascii="Garamond" w:eastAsia="Garamond" w:hAnsi="Garamond" w:cs="Garamond"/>
          <w:sz w:val="22"/>
          <w:szCs w:val="22"/>
        </w:rPr>
        <w:t xml:space="preserve"> </w:t>
      </w:r>
      <w:proofErr w:type="spellStart"/>
      <w:r>
        <w:rPr>
          <w:rFonts w:ascii="Garamond" w:eastAsia="Garamond" w:hAnsi="Garamond" w:cs="Garamond"/>
          <w:sz w:val="22"/>
          <w:szCs w:val="22"/>
        </w:rPr>
        <w:t>Complexity</w:t>
      </w:r>
      <w:proofErr w:type="spellEnd"/>
      <w:r>
        <w:rPr>
          <w:rFonts w:ascii="Garamond" w:eastAsia="Garamond" w:hAnsi="Garamond" w:cs="Garamond"/>
          <w:sz w:val="22"/>
          <w:szCs w:val="22"/>
        </w:rPr>
        <w:t>, 2024), colocándola en el primer lugar a nivel mundial. La variedad de estas exportaciones también es impresionante; desde celulares de última generación, carros eléctricos y semiconductores, el alto grado de complejidad tecnológica de estos productos es abrumador. Sin embargo, este no ha sido siempre el caso: la China moderna de hoy en día es radicalmente distinta de la que existía hace 50 años. Durante este periodo, tuvo una transformación que se puede calificar como un «milagro económico», pasando de un país principalmente agrario a una potencia tecnológica mundial, con una tasa de crecimiento promedio para el periodo de 8,93 % anual. A pesar de este progreso, en los años más recientes ha habido dudas sobre si este ritmo de crecimiento es sostenible, con temores de que está cerca de su límite, y el futuro que le espera es uno similar al de las otras economías desarrolladas, donde la posibilidad de estancamiento es alta.</w:t>
      </w:r>
    </w:p>
    <w:p w14:paraId="129A485B" w14:textId="77777777" w:rsidR="00F261D8"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Es dentro de esta discusión donde </w:t>
      </w:r>
      <w:proofErr w:type="spellStart"/>
      <w:r>
        <w:rPr>
          <w:rFonts w:ascii="Garamond" w:eastAsia="Garamond" w:hAnsi="Garamond" w:cs="Garamond"/>
          <w:sz w:val="22"/>
          <w:szCs w:val="22"/>
        </w:rPr>
        <w:t>Anson</w:t>
      </w:r>
      <w:proofErr w:type="spellEnd"/>
      <w:r>
        <w:rPr>
          <w:rFonts w:ascii="Garamond" w:eastAsia="Garamond" w:hAnsi="Garamond" w:cs="Garamond"/>
          <w:sz w:val="22"/>
          <w:szCs w:val="22"/>
        </w:rPr>
        <w:t xml:space="preserve"> Au ubica su libro. Se plantea el objetivo de familiarizar al lector con el modelo de desarrollo de China, con sus motivaciones y objetivos que lo rigen, los cuales, según el autor, siguen siendo los mismos en el presente. También busca identificar las barreras al crecimiento que se enfrenta la nación asiática, así como contextualizar las intervenciones realizadas por el Gobierno en el sector del internet. La idea es dar a entender que las críticas y advertencias hechas hacia el modelo de crecimiento producto de los hechos recientes de 2020 en adelante se encuentran erradas por una simple cuestión de sesgos y poca comprensión de cómo opera China. Este libro busca remediar este aspecto y dar una visión distinta a la discusión sobre el presente y el futuro posible del país.</w:t>
      </w:r>
    </w:p>
    <w:p w14:paraId="43D69670" w14:textId="77777777" w:rsidR="00F261D8"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El libro se encuentra dividido en siete capítulos. El primero sirve de introducción y da una breve historia de las políticas implementadas y del proceso de desarrollo de China hasta el presente. En el segundo, estudia distintas «variedades» de capitalismo y cómo entra dentro de estas categorías el modelo de capitalismo chino, donde también establece los fundamentos ideológicos del mismo en materia de gobernanza económica. Con el tercer capítulo </w:t>
      </w:r>
      <w:r>
        <w:rPr>
          <w:rFonts w:ascii="Garamond" w:eastAsia="Garamond" w:hAnsi="Garamond" w:cs="Garamond"/>
          <w:sz w:val="22"/>
          <w:szCs w:val="22"/>
        </w:rPr>
        <w:lastRenderedPageBreak/>
        <w:t>pasamos de la descripción del modelo económico-institucional al área de identificación de las barreras que pueden causar problemas para el crecimiento sostenido de la economía china. El autor señala cómo la primera de ellas es el nivel de desigualdad; la segunda, el nivel de deuda soberana y la tercera y última es una tasa de crecimiento baja. Seguido a esto, en el cuarto capítulo se presenta un análisis de las distintas medidas de desigualdad y de pobreza, donde Au hace un aporte a la literatura. En el quinto capítulo se pasa a estudiar las intervenciones recientes de las empresas del sector de internet, y cómo, según él, estas no son una preocupación para el futuro desempeño del sector. Por otro lado, en el sexto capítulo se estudia el nivel de penetración del uso del internet en China; a través de distintas estimaciones, el autor demuestra que los altos niveles reportados por las agencias oficiales se encuentran distorsionados por el instrumento usado para recopilar la información, y que existen patrones en la adopción vinculados con la edad, la localidad de origen y el sexo. Finalmente, el séptimo capítulo presenta una breve conclusión para el libro.</w:t>
      </w:r>
    </w:p>
    <w:p w14:paraId="1A561630" w14:textId="77777777" w:rsidR="00F261D8"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Para aquellos que buscan una introducción al estudio del modelo chino y su desenvolvimiento, este libro sirve para contextualizar y adquirir una noción básica sobre cómo los chinos perciben su modelo y cómo enfrentan los problemas que surgen en las economías modernas. El problema que tiene es que pasa mucha de su extensión buscando combatir las críticas que han surgido con respecto a ciertas decisiones del Gobierno chino. No solo esto, sino que el autor en ningún punto hace referencia a qué personas, artículos y trabajos donde se plantean estos argumentos «errados» está respondiendo con su obra, lo cual dificulta al lector a la hora de determinar si la evidencia expuesta refuta o no estos argumentos. Probablemente, el más notorio de estos es lo que Au denomina como la «obsesión de control del Estado chino», que las personas de occidente le atribuyen a este organismo. Sin embargo, en su búsqueda de refutar esta percepción, nuestro autor no logra presentar argumentos que permitan eliminar completamente esta noción. Si bien es claro que el Gobierno no controla hasta el último detalle de la economía y sociedad chinas, la imagen que se obtiene al leer este libro es la de un Estado que tiene un cierto nivel de preocupación con respecto a mantener el control del rumbo del desarrollo dentro de los criterios que este considera que son los correctos.</w:t>
      </w:r>
    </w:p>
    <w:p w14:paraId="739DFE8F" w14:textId="77777777" w:rsidR="00F261D8"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Con respecto a las barreras que Au identifica, llama la atención que no comente ni mencione los problemas demográficos a los cuales el país se va a tener que enfrentar en un futuro próximo. Dentro de su discusión de la desigualdad, su propuesta y su aporte es medir la pobreza con un índice de costo de vida, además de establecer las limitaciones del índice de Gini como indicador. Esto hace que el cuarto capítulo se sienta fuera de lugar dentro del resto del libro, ya que parece más bien una monografía sobre medición de desigualdad y pobreza. En cambio, el quinto capítulo está completamente dedicado a dar a entender las razones y motivaciones de las intervenciones del Estado en empresas como Alibaba y Tencent, las cuales, según el autor, fueron motivadas por preocupaciones relacionadas al poder de mercado y prácticas anticompetitivas. La evidencia presentada en el capítulo permite ver que hay un componente de esto en la motivación; sin embargo, no responde a dudas con respecto al </w:t>
      </w:r>
      <w:r>
        <w:rPr>
          <w:rFonts w:ascii="Garamond" w:eastAsia="Garamond" w:hAnsi="Garamond" w:cs="Garamond"/>
          <w:i/>
          <w:sz w:val="22"/>
          <w:szCs w:val="22"/>
        </w:rPr>
        <w:t xml:space="preserve">timing </w:t>
      </w:r>
      <w:r>
        <w:rPr>
          <w:rFonts w:ascii="Garamond" w:eastAsia="Garamond" w:hAnsi="Garamond" w:cs="Garamond"/>
          <w:sz w:val="22"/>
          <w:szCs w:val="22"/>
        </w:rPr>
        <w:t xml:space="preserve">de las intervenciones. Au comenta que las investigaciones comenzaron después del discurso de Jack Ma donde criticó al Gobierno chino, lo </w:t>
      </w:r>
      <w:r>
        <w:rPr>
          <w:rFonts w:ascii="Garamond" w:eastAsia="Garamond" w:hAnsi="Garamond" w:cs="Garamond"/>
          <w:sz w:val="22"/>
          <w:szCs w:val="22"/>
        </w:rPr>
        <w:lastRenderedPageBreak/>
        <w:t>cual se hace aún más extraño cuando él mismo hace énfasis en que la mayoría de las infracciones ocurrieron en el periodo 2010-2020. Esto genera la pregunta de qué estaban haciendo las agencias reguladoras del sector durante todo ese lapso, y por qué fue precisamente después del discurso de Ma que se decidió realizar una investigación. Que no se explique esto pone en duda que la decisión de la intervención del sector no haya tenido un componente político en su motivación.</w:t>
      </w:r>
    </w:p>
    <w:p w14:paraId="0F3BACF6" w14:textId="77777777" w:rsidR="00F261D8" w:rsidRDefault="00000000">
      <w:pPr>
        <w:spacing w:after="120" w:line="360" w:lineRule="auto"/>
        <w:ind w:firstLine="283"/>
        <w:jc w:val="both"/>
        <w:rPr>
          <w:rFonts w:ascii="Garamond" w:eastAsia="Garamond" w:hAnsi="Garamond" w:cs="Garamond"/>
          <w:sz w:val="22"/>
          <w:szCs w:val="22"/>
        </w:rPr>
      </w:pPr>
      <w:r>
        <w:rPr>
          <w:rFonts w:ascii="Garamond" w:eastAsia="Garamond" w:hAnsi="Garamond" w:cs="Garamond"/>
          <w:sz w:val="22"/>
          <w:szCs w:val="22"/>
        </w:rPr>
        <w:t xml:space="preserve">En su interés de combatir los sesgos de autores de occidente, el autor demuestra claramente los suyos; esto no invalida lo expuesto en el texto, pero es un aspecto </w:t>
      </w:r>
      <w:proofErr w:type="gramStart"/>
      <w:r>
        <w:rPr>
          <w:rFonts w:ascii="Garamond" w:eastAsia="Garamond" w:hAnsi="Garamond" w:cs="Garamond"/>
          <w:sz w:val="22"/>
          <w:szCs w:val="22"/>
        </w:rPr>
        <w:t>a</w:t>
      </w:r>
      <w:proofErr w:type="gramEnd"/>
      <w:r>
        <w:rPr>
          <w:rFonts w:ascii="Garamond" w:eastAsia="Garamond" w:hAnsi="Garamond" w:cs="Garamond"/>
          <w:sz w:val="22"/>
          <w:szCs w:val="22"/>
        </w:rPr>
        <w:t xml:space="preserve"> tener en cuenta cuando se lee la obra. De todos modos, como se mencionó anteriormente, el libro es una buena muestra de una perspectiva china sobre los objetivos del desarrollo de ese país, y cómo el Gobierno tiene un papel fundamental en la determinación del objetivo final para el cual debe llevar dicho desarrollo. A su vez, permite generar reflexión sobre la naturaleza de los distintos sistemas de capitalismo que existen en el planeta actualmente y cuáles son algunos de los fallos y problemas inherentes a ellos. De esta manera podemos ver con otra perspectiva esa visión más occidental del mundo a la cual estamos acostumbrados.</w:t>
      </w:r>
      <w:r>
        <w:br w:type="page"/>
      </w:r>
    </w:p>
    <w:p w14:paraId="7F671A54" w14:textId="77777777" w:rsidR="00F261D8" w:rsidRPr="00785A9F" w:rsidRDefault="00000000">
      <w:pPr>
        <w:spacing w:after="120" w:line="360" w:lineRule="auto"/>
        <w:jc w:val="both"/>
        <w:rPr>
          <w:rFonts w:ascii="Garamond" w:eastAsia="Garamond" w:hAnsi="Garamond" w:cs="Garamond"/>
          <w:b/>
          <w:sz w:val="22"/>
          <w:szCs w:val="22"/>
          <w:lang w:val="en-US"/>
        </w:rPr>
      </w:pPr>
      <w:proofErr w:type="spellStart"/>
      <w:r w:rsidRPr="00785A9F">
        <w:rPr>
          <w:rFonts w:ascii="Garamond" w:eastAsia="Garamond" w:hAnsi="Garamond" w:cs="Garamond"/>
          <w:b/>
          <w:sz w:val="22"/>
          <w:szCs w:val="22"/>
          <w:lang w:val="en-US"/>
        </w:rPr>
        <w:lastRenderedPageBreak/>
        <w:t>REFERENCIAS</w:t>
      </w:r>
      <w:proofErr w:type="spellEnd"/>
      <w:r w:rsidRPr="00785A9F">
        <w:rPr>
          <w:rFonts w:ascii="Garamond" w:eastAsia="Garamond" w:hAnsi="Garamond" w:cs="Garamond"/>
          <w:b/>
          <w:sz w:val="22"/>
          <w:szCs w:val="22"/>
          <w:lang w:val="en-US"/>
        </w:rPr>
        <w:t xml:space="preserve"> </w:t>
      </w:r>
      <w:proofErr w:type="spellStart"/>
      <w:r w:rsidRPr="00785A9F">
        <w:rPr>
          <w:rFonts w:ascii="Garamond" w:eastAsia="Garamond" w:hAnsi="Garamond" w:cs="Garamond"/>
          <w:b/>
          <w:sz w:val="22"/>
          <w:szCs w:val="22"/>
          <w:lang w:val="en-US"/>
        </w:rPr>
        <w:t>BIBLIOGRÁFICAS</w:t>
      </w:r>
      <w:proofErr w:type="spellEnd"/>
    </w:p>
    <w:p w14:paraId="3169F4DD" w14:textId="77777777" w:rsidR="00F261D8" w:rsidRPr="00785A9F" w:rsidRDefault="00000000" w:rsidP="00785A9F">
      <w:pPr>
        <w:spacing w:after="120"/>
        <w:ind w:left="284" w:hanging="284"/>
        <w:jc w:val="both"/>
        <w:rPr>
          <w:rFonts w:ascii="Garamond" w:eastAsia="Garamond" w:hAnsi="Garamond" w:cs="Garamond"/>
          <w:sz w:val="22"/>
          <w:szCs w:val="22"/>
          <w:lang w:val="en-US"/>
        </w:rPr>
      </w:pPr>
      <w:r w:rsidRPr="00785A9F">
        <w:rPr>
          <w:rFonts w:ascii="Garamond" w:eastAsia="Garamond" w:hAnsi="Garamond" w:cs="Garamond"/>
          <w:sz w:val="22"/>
          <w:szCs w:val="22"/>
          <w:lang w:val="en-US"/>
        </w:rPr>
        <w:t xml:space="preserve">Au, A. (2024). </w:t>
      </w:r>
      <w:r w:rsidRPr="00785A9F">
        <w:rPr>
          <w:rFonts w:ascii="Garamond" w:eastAsia="Garamond" w:hAnsi="Garamond" w:cs="Garamond"/>
          <w:i/>
          <w:sz w:val="22"/>
          <w:szCs w:val="22"/>
          <w:lang w:val="en-US"/>
        </w:rPr>
        <w:t>The governance of economic development: Investment, innovation and competition in China</w:t>
      </w:r>
      <w:r w:rsidRPr="00785A9F">
        <w:rPr>
          <w:rFonts w:ascii="Garamond" w:eastAsia="Garamond" w:hAnsi="Garamond" w:cs="Garamond"/>
          <w:sz w:val="22"/>
          <w:szCs w:val="22"/>
          <w:lang w:val="en-US"/>
        </w:rPr>
        <w:t>. Routledge.</w:t>
      </w:r>
    </w:p>
    <w:p w14:paraId="48E38EF0" w14:textId="77777777" w:rsidR="00F261D8" w:rsidRPr="00785A9F" w:rsidRDefault="00000000" w:rsidP="00785A9F">
      <w:pPr>
        <w:spacing w:after="120"/>
        <w:ind w:left="284" w:hanging="284"/>
        <w:jc w:val="both"/>
        <w:rPr>
          <w:rFonts w:ascii="Garamond" w:eastAsia="Garamond" w:hAnsi="Garamond" w:cs="Garamond"/>
          <w:color w:val="1155CC"/>
          <w:sz w:val="22"/>
          <w:szCs w:val="22"/>
          <w:u w:val="single"/>
          <w:lang w:val="en-US"/>
        </w:rPr>
      </w:pPr>
      <w:r w:rsidRPr="00785A9F">
        <w:rPr>
          <w:rFonts w:ascii="Garamond" w:eastAsia="Garamond" w:hAnsi="Garamond" w:cs="Garamond"/>
          <w:sz w:val="22"/>
          <w:szCs w:val="22"/>
          <w:lang w:val="en-US"/>
        </w:rPr>
        <w:t xml:space="preserve">Roberts, D. (2021, 21 de </w:t>
      </w:r>
      <w:proofErr w:type="spellStart"/>
      <w:r w:rsidRPr="00785A9F">
        <w:rPr>
          <w:rFonts w:ascii="Garamond" w:eastAsia="Garamond" w:hAnsi="Garamond" w:cs="Garamond"/>
          <w:sz w:val="22"/>
          <w:szCs w:val="22"/>
          <w:lang w:val="en-US"/>
        </w:rPr>
        <w:t>diciembre</w:t>
      </w:r>
      <w:proofErr w:type="spellEnd"/>
      <w:r w:rsidRPr="00785A9F">
        <w:rPr>
          <w:rFonts w:ascii="Garamond" w:eastAsia="Garamond" w:hAnsi="Garamond" w:cs="Garamond"/>
          <w:sz w:val="22"/>
          <w:szCs w:val="22"/>
          <w:lang w:val="en-US"/>
        </w:rPr>
        <w:t xml:space="preserve">). Can China’s Communist Party defuse its demographic time bomb? </w:t>
      </w:r>
      <w:r w:rsidRPr="00785A9F">
        <w:rPr>
          <w:rFonts w:ascii="Garamond" w:eastAsia="Garamond" w:hAnsi="Garamond" w:cs="Garamond"/>
          <w:i/>
          <w:sz w:val="22"/>
          <w:szCs w:val="22"/>
          <w:lang w:val="en-US"/>
        </w:rPr>
        <w:t>Atlantic Council</w:t>
      </w:r>
      <w:r w:rsidRPr="00785A9F">
        <w:rPr>
          <w:rFonts w:ascii="Garamond" w:eastAsia="Garamond" w:hAnsi="Garamond" w:cs="Garamond"/>
          <w:sz w:val="22"/>
          <w:szCs w:val="22"/>
          <w:lang w:val="en-US"/>
        </w:rPr>
        <w:t>.</w:t>
      </w:r>
      <w:hyperlink r:id="rId7">
        <w:r w:rsidRPr="00785A9F">
          <w:rPr>
            <w:rFonts w:ascii="Garamond" w:eastAsia="Garamond" w:hAnsi="Garamond" w:cs="Garamond"/>
            <w:sz w:val="22"/>
            <w:szCs w:val="22"/>
            <w:lang w:val="en-US"/>
          </w:rPr>
          <w:t xml:space="preserve"> </w:t>
        </w:r>
      </w:hyperlink>
      <w:hyperlink r:id="rId8">
        <w:r w:rsidRPr="00785A9F">
          <w:rPr>
            <w:rFonts w:ascii="Garamond" w:eastAsia="Garamond" w:hAnsi="Garamond" w:cs="Garamond"/>
            <w:color w:val="1155CC"/>
            <w:sz w:val="22"/>
            <w:szCs w:val="22"/>
            <w:u w:val="single"/>
            <w:lang w:val="en-US"/>
          </w:rPr>
          <w:t>https://www.atlanticcouncil.org/blogs/new-atlanticist/can-chinas-communist-party-defuse-its-demographic-time-bomb/</w:t>
        </w:r>
      </w:hyperlink>
    </w:p>
    <w:p w14:paraId="5CEF600F" w14:textId="77777777" w:rsidR="00F261D8" w:rsidRDefault="00000000" w:rsidP="00785A9F">
      <w:pPr>
        <w:spacing w:after="120"/>
        <w:ind w:left="284" w:hanging="284"/>
        <w:jc w:val="both"/>
        <w:rPr>
          <w:rFonts w:ascii="Garamond" w:eastAsia="Garamond" w:hAnsi="Garamond" w:cs="Garamond"/>
          <w:sz w:val="22"/>
          <w:szCs w:val="22"/>
        </w:rPr>
      </w:pPr>
      <w:r w:rsidRPr="00785A9F">
        <w:rPr>
          <w:rFonts w:ascii="Garamond" w:eastAsia="Garamond" w:hAnsi="Garamond" w:cs="Garamond"/>
          <w:sz w:val="22"/>
          <w:szCs w:val="22"/>
          <w:lang w:val="en-US"/>
        </w:rPr>
        <w:t xml:space="preserve">The Observatory of Economic Complexity (2024). China (CHN): Exports, imports, and trade partners. </w:t>
      </w:r>
      <w:proofErr w:type="spellStart"/>
      <w:r>
        <w:rPr>
          <w:rFonts w:ascii="Garamond" w:eastAsia="Garamond" w:hAnsi="Garamond" w:cs="Garamond"/>
          <w:i/>
          <w:sz w:val="22"/>
          <w:szCs w:val="22"/>
        </w:rPr>
        <w:t>OEC</w:t>
      </w:r>
      <w:proofErr w:type="spellEnd"/>
      <w:r>
        <w:rPr>
          <w:rFonts w:ascii="Garamond" w:eastAsia="Garamond" w:hAnsi="Garamond" w:cs="Garamond"/>
          <w:sz w:val="22"/>
          <w:szCs w:val="22"/>
        </w:rPr>
        <w:t>.</w:t>
      </w:r>
      <w:hyperlink r:id="rId9">
        <w:r>
          <w:rPr>
            <w:rFonts w:ascii="Garamond" w:eastAsia="Garamond" w:hAnsi="Garamond" w:cs="Garamond"/>
            <w:sz w:val="22"/>
            <w:szCs w:val="22"/>
          </w:rPr>
          <w:t xml:space="preserve"> </w:t>
        </w:r>
      </w:hyperlink>
      <w:hyperlink r:id="rId10">
        <w:r>
          <w:rPr>
            <w:rFonts w:ascii="Garamond" w:eastAsia="Garamond" w:hAnsi="Garamond" w:cs="Garamond"/>
            <w:color w:val="1155CC"/>
            <w:sz w:val="22"/>
            <w:szCs w:val="22"/>
            <w:u w:val="single"/>
          </w:rPr>
          <w:t>https://oec.world/en/profile/country/chn</w:t>
        </w:r>
      </w:hyperlink>
    </w:p>
    <w:sectPr w:rsidR="00F261D8">
      <w:headerReference w:type="default" r:id="rId11"/>
      <w:footerReference w:type="even" r:id="rId12"/>
      <w:footerReference w:type="default" r:id="rId13"/>
      <w:headerReference w:type="first" r:id="rId14"/>
      <w:footerReference w:type="first" r:id="rId15"/>
      <w:pgSz w:w="12240" w:h="15840"/>
      <w:pgMar w:top="713" w:right="1041" w:bottom="1417" w:left="1275" w:header="714" w:footer="566" w:gutter="0"/>
      <w:pgNumType w:start="6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00DF3" w14:textId="77777777" w:rsidR="009A7F7D" w:rsidRDefault="009A7F7D">
      <w:r>
        <w:separator/>
      </w:r>
    </w:p>
  </w:endnote>
  <w:endnote w:type="continuationSeparator" w:id="0">
    <w:p w14:paraId="3D28DD44" w14:textId="77777777" w:rsidR="009A7F7D" w:rsidRDefault="009A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2B413D0-FC7F-46D8-B9B6-7E851F483F19}"/>
    <w:embedBold r:id="rId2" w:fontKey="{7509695A-7F2B-4B76-8958-C328F7FC8F9E}"/>
    <w:embedItalic r:id="rId3" w:fontKey="{A60A1D4C-9AFF-4FA7-822E-9ADD39BA469D}"/>
    <w:embedBoldItalic r:id="rId4" w:fontKey="{62D7E8E1-E7E1-43CA-B843-ABEB24808EE5}"/>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5" w:fontKey="{2D0A3C8E-657D-4F01-85CE-8A9664DE43B5}"/>
    <w:embedBold r:id="rId6" w:fontKey="{69693B0A-8439-4A0A-92DD-74116CFE0150}"/>
  </w:font>
  <w:font w:name="Calibri">
    <w:panose1 w:val="020F0502020204030204"/>
    <w:charset w:val="00"/>
    <w:family w:val="swiss"/>
    <w:pitch w:val="variable"/>
    <w:sig w:usb0="E4002EFF" w:usb1="C200247B" w:usb2="00000009" w:usb3="00000000" w:csb0="000001FF" w:csb1="00000000"/>
    <w:embedRegular r:id="rId7" w:fontKey="{20CCDCFD-EA5A-440F-86AD-0053DCBA06D2}"/>
  </w:font>
  <w:font w:name="Cambria">
    <w:panose1 w:val="02040503050406030204"/>
    <w:charset w:val="00"/>
    <w:family w:val="roman"/>
    <w:pitch w:val="variable"/>
    <w:sig w:usb0="E00006FF" w:usb1="420024FF" w:usb2="02000000" w:usb3="00000000" w:csb0="0000019F" w:csb1="00000000"/>
    <w:embedRegular r:id="rId8" w:fontKey="{0B68274C-70C4-42CB-A779-5552BBE421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AAE2B" w14:textId="77777777" w:rsidR="00F261D8"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E89BD6" w14:textId="77777777" w:rsidR="00F261D8" w:rsidRDefault="00F261D8">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1EA0A" w14:textId="77777777" w:rsidR="00F261D8"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785A9F">
      <w:rPr>
        <w:rFonts w:ascii="Garamond" w:eastAsia="Garamond" w:hAnsi="Garamond" w:cs="Garamond"/>
        <w:noProof/>
        <w:color w:val="000000"/>
        <w:sz w:val="22"/>
        <w:szCs w:val="22"/>
      </w:rPr>
      <w:t>64</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28248805" wp14:editId="1C82F66B">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470C3A47" w14:textId="77777777" w:rsidR="00F261D8"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3B249BEC" w14:textId="77777777" w:rsidR="00F261D8"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EC2A4" w14:textId="77777777" w:rsidR="00F261D8" w:rsidRDefault="00F261D8">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378DC866" w14:textId="77777777" w:rsidR="00F261D8"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5420A992" wp14:editId="04161A7D">
              <wp:simplePos x="0" y="0"/>
              <wp:positionH relativeFrom="column">
                <wp:posOffset>6019800</wp:posOffset>
              </wp:positionH>
              <wp:positionV relativeFrom="paragraph">
                <wp:posOffset>28575</wp:posOffset>
              </wp:positionV>
              <wp:extent cx="12700" cy="730250"/>
              <wp:effectExtent l="0" t="0" r="0" b="0"/>
              <wp:wrapNone/>
              <wp:docPr id="2" name="Conector recto de flecha 2"/>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554DBB15" w14:textId="77777777" w:rsidR="00F261D8"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proofErr w:type="gramStart"/>
    <w:r>
      <w:rPr>
        <w:rFonts w:ascii="Garamond" w:eastAsia="Garamond" w:hAnsi="Garamond" w:cs="Garamond"/>
        <w:sz w:val="16"/>
        <w:szCs w:val="16"/>
      </w:rPr>
      <w:t>Dic</w:t>
    </w:r>
    <w:r>
      <w:rPr>
        <w:rFonts w:ascii="Garamond" w:eastAsia="Garamond" w:hAnsi="Garamond" w:cs="Garamond"/>
        <w:color w:val="000000"/>
        <w:sz w:val="16"/>
        <w:szCs w:val="16"/>
      </w:rPr>
      <w:t>.</w:t>
    </w:r>
    <w:proofErr w:type="gramEnd"/>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220F0027" w14:textId="77777777" w:rsidR="00F261D8"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CA614" w14:textId="77777777" w:rsidR="009A7F7D" w:rsidRDefault="009A7F7D">
      <w:r>
        <w:separator/>
      </w:r>
    </w:p>
  </w:footnote>
  <w:footnote w:type="continuationSeparator" w:id="0">
    <w:p w14:paraId="65368E2B" w14:textId="77777777" w:rsidR="009A7F7D" w:rsidRDefault="009A7F7D">
      <w:r>
        <w:continuationSeparator/>
      </w:r>
    </w:p>
  </w:footnote>
  <w:footnote w:id="1">
    <w:p w14:paraId="5F02D5B8" w14:textId="77777777" w:rsidR="00F261D8"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Profesor investigador del Instituto de Investigaciones Económicas y Sociales (</w:t>
      </w:r>
      <w:proofErr w:type="spellStart"/>
      <w:r>
        <w:rPr>
          <w:rFonts w:ascii="Garamond" w:eastAsia="Garamond" w:hAnsi="Garamond" w:cs="Garamond"/>
          <w:sz w:val="20"/>
          <w:szCs w:val="20"/>
        </w:rPr>
        <w:t>IIES</w:t>
      </w:r>
      <w:proofErr w:type="spellEnd"/>
      <w:r>
        <w:rPr>
          <w:rFonts w:ascii="Garamond" w:eastAsia="Garamond" w:hAnsi="Garamond" w:cs="Garamond"/>
          <w:sz w:val="20"/>
          <w:szCs w:val="20"/>
        </w:rPr>
        <w:t>) de la Universidad Católica Andrés Bello (UCAB).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C7805" w14:textId="77777777" w:rsidR="00F261D8" w:rsidRDefault="00000000">
    <w:pPr>
      <w:rPr>
        <w:rFonts w:ascii="Garamond" w:eastAsia="Garamond" w:hAnsi="Garamond" w:cs="Garamond"/>
        <w:i/>
        <w:color w:val="000000"/>
        <w:sz w:val="22"/>
        <w:szCs w:val="22"/>
      </w:rPr>
    </w:pPr>
    <w:r>
      <w:rPr>
        <w:rFonts w:ascii="Garamond" w:eastAsia="Garamond" w:hAnsi="Garamond" w:cs="Garamond"/>
        <w:i/>
        <w:sz w:val="22"/>
        <w:szCs w:val="22"/>
      </w:rPr>
      <w:t>Crítica bibliográfica</w:t>
    </w:r>
  </w:p>
  <w:p w14:paraId="10B538A1" w14:textId="77777777" w:rsidR="00F261D8"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620793CC" wp14:editId="57BDD1C0">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134A1FAE" w14:textId="77777777" w:rsidR="00F261D8"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Santiago Sosa</w:t>
    </w:r>
  </w:p>
  <w:p w14:paraId="1DAE099D" w14:textId="77777777" w:rsidR="00F261D8" w:rsidRDefault="00F261D8">
    <w:pPr>
      <w:pBdr>
        <w:top w:val="nil"/>
        <w:left w:val="nil"/>
        <w:bottom w:val="nil"/>
        <w:right w:val="nil"/>
        <w:between w:val="nil"/>
      </w:pBdr>
      <w:ind w:right="143"/>
      <w:jc w:val="right"/>
      <w:rPr>
        <w:rFonts w:ascii="Garamond" w:eastAsia="Garamond" w:hAnsi="Garamond" w:cs="Garamond"/>
        <w:smallCaps/>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DC323" w14:textId="481FE8AE" w:rsidR="00F261D8"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67342F1A" wp14:editId="57FFD62E">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2583FB05" w14:textId="77777777" w:rsidR="00F261D8"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63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66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1D8"/>
    <w:rsid w:val="0074124B"/>
    <w:rsid w:val="00785A9F"/>
    <w:rsid w:val="009A7F7D"/>
    <w:rsid w:val="00F261D8"/>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B49D3"/>
  <w15:docId w15:val="{34797A7E-36D1-4A0D-8096-C3759501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paragraph" w:styleId="Encabezado">
    <w:name w:val="header"/>
    <w:basedOn w:val="Normal"/>
    <w:link w:val="EncabezadoCar"/>
    <w:uiPriority w:val="99"/>
    <w:unhideWhenUsed/>
    <w:rsid w:val="00785A9F"/>
    <w:pPr>
      <w:tabs>
        <w:tab w:val="center" w:pos="4419"/>
        <w:tab w:val="right" w:pos="8838"/>
      </w:tabs>
    </w:pPr>
  </w:style>
  <w:style w:type="character" w:customStyle="1" w:styleId="EncabezadoCar">
    <w:name w:val="Encabezado Car"/>
    <w:basedOn w:val="Fuentedeprrafopredeter"/>
    <w:link w:val="Encabezado"/>
    <w:uiPriority w:val="99"/>
    <w:rsid w:val="00785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tlanticcouncil.org/blogs/new-atlanticist/can-chinas-communist-party-defuse-its-demographic-time-bomb/"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atlanticcouncil.org/blogs/new-atlanticist/can-chinas-communist-party-defuse-its-demographic-time-bomb/"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yperlink" Target="https://oec.world/en/profile/country/chn" TargetMode="External"/><Relationship Id="rId4" Type="http://schemas.openxmlformats.org/officeDocument/2006/relationships/footnotes" Target="footnotes.xml"/><Relationship Id="rId9" Type="http://schemas.openxmlformats.org/officeDocument/2006/relationships/hyperlink" Target="https://oec.world/en/profile/country/ch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1304</Words>
  <Characters>7172</Characters>
  <Application>Microsoft Office Word</Application>
  <DocSecurity>0</DocSecurity>
  <Lines>59</Lines>
  <Paragraphs>16</Paragraphs>
  <ScaleCrop>false</ScaleCrop>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2</cp:revision>
  <dcterms:created xsi:type="dcterms:W3CDTF">2025-01-07T16:37:00Z</dcterms:created>
  <dcterms:modified xsi:type="dcterms:W3CDTF">2025-01-07T16:38:00Z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2025-01-07T16:38:21Z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4506291e-52b3-467f-a956-819499083397</vt:lpwstr>
  </property>
  <property fmtid="{D5CDD505-2E9C-101B-9397-08002B2CF9AE}" pid="8" name="MSIP_Label_defa4170-0d19-0005-0004-bc88714345d2_ContentBits">
    <vt:lpwstr>0</vt:lpwstr>
  </property>
</Properties>
</file>