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6DDB2" w14:textId="77777777" w:rsidR="00DB7F8E" w:rsidRDefault="00DB7F8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3793C95C" w14:textId="77777777" w:rsidR="00DB7F8E" w:rsidRDefault="00DB7F8E">
      <w:pPr>
        <w:pStyle w:val="Ttulo"/>
        <w:keepNext w:val="0"/>
        <w:keepLines w:val="0"/>
        <w:spacing w:line="240" w:lineRule="auto"/>
        <w:ind w:left="2552"/>
        <w:jc w:val="left"/>
      </w:pPr>
    </w:p>
    <w:p w14:paraId="3BA0A424" w14:textId="77777777" w:rsidR="00DB7F8E" w:rsidRDefault="00000000">
      <w:pPr>
        <w:pStyle w:val="Ttulo"/>
        <w:keepNext w:val="0"/>
        <w:keepLines w:val="0"/>
        <w:spacing w:line="240" w:lineRule="auto"/>
        <w:ind w:left="2552"/>
        <w:jc w:val="left"/>
        <w:rPr>
          <w:i/>
        </w:rPr>
      </w:pPr>
      <w:r>
        <w:t>Comisión Económica para América Latina y el Caribe (CEPAL) (2024).</w:t>
      </w:r>
      <w:r>
        <w:rPr>
          <w:i/>
        </w:rPr>
        <w:t xml:space="preserve"> Reducir la desigualdad y avanzar hacia el desarrollo social inclusivo en América Latina y el Caribe: desafíos, prioridades y mensajes de cara a la Segunda Cumbre Mundial sobre Desarrollo Social</w:t>
      </w:r>
      <w:r>
        <w:rPr>
          <w:noProof/>
        </w:rPr>
        <w:drawing>
          <wp:anchor distT="0" distB="0" distL="0" distR="0" simplePos="0" relativeHeight="251658240" behindDoc="0" locked="0" layoutInCell="1" hidden="0" allowOverlap="1" wp14:anchorId="5BA02C05" wp14:editId="2AC59EB9">
            <wp:simplePos x="0" y="0"/>
            <wp:positionH relativeFrom="column">
              <wp:posOffset>0</wp:posOffset>
            </wp:positionH>
            <wp:positionV relativeFrom="paragraph">
              <wp:posOffset>953</wp:posOffset>
            </wp:positionV>
            <wp:extent cx="692668" cy="1038723"/>
            <wp:effectExtent l="0" t="0" r="0" b="0"/>
            <wp:wrapSquare wrapText="bothSides" distT="0" distB="0" distL="0" distR="0"/>
            <wp:docPr id="6" name="image2.jpg" descr="The Technology Trap: Capital, Labor, and Power in the Age of Automation:  Frey, Carl Benedikt: 9780691210797: Amazon.com: Books"/>
            <wp:cNvGraphicFramePr/>
            <a:graphic xmlns:a="http://schemas.openxmlformats.org/drawingml/2006/main">
              <a:graphicData uri="http://schemas.openxmlformats.org/drawingml/2006/picture">
                <pic:pic xmlns:pic="http://schemas.openxmlformats.org/drawingml/2006/picture">
                  <pic:nvPicPr>
                    <pic:cNvPr id="0" name="image2.jpg" descr="The Technology Trap: Capital, Labor, and Power in the Age of Automation:  Frey, Carl Benedikt: 9780691210797: Amazon.com: Books"/>
                    <pic:cNvPicPr preferRelativeResize="0"/>
                  </pic:nvPicPr>
                  <pic:blipFill>
                    <a:blip r:embed="rId7"/>
                    <a:srcRect l="6134" r="6134"/>
                    <a:stretch>
                      <a:fillRect/>
                    </a:stretch>
                  </pic:blipFill>
                  <pic:spPr>
                    <a:xfrm>
                      <a:off x="0" y="0"/>
                      <a:ext cx="692668" cy="1038723"/>
                    </a:xfrm>
                    <a:prstGeom prst="rect">
                      <a:avLst/>
                    </a:prstGeom>
                    <a:ln/>
                  </pic:spPr>
                </pic:pic>
              </a:graphicData>
            </a:graphic>
          </wp:anchor>
        </w:drawing>
      </w:r>
    </w:p>
    <w:p w14:paraId="1CC5CB21" w14:textId="77777777" w:rsidR="00DB7F8E" w:rsidRDefault="00DB7F8E">
      <w:pPr>
        <w:pStyle w:val="Ttulo"/>
        <w:keepNext w:val="0"/>
        <w:keepLines w:val="0"/>
        <w:spacing w:line="240" w:lineRule="auto"/>
        <w:ind w:left="2552"/>
        <w:jc w:val="left"/>
        <w:rPr>
          <w:i/>
        </w:rPr>
      </w:pPr>
      <w:bookmarkStart w:id="0" w:name="_qel2o3gn9g8b" w:colFirst="0" w:colLast="0"/>
      <w:bookmarkEnd w:id="0"/>
    </w:p>
    <w:p w14:paraId="6B0E607E" w14:textId="77777777" w:rsidR="00DB7F8E"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Garamond" w:eastAsia="Garamond" w:hAnsi="Garamond" w:cs="Garamond"/>
          <w:i/>
          <w:sz w:val="16"/>
          <w:szCs w:val="16"/>
        </w:rPr>
      </w:pPr>
      <w:r>
        <w:rPr>
          <w:rFonts w:ascii="Garamond" w:eastAsia="Garamond" w:hAnsi="Garamond" w:cs="Garamond"/>
          <w:i/>
          <w:sz w:val="28"/>
          <w:szCs w:val="28"/>
        </w:rPr>
        <w:t>María Gabriela Ponce</w:t>
      </w:r>
      <w:r>
        <w:rPr>
          <w:rFonts w:ascii="Garamond" w:eastAsia="Garamond" w:hAnsi="Garamond" w:cs="Garamond"/>
          <w:i/>
          <w:sz w:val="28"/>
          <w:szCs w:val="28"/>
          <w:vertAlign w:val="superscript"/>
        </w:rPr>
        <w:footnoteReference w:id="1"/>
      </w:r>
    </w:p>
    <w:p w14:paraId="2198A1C2" w14:textId="77777777" w:rsidR="00DB7F8E" w:rsidRDefault="00DB7F8E">
      <w:pPr>
        <w:ind w:left="2127"/>
        <w:jc w:val="right"/>
        <w:rPr>
          <w:rFonts w:ascii="Garamond" w:eastAsia="Garamond" w:hAnsi="Garamond" w:cs="Garamond"/>
          <w:b/>
          <w:sz w:val="22"/>
          <w:szCs w:val="22"/>
        </w:rPr>
      </w:pPr>
    </w:p>
    <w:p w14:paraId="77825D2D" w14:textId="77777777" w:rsidR="00DB7F8E" w:rsidRDefault="00000000">
      <w:pPr>
        <w:jc w:val="both"/>
        <w:rPr>
          <w:rFonts w:ascii="Garamond" w:eastAsia="Garamond" w:hAnsi="Garamond" w:cs="Garamond"/>
          <w:sz w:val="22"/>
          <w:szCs w:val="22"/>
        </w:rPr>
      </w:pPr>
      <w:r>
        <w:rPr>
          <w:rFonts w:ascii="Garamond" w:eastAsia="Garamond" w:hAnsi="Garamond" w:cs="Garamond"/>
          <w:sz w:val="22"/>
          <w:szCs w:val="22"/>
        </w:rPr>
        <w:t>Editorial: CEPAL.</w:t>
      </w:r>
    </w:p>
    <w:p w14:paraId="5F3D6F0C" w14:textId="77777777" w:rsidR="00DB7F8E" w:rsidRDefault="00000000">
      <w:pPr>
        <w:jc w:val="both"/>
        <w:rPr>
          <w:rFonts w:ascii="Garamond" w:eastAsia="Garamond" w:hAnsi="Garamond" w:cs="Garamond"/>
          <w:sz w:val="22"/>
          <w:szCs w:val="22"/>
        </w:rPr>
      </w:pPr>
      <w:r>
        <w:rPr>
          <w:rFonts w:ascii="Garamond" w:eastAsia="Garamond" w:hAnsi="Garamond" w:cs="Garamond"/>
          <w:sz w:val="22"/>
          <w:szCs w:val="22"/>
        </w:rPr>
        <w:t xml:space="preserve">URI: </w:t>
      </w:r>
      <w:hyperlink r:id="rId8">
        <w:r>
          <w:rPr>
            <w:rFonts w:ascii="Garamond" w:eastAsia="Garamond" w:hAnsi="Garamond" w:cs="Garamond"/>
            <w:color w:val="1155CC"/>
            <w:sz w:val="22"/>
            <w:szCs w:val="22"/>
            <w:u w:val="single"/>
          </w:rPr>
          <w:t>https://hdl.handle.net/11362/80758</w:t>
        </w:r>
      </w:hyperlink>
      <w:r>
        <w:rPr>
          <w:rFonts w:ascii="Garamond" w:eastAsia="Garamond" w:hAnsi="Garamond" w:cs="Garamond"/>
          <w:sz w:val="22"/>
          <w:szCs w:val="22"/>
        </w:rPr>
        <w:t>.</w:t>
      </w:r>
    </w:p>
    <w:p w14:paraId="52DA082F" w14:textId="77777777" w:rsidR="00DB7F8E" w:rsidRDefault="00000000">
      <w:pPr>
        <w:jc w:val="both"/>
        <w:rPr>
          <w:rFonts w:ascii="Garamond" w:eastAsia="Garamond" w:hAnsi="Garamond" w:cs="Garamond"/>
          <w:sz w:val="22"/>
          <w:szCs w:val="22"/>
        </w:rPr>
      </w:pPr>
      <w:r>
        <w:rPr>
          <w:rFonts w:ascii="Garamond" w:eastAsia="Garamond" w:hAnsi="Garamond" w:cs="Garamond"/>
          <w:sz w:val="22"/>
          <w:szCs w:val="22"/>
        </w:rPr>
        <w:t>Páginas: 85.</w:t>
      </w:r>
    </w:p>
    <w:p w14:paraId="1178D156" w14:textId="77777777" w:rsidR="00DB7F8E" w:rsidRDefault="00DB7F8E">
      <w:pPr>
        <w:jc w:val="both"/>
        <w:rPr>
          <w:rFonts w:ascii="Garamond" w:eastAsia="Garamond" w:hAnsi="Garamond" w:cs="Garamond"/>
          <w:b/>
          <w:sz w:val="22"/>
          <w:szCs w:val="22"/>
        </w:rPr>
      </w:pPr>
    </w:p>
    <w:p w14:paraId="6303970C" w14:textId="77777777" w:rsidR="00DB7F8E"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Este documento de la CEPAL constituye una propuesta hacia la región para abordar la Segunda Cumbre Mundial sobre Desarrollo Social, que se llevará a cabo en 2025. Para ello, se realiza un seguimiento de la evolución de la agenda social que abarca desde la Cumbre Mundial de Desarrollo Social en 1995 hasta los Objetivos de Desarrollo Sostenible y la Agenda 2030 actualmente en vigencia. </w:t>
      </w:r>
    </w:p>
    <w:p w14:paraId="1BC69A27" w14:textId="77777777" w:rsidR="00DB7F8E"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Se destacan los desafíos estructurales y emergentes que enfrentan América Latina y el Caribe para avanzar hacia un desarrollo social inclusivo, entre los más importantes se encuentran: </w:t>
      </w:r>
    </w:p>
    <w:p w14:paraId="2D148823"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 xml:space="preserve">Los altos niveles de desigualdad y pobreza persistentes. De hecho, América Latina y el Caribe es la región más desigual del mundo y, a pesar de los avances registrados en las últimas décadas, sigue enfrentando altos niveles de desigualdad y pobreza que limitan el acceso a oportunidades y recursos básicos para amplios sectores de la población. </w:t>
      </w:r>
    </w:p>
    <w:p w14:paraId="07B76283"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 xml:space="preserve">El desempleo y el empleo informal como consecuencia de los obstáculos y barreras de buena parte de la población para acceder a empleos de calidad o al trabajo decente –en términos de lo establecido por la Organización Internacional del Trabajo (OIT)– y las incertidumbres asociadas al impacto de los cambios tecnológicos en el mercado laboral. </w:t>
      </w:r>
    </w:p>
    <w:p w14:paraId="214AED1F"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 xml:space="preserve">Las transformaciones que se vienen produciendo a nivel demográfico (envejecimiento poblacional y descenso de la fecundidad); epidemiológico (aumento de las enfermedades no transmisibles) y nutricional (incremento de la obesidad y el sobrepeso, </w:t>
      </w:r>
      <w:proofErr w:type="gramStart"/>
      <w:r>
        <w:rPr>
          <w:rFonts w:ascii="Garamond" w:eastAsia="Garamond" w:hAnsi="Garamond" w:cs="Garamond"/>
          <w:sz w:val="22"/>
          <w:szCs w:val="22"/>
        </w:rPr>
        <w:t>conjuntamente con</w:t>
      </w:r>
      <w:proofErr w:type="gramEnd"/>
      <w:r>
        <w:rPr>
          <w:rFonts w:ascii="Garamond" w:eastAsia="Garamond" w:hAnsi="Garamond" w:cs="Garamond"/>
          <w:sz w:val="22"/>
          <w:szCs w:val="22"/>
        </w:rPr>
        <w:t xml:space="preserve"> problemas asociados al hambre y la desnutrición en algunos sectores de población).</w:t>
      </w:r>
    </w:p>
    <w:p w14:paraId="52777436"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 xml:space="preserve">Acceso desigual a los servicios sociales de salud y educación, así como las desigualdades de género, particularmente en lo que se refiere a la participación laboral, ingresos y acceso a servicios esenciales por parte de las mujeres. </w:t>
      </w:r>
    </w:p>
    <w:p w14:paraId="4BB20D10"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Vulnerabilidad de la población y especialmente de aquella en condición de pobreza a los impactos del cambio climático</w:t>
      </w:r>
    </w:p>
    <w:p w14:paraId="08AC09AA" w14:textId="77777777" w:rsidR="00DB7F8E" w:rsidRDefault="00000000">
      <w:pPr>
        <w:numPr>
          <w:ilvl w:val="0"/>
          <w:numId w:val="1"/>
        </w:numPr>
        <w:jc w:val="both"/>
        <w:rPr>
          <w:rFonts w:ascii="Garamond" w:eastAsia="Garamond" w:hAnsi="Garamond" w:cs="Garamond"/>
          <w:sz w:val="22"/>
          <w:szCs w:val="22"/>
        </w:rPr>
      </w:pPr>
      <w:r>
        <w:rPr>
          <w:rFonts w:ascii="Garamond" w:eastAsia="Garamond" w:hAnsi="Garamond" w:cs="Garamond"/>
          <w:sz w:val="22"/>
          <w:szCs w:val="22"/>
        </w:rPr>
        <w:t>La migración y el desplazamiento interno de la población por causas de diversa índole, como conflictos, violencia y desastres naturales, los cuales plantean retos adicionales para su integración, así como la provisión de servicios básicos.</w:t>
      </w:r>
    </w:p>
    <w:p w14:paraId="4AFB72FC" w14:textId="77777777" w:rsidR="00DB7F8E" w:rsidRDefault="00000000">
      <w:pPr>
        <w:numPr>
          <w:ilvl w:val="0"/>
          <w:numId w:val="1"/>
        </w:numPr>
        <w:spacing w:after="200"/>
        <w:jc w:val="both"/>
        <w:rPr>
          <w:rFonts w:ascii="Garamond" w:eastAsia="Garamond" w:hAnsi="Garamond" w:cs="Garamond"/>
          <w:sz w:val="22"/>
          <w:szCs w:val="22"/>
        </w:rPr>
      </w:pPr>
      <w:r>
        <w:rPr>
          <w:rFonts w:ascii="Garamond" w:eastAsia="Garamond" w:hAnsi="Garamond" w:cs="Garamond"/>
          <w:sz w:val="22"/>
          <w:szCs w:val="22"/>
        </w:rPr>
        <w:lastRenderedPageBreak/>
        <w:t xml:space="preserve">La necesidad de reformas fiscales que permitan financiar políticas sociales de carácter más integral, sostenibles y efectivas que permitan la reducción de las desigualdades posibilitando un desarrollo social inclusivo. </w:t>
      </w:r>
    </w:p>
    <w:p w14:paraId="2B76F82D" w14:textId="77777777" w:rsidR="00DB7F8E"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Entre los mensajes claves sugeridos por la CEPAL a los entes encargados del desarrollo social en la región y con miras a la próxima Cumbre de Desarrollo Social a realizar en el próximo año, este organismo resalta:</w:t>
      </w:r>
    </w:p>
    <w:p w14:paraId="0E1BACE5" w14:textId="77777777" w:rsidR="00DB7F8E" w:rsidRDefault="00000000">
      <w:pPr>
        <w:numPr>
          <w:ilvl w:val="0"/>
          <w:numId w:val="3"/>
        </w:numPr>
        <w:jc w:val="both"/>
        <w:rPr>
          <w:rFonts w:ascii="Garamond" w:eastAsia="Garamond" w:hAnsi="Garamond" w:cs="Garamond"/>
          <w:sz w:val="22"/>
          <w:szCs w:val="22"/>
        </w:rPr>
      </w:pPr>
      <w:r>
        <w:rPr>
          <w:rFonts w:ascii="Garamond" w:eastAsia="Garamond" w:hAnsi="Garamond" w:cs="Garamond"/>
          <w:sz w:val="22"/>
          <w:szCs w:val="22"/>
        </w:rPr>
        <w:t>La inversión social y especialmente la importancia de fortalecer los mecanismos de protección social con miras a garantizar el acceso universal a estos sistemas de toda la población, así como el acceso universal a servicios públicos de calidad.</w:t>
      </w:r>
    </w:p>
    <w:p w14:paraId="56C478CC" w14:textId="77777777" w:rsidR="00DB7F8E" w:rsidRDefault="00000000">
      <w:pPr>
        <w:numPr>
          <w:ilvl w:val="0"/>
          <w:numId w:val="3"/>
        </w:numPr>
        <w:jc w:val="both"/>
        <w:rPr>
          <w:rFonts w:ascii="Garamond" w:eastAsia="Garamond" w:hAnsi="Garamond" w:cs="Garamond"/>
          <w:sz w:val="22"/>
          <w:szCs w:val="22"/>
        </w:rPr>
      </w:pPr>
      <w:r>
        <w:rPr>
          <w:rFonts w:ascii="Garamond" w:eastAsia="Garamond" w:hAnsi="Garamond" w:cs="Garamond"/>
          <w:sz w:val="22"/>
          <w:szCs w:val="22"/>
        </w:rPr>
        <w:t>La necesidad de implementar políticas que promuevan la inclusión social de los grupos más vulnerables, entre los que resaltan mujeres, niños, pueblos indígenas, afrodescendientes, quienes viven en zonas rurales y personas con discapacidad.</w:t>
      </w:r>
    </w:p>
    <w:p w14:paraId="4A5B1F5F" w14:textId="77777777" w:rsidR="00DB7F8E" w:rsidRDefault="00000000">
      <w:pPr>
        <w:numPr>
          <w:ilvl w:val="0"/>
          <w:numId w:val="3"/>
        </w:numPr>
        <w:jc w:val="both"/>
        <w:rPr>
          <w:rFonts w:ascii="Garamond" w:eastAsia="Garamond" w:hAnsi="Garamond" w:cs="Garamond"/>
          <w:sz w:val="22"/>
          <w:szCs w:val="22"/>
        </w:rPr>
      </w:pPr>
      <w:r>
        <w:rPr>
          <w:rFonts w:ascii="Garamond" w:eastAsia="Garamond" w:hAnsi="Garamond" w:cs="Garamond"/>
          <w:sz w:val="22"/>
          <w:szCs w:val="22"/>
        </w:rPr>
        <w:t>La eliminación de las barreras de acceso a las mujeres promoviendo la equidad de género y su empoderamiento</w:t>
      </w:r>
    </w:p>
    <w:p w14:paraId="24CF639E" w14:textId="77777777" w:rsidR="00DB7F8E" w:rsidRDefault="00000000">
      <w:pPr>
        <w:numPr>
          <w:ilvl w:val="0"/>
          <w:numId w:val="3"/>
        </w:numPr>
        <w:jc w:val="both"/>
        <w:rPr>
          <w:rFonts w:ascii="Garamond" w:eastAsia="Garamond" w:hAnsi="Garamond" w:cs="Garamond"/>
          <w:sz w:val="22"/>
          <w:szCs w:val="22"/>
        </w:rPr>
      </w:pPr>
      <w:r>
        <w:rPr>
          <w:rFonts w:ascii="Garamond" w:eastAsia="Garamond" w:hAnsi="Garamond" w:cs="Garamond"/>
          <w:sz w:val="22"/>
          <w:szCs w:val="22"/>
        </w:rPr>
        <w:t>La necesidad de políticas integrales que consideren las dimensiones social, económica y ambiental de manera conjunta</w:t>
      </w:r>
    </w:p>
    <w:p w14:paraId="432D71A6" w14:textId="77777777" w:rsidR="00DB7F8E" w:rsidRDefault="00000000">
      <w:pPr>
        <w:numPr>
          <w:ilvl w:val="0"/>
          <w:numId w:val="3"/>
        </w:numPr>
        <w:spacing w:after="200"/>
        <w:jc w:val="both"/>
        <w:rPr>
          <w:rFonts w:ascii="Garamond" w:eastAsia="Garamond" w:hAnsi="Garamond" w:cs="Garamond"/>
          <w:sz w:val="22"/>
          <w:szCs w:val="22"/>
        </w:rPr>
      </w:pPr>
      <w:r>
        <w:rPr>
          <w:rFonts w:ascii="Garamond" w:eastAsia="Garamond" w:hAnsi="Garamond" w:cs="Garamond"/>
          <w:sz w:val="22"/>
          <w:szCs w:val="22"/>
        </w:rPr>
        <w:t>La participación de la ciudadanía en el diseño, desarrollo y evaluación de las políticas, programas y proyectos implementados.</w:t>
      </w:r>
    </w:p>
    <w:p w14:paraId="416DD18F" w14:textId="77777777" w:rsidR="00DB7F8E"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Dentro de las prioridades se reivindican aquellas políticas e intervenciones que propendan a la reducción de las desigualdades que atraviesan a la región con una mirada que trascienda lo económico, y una perspectiva multidimensional en su abordaje que incluya los distintos actores que configuran la matriz de desigualdad en la región (CEPAL, 2016), que se expresa en lo relativo al género, la raza, la edad y el territorio, resaltando la necesidad de:</w:t>
      </w:r>
    </w:p>
    <w:p w14:paraId="2D0D3623" w14:textId="77777777" w:rsidR="00DB7F8E" w:rsidRDefault="00000000">
      <w:pPr>
        <w:numPr>
          <w:ilvl w:val="0"/>
          <w:numId w:val="2"/>
        </w:numPr>
        <w:jc w:val="both"/>
        <w:rPr>
          <w:rFonts w:ascii="Garamond" w:eastAsia="Garamond" w:hAnsi="Garamond" w:cs="Garamond"/>
          <w:sz w:val="22"/>
          <w:szCs w:val="22"/>
        </w:rPr>
      </w:pPr>
      <w:r>
        <w:rPr>
          <w:rFonts w:ascii="Garamond" w:eastAsia="Garamond" w:hAnsi="Garamond" w:cs="Garamond"/>
          <w:sz w:val="22"/>
          <w:szCs w:val="22"/>
        </w:rPr>
        <w:t xml:space="preserve">Garantizar el acceso y la calidad de los servicios sociales particularmente en lo referente a salud, educación y vivienda.   </w:t>
      </w:r>
    </w:p>
    <w:p w14:paraId="6EE2B8B9" w14:textId="77777777" w:rsidR="00DB7F8E" w:rsidRDefault="00000000">
      <w:pPr>
        <w:numPr>
          <w:ilvl w:val="0"/>
          <w:numId w:val="2"/>
        </w:numPr>
        <w:jc w:val="both"/>
        <w:rPr>
          <w:rFonts w:ascii="Garamond" w:eastAsia="Garamond" w:hAnsi="Garamond" w:cs="Garamond"/>
          <w:sz w:val="22"/>
          <w:szCs w:val="22"/>
        </w:rPr>
      </w:pPr>
      <w:r>
        <w:rPr>
          <w:rFonts w:ascii="Garamond" w:eastAsia="Garamond" w:hAnsi="Garamond" w:cs="Garamond"/>
          <w:sz w:val="22"/>
          <w:szCs w:val="22"/>
        </w:rPr>
        <w:t xml:space="preserve">La promoción de la creación de trabajo decente, así como las mejoras de la productividad laboral y las capacidades de la población. </w:t>
      </w:r>
    </w:p>
    <w:p w14:paraId="0AD59383" w14:textId="77777777" w:rsidR="00DB7F8E" w:rsidRDefault="00000000">
      <w:pPr>
        <w:numPr>
          <w:ilvl w:val="0"/>
          <w:numId w:val="2"/>
        </w:numPr>
        <w:jc w:val="both"/>
        <w:rPr>
          <w:rFonts w:ascii="Garamond" w:eastAsia="Garamond" w:hAnsi="Garamond" w:cs="Garamond"/>
          <w:sz w:val="22"/>
          <w:szCs w:val="22"/>
        </w:rPr>
      </w:pPr>
      <w:r>
        <w:rPr>
          <w:rFonts w:ascii="Garamond" w:eastAsia="Garamond" w:hAnsi="Garamond" w:cs="Garamond"/>
          <w:sz w:val="22"/>
          <w:szCs w:val="22"/>
        </w:rPr>
        <w:t>El fortalecimiento de los sistemas de protección social, garantizando la inclusión de la población más vulnerable.</w:t>
      </w:r>
    </w:p>
    <w:p w14:paraId="3E88B745" w14:textId="77777777" w:rsidR="00DB7F8E" w:rsidRDefault="00000000">
      <w:pPr>
        <w:numPr>
          <w:ilvl w:val="0"/>
          <w:numId w:val="2"/>
        </w:numPr>
        <w:spacing w:after="200"/>
        <w:jc w:val="both"/>
        <w:rPr>
          <w:rFonts w:ascii="Garamond" w:eastAsia="Garamond" w:hAnsi="Garamond" w:cs="Garamond"/>
          <w:sz w:val="22"/>
          <w:szCs w:val="22"/>
        </w:rPr>
      </w:pPr>
      <w:r>
        <w:rPr>
          <w:rFonts w:ascii="Garamond" w:eastAsia="Garamond" w:hAnsi="Garamond" w:cs="Garamond"/>
          <w:sz w:val="22"/>
          <w:szCs w:val="22"/>
        </w:rPr>
        <w:t xml:space="preserve">Asegurar gobernanza y la financiación en el tiempo de las políticas que propendan a la inclusión social y la disminución de las brechas y desigualdades que cruzan la </w:t>
      </w:r>
      <w:proofErr w:type="gramStart"/>
      <w:r>
        <w:rPr>
          <w:rFonts w:ascii="Garamond" w:eastAsia="Garamond" w:hAnsi="Garamond" w:cs="Garamond"/>
          <w:sz w:val="22"/>
          <w:szCs w:val="22"/>
        </w:rPr>
        <w:t>región expresadas</w:t>
      </w:r>
      <w:proofErr w:type="gramEnd"/>
      <w:r>
        <w:rPr>
          <w:rFonts w:ascii="Garamond" w:eastAsia="Garamond" w:hAnsi="Garamond" w:cs="Garamond"/>
          <w:sz w:val="22"/>
          <w:szCs w:val="22"/>
        </w:rPr>
        <w:t xml:space="preserve"> en la matriz de desigualdad. </w:t>
      </w:r>
    </w:p>
    <w:p w14:paraId="1DEBB220" w14:textId="77777777" w:rsidR="00DB7F8E"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Tanto los desafíos como los mensajes clave y prioridades buscan orientar a los Gobiernos de la región en la implementación de políticas integrales y sostenibles que aborden las raíces de la desigualdad y promuevan el desarrollo inclusivo, materia pendiente en la región a pesar de los avances alcanzados.</w:t>
      </w:r>
      <w:r>
        <w:br w:type="page"/>
      </w:r>
    </w:p>
    <w:p w14:paraId="761D4A37" w14:textId="77777777" w:rsidR="00DB7F8E" w:rsidRDefault="00000000">
      <w:pPr>
        <w:spacing w:after="120" w:line="360" w:lineRule="auto"/>
        <w:jc w:val="both"/>
        <w:rPr>
          <w:rFonts w:ascii="Garamond" w:eastAsia="Garamond" w:hAnsi="Garamond" w:cs="Garamond"/>
          <w:b/>
          <w:sz w:val="22"/>
          <w:szCs w:val="22"/>
        </w:rPr>
      </w:pPr>
      <w:r>
        <w:rPr>
          <w:rFonts w:ascii="Garamond" w:eastAsia="Garamond" w:hAnsi="Garamond" w:cs="Garamond"/>
          <w:b/>
          <w:sz w:val="22"/>
          <w:szCs w:val="22"/>
        </w:rPr>
        <w:lastRenderedPageBreak/>
        <w:t>REFERENCIAS BIBLIOGRÁFICAS</w:t>
      </w:r>
    </w:p>
    <w:p w14:paraId="5CB522F4" w14:textId="77777777" w:rsidR="00DB7F8E" w:rsidRDefault="00000000" w:rsidP="00F43515">
      <w:pPr>
        <w:spacing w:after="120"/>
        <w:ind w:left="284" w:hanging="284"/>
        <w:jc w:val="both"/>
        <w:rPr>
          <w:rFonts w:ascii="Garamond" w:eastAsia="Garamond" w:hAnsi="Garamond" w:cs="Garamond"/>
          <w:sz w:val="22"/>
          <w:szCs w:val="22"/>
        </w:rPr>
      </w:pPr>
      <w:r>
        <w:rPr>
          <w:rFonts w:ascii="Garamond" w:eastAsia="Garamond" w:hAnsi="Garamond" w:cs="Garamond"/>
          <w:sz w:val="22"/>
          <w:szCs w:val="22"/>
        </w:rPr>
        <w:t xml:space="preserve">Comisión Económica para América Latina y el Caribe (CEPAL) (2016). </w:t>
      </w:r>
      <w:r>
        <w:rPr>
          <w:rFonts w:ascii="Garamond" w:eastAsia="Garamond" w:hAnsi="Garamond" w:cs="Garamond"/>
          <w:i/>
          <w:sz w:val="22"/>
          <w:szCs w:val="22"/>
        </w:rPr>
        <w:t>La matriz de la desigualdad social en América Latina</w:t>
      </w:r>
      <w:r>
        <w:rPr>
          <w:rFonts w:ascii="Garamond" w:eastAsia="Garamond" w:hAnsi="Garamond" w:cs="Garamond"/>
          <w:sz w:val="22"/>
          <w:szCs w:val="22"/>
        </w:rPr>
        <w:t>. Naciones Unidas.</w:t>
      </w:r>
    </w:p>
    <w:p w14:paraId="2C0AD7F6" w14:textId="77777777" w:rsidR="00DB7F8E" w:rsidRDefault="00000000" w:rsidP="00F43515">
      <w:pPr>
        <w:spacing w:after="120"/>
        <w:ind w:left="284" w:hanging="284"/>
        <w:jc w:val="both"/>
        <w:rPr>
          <w:rFonts w:ascii="Garamond" w:eastAsia="Garamond" w:hAnsi="Garamond" w:cs="Garamond"/>
          <w:color w:val="1155CC"/>
          <w:sz w:val="20"/>
          <w:szCs w:val="20"/>
        </w:rPr>
      </w:pPr>
      <w:r>
        <w:rPr>
          <w:rFonts w:ascii="Garamond" w:eastAsia="Garamond" w:hAnsi="Garamond" w:cs="Garamond"/>
          <w:sz w:val="22"/>
          <w:szCs w:val="22"/>
        </w:rPr>
        <w:t xml:space="preserve">Comisión Económica para América Latina y el Caribe (CEPAL) (2024). </w:t>
      </w:r>
      <w:r>
        <w:rPr>
          <w:rFonts w:ascii="Garamond" w:eastAsia="Garamond" w:hAnsi="Garamond" w:cs="Garamond"/>
          <w:i/>
          <w:sz w:val="22"/>
          <w:szCs w:val="22"/>
        </w:rPr>
        <w:t>Reducir la desigualdad y avanzar hacia el desarrollo social inclusivo en América Latina y el Caribe: desafíos, prioridades y mensajes de cara a la Segunda Cumbre Mundial sobre Desarrollo Social</w:t>
      </w:r>
      <w:r>
        <w:rPr>
          <w:rFonts w:ascii="Garamond" w:eastAsia="Garamond" w:hAnsi="Garamond" w:cs="Garamond"/>
          <w:sz w:val="22"/>
          <w:szCs w:val="22"/>
        </w:rPr>
        <w:t>. Naciones Unidas.</w:t>
      </w:r>
    </w:p>
    <w:p w14:paraId="370BD2BB" w14:textId="77777777" w:rsidR="00DB7F8E" w:rsidRDefault="00DB7F8E">
      <w:pPr>
        <w:pBdr>
          <w:top w:val="nil"/>
          <w:left w:val="nil"/>
          <w:bottom w:val="nil"/>
          <w:right w:val="nil"/>
          <w:between w:val="nil"/>
        </w:pBdr>
        <w:spacing w:after="120" w:line="360" w:lineRule="auto"/>
        <w:ind w:firstLine="283"/>
        <w:jc w:val="both"/>
        <w:rPr>
          <w:rFonts w:ascii="Garamond" w:eastAsia="Garamond" w:hAnsi="Garamond" w:cs="Garamond"/>
          <w:sz w:val="22"/>
          <w:szCs w:val="22"/>
        </w:rPr>
      </w:pPr>
    </w:p>
    <w:sectPr w:rsidR="00DB7F8E">
      <w:headerReference w:type="default" r:id="rId9"/>
      <w:footerReference w:type="even" r:id="rId10"/>
      <w:footerReference w:type="default" r:id="rId11"/>
      <w:headerReference w:type="first" r:id="rId12"/>
      <w:footerReference w:type="first" r:id="rId13"/>
      <w:pgSz w:w="12240" w:h="15840"/>
      <w:pgMar w:top="713" w:right="1041" w:bottom="1417" w:left="1275" w:header="714" w:footer="566" w:gutter="0"/>
      <w:pgNumType w:start="6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1E813" w14:textId="77777777" w:rsidR="00AF42C8" w:rsidRDefault="00AF42C8">
      <w:r>
        <w:separator/>
      </w:r>
    </w:p>
  </w:endnote>
  <w:endnote w:type="continuationSeparator" w:id="0">
    <w:p w14:paraId="64AECCEA" w14:textId="77777777" w:rsidR="00AF42C8" w:rsidRDefault="00AF4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290267C-4FAD-41F1-AE55-EA5748130A45}"/>
    <w:embedBold r:id="rId2" w:fontKey="{462AEB06-BA41-4264-B0CA-9B61465FE0B0}"/>
    <w:embedItalic r:id="rId3" w:fontKey="{4354E504-3363-420E-8D6A-7DC7D826DEAE}"/>
    <w:embedBoldItalic r:id="rId4" w:fontKey="{A6D4B1BA-E445-40B0-B9D1-A7C570FC1C50}"/>
  </w:font>
  <w:font w:name="EB Garamond">
    <w:charset w:val="00"/>
    <w:family w:val="auto"/>
    <w:pitch w:val="variable"/>
    <w:sig w:usb0="E00002FF" w:usb1="02000413" w:usb2="00000000" w:usb3="00000000" w:csb0="0000019F" w:csb1="00000000"/>
    <w:embedRegular r:id="rId5" w:fontKey="{CDD2E6EE-9525-45AA-808D-C9FEC4CA0AE6}"/>
    <w:embedBold r:id="rId6" w:fontKey="{20D32E31-E52A-476F-89FD-11112AA646F5}"/>
  </w:font>
  <w:font w:name="Calibri">
    <w:panose1 w:val="020F0502020204030204"/>
    <w:charset w:val="00"/>
    <w:family w:val="swiss"/>
    <w:pitch w:val="variable"/>
    <w:sig w:usb0="E4002EFF" w:usb1="C200247B" w:usb2="00000009" w:usb3="00000000" w:csb0="000001FF" w:csb1="00000000"/>
    <w:embedRegular r:id="rId7" w:fontKey="{C5E32D8E-1C8E-4D74-A286-7B2177AA36E1}"/>
  </w:font>
  <w:font w:name="Cambria">
    <w:panose1 w:val="02040503050406030204"/>
    <w:charset w:val="00"/>
    <w:family w:val="roman"/>
    <w:pitch w:val="variable"/>
    <w:sig w:usb0="E00006FF" w:usb1="420024FF" w:usb2="02000000" w:usb3="00000000" w:csb0="0000019F" w:csb1="00000000"/>
    <w:embedRegular r:id="rId8" w:fontKey="{988FC61F-3B18-412B-9D70-45AD59AFC0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41DA2" w14:textId="77777777" w:rsidR="00DB7F8E"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E1A98A" w14:textId="77777777" w:rsidR="00DB7F8E" w:rsidRDefault="00DB7F8E">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CA210" w14:textId="77777777" w:rsidR="00DB7F8E"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F43515">
      <w:rPr>
        <w:rFonts w:ascii="Garamond" w:eastAsia="Garamond" w:hAnsi="Garamond" w:cs="Garamond"/>
        <w:noProof/>
        <w:color w:val="000000"/>
        <w:sz w:val="22"/>
        <w:szCs w:val="22"/>
      </w:rPr>
      <w:t>61</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40427872" wp14:editId="51138AA0">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0E7233A8" w14:textId="77777777" w:rsidR="00DB7F8E"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4E346077" w14:textId="77777777" w:rsidR="00DB7F8E"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2AF28" w14:textId="77777777" w:rsidR="00DB7F8E" w:rsidRDefault="00DB7F8E">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0FF643CC" w14:textId="77777777" w:rsidR="00DB7F8E"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497B5E9F" wp14:editId="1CE9DEFE">
              <wp:simplePos x="0" y="0"/>
              <wp:positionH relativeFrom="column">
                <wp:posOffset>6019800</wp:posOffset>
              </wp:positionH>
              <wp:positionV relativeFrom="paragraph">
                <wp:posOffset>28575</wp:posOffset>
              </wp:positionV>
              <wp:extent cx="12700" cy="730250"/>
              <wp:effectExtent l="0" t="0" r="0" b="0"/>
              <wp:wrapNone/>
              <wp:docPr id="2" name="Conector recto de flecha 2"/>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7593B2FC" w14:textId="77777777" w:rsidR="00DB7F8E"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3E46717F" w14:textId="77777777" w:rsidR="00DB7F8E"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D388F" w14:textId="77777777" w:rsidR="00AF42C8" w:rsidRDefault="00AF42C8">
      <w:r>
        <w:separator/>
      </w:r>
    </w:p>
  </w:footnote>
  <w:footnote w:type="continuationSeparator" w:id="0">
    <w:p w14:paraId="64A9300A" w14:textId="77777777" w:rsidR="00AF42C8" w:rsidRDefault="00AF42C8">
      <w:r>
        <w:continuationSeparator/>
      </w:r>
    </w:p>
  </w:footnote>
  <w:footnote w:id="1">
    <w:p w14:paraId="531C78F5" w14:textId="77777777" w:rsidR="00DB7F8E"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Profesora investigadora del Instituto de Investigaciones Económicas y Sociales (</w:t>
      </w:r>
      <w:proofErr w:type="spellStart"/>
      <w:r>
        <w:rPr>
          <w:rFonts w:ascii="Garamond" w:eastAsia="Garamond" w:hAnsi="Garamond" w:cs="Garamond"/>
          <w:sz w:val="20"/>
          <w:szCs w:val="20"/>
        </w:rPr>
        <w:t>IIES</w:t>
      </w:r>
      <w:proofErr w:type="spellEnd"/>
      <w:r>
        <w:rPr>
          <w:rFonts w:ascii="Garamond" w:eastAsia="Garamond" w:hAnsi="Garamond" w:cs="Garamond"/>
          <w:sz w:val="20"/>
          <w:szCs w:val="20"/>
        </w:rPr>
        <w:t>) de la Universidad Católica Andrés Bello (UCAB).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167DB" w14:textId="77777777" w:rsidR="00DB7F8E" w:rsidRDefault="00000000">
    <w:pPr>
      <w:rPr>
        <w:rFonts w:ascii="Garamond" w:eastAsia="Garamond" w:hAnsi="Garamond" w:cs="Garamond"/>
        <w:i/>
        <w:color w:val="000000"/>
        <w:sz w:val="22"/>
        <w:szCs w:val="22"/>
      </w:rPr>
    </w:pPr>
    <w:r>
      <w:rPr>
        <w:rFonts w:ascii="Garamond" w:eastAsia="Garamond" w:hAnsi="Garamond" w:cs="Garamond"/>
        <w:i/>
        <w:sz w:val="22"/>
        <w:szCs w:val="22"/>
      </w:rPr>
      <w:t>Crítica bibliográfica</w:t>
    </w:r>
  </w:p>
  <w:p w14:paraId="5B79EA43" w14:textId="77777777" w:rsidR="00DB7F8E"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1BB97462" wp14:editId="34B2891A">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6F1D04E6" w14:textId="77777777" w:rsidR="00DB7F8E"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María Gabriela Ponce</w:t>
    </w:r>
  </w:p>
  <w:p w14:paraId="4751CF5C" w14:textId="77777777" w:rsidR="00DB7F8E" w:rsidRDefault="00DB7F8E">
    <w:pPr>
      <w:pBdr>
        <w:top w:val="nil"/>
        <w:left w:val="nil"/>
        <w:bottom w:val="nil"/>
        <w:right w:val="nil"/>
        <w:between w:val="nil"/>
      </w:pBdr>
      <w:ind w:right="143"/>
      <w:jc w:val="right"/>
      <w:rPr>
        <w:rFonts w:ascii="Garamond" w:eastAsia="Garamond" w:hAnsi="Garamond" w:cs="Garamond"/>
        <w:smallCap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EA39" w14:textId="234F29F2" w:rsidR="00DB7F8E"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75B9F476" wp14:editId="79E458FC">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00315E15" w14:textId="77777777" w:rsidR="00DB7F8E"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60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62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9170C"/>
    <w:multiLevelType w:val="multilevel"/>
    <w:tmpl w:val="D076E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566C2812"/>
    <w:multiLevelType w:val="multilevel"/>
    <w:tmpl w:val="CDBEA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72C40AD9"/>
    <w:multiLevelType w:val="multilevel"/>
    <w:tmpl w:val="B4A00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619951010">
    <w:abstractNumId w:val="2"/>
  </w:num>
  <w:num w:numId="2" w16cid:durableId="307560589">
    <w:abstractNumId w:val="0"/>
  </w:num>
  <w:num w:numId="3" w16cid:durableId="252128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F8E"/>
    <w:rsid w:val="00AF42C8"/>
    <w:rsid w:val="00B6057B"/>
    <w:rsid w:val="00DB7F8E"/>
    <w:rsid w:val="00F43515"/>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CE582"/>
  <w15:docId w15:val="{6F97704F-717F-4DE7-8ECC-72F20231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F43515"/>
    <w:pPr>
      <w:tabs>
        <w:tab w:val="center" w:pos="4419"/>
        <w:tab w:val="right" w:pos="8838"/>
      </w:tabs>
    </w:pPr>
  </w:style>
  <w:style w:type="character" w:customStyle="1" w:styleId="EncabezadoCar">
    <w:name w:val="Encabezado Car"/>
    <w:basedOn w:val="Fuentedeprrafopredeter"/>
    <w:link w:val="Encabezado"/>
    <w:uiPriority w:val="99"/>
    <w:rsid w:val="00F43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hdl.handle.net/11362/80758"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4806</Characters>
  <Application>Microsoft Office Word</Application>
  <DocSecurity>0</DocSecurity>
  <Lines>40</Lines>
  <Paragraphs>11</Paragraphs>
  <ScaleCrop>false</ScaleCrop>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2</cp:revision>
  <dcterms:created xsi:type="dcterms:W3CDTF">2025-01-07T16:34:00Z</dcterms:created>
  <dcterms:modified xsi:type="dcterms:W3CDTF">2025-01-07T16:35:00Z</dcterms:modified>
</cp:coreProperties>
</file>