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C42CF" w14:textId="77777777" w:rsidR="003D7F2C" w:rsidRDefault="003D7F2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6CABDA4F" w14:textId="77777777" w:rsidR="003D7F2C"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76" w:lineRule="auto"/>
        <w:jc w:val="center"/>
        <w:rPr>
          <w:rFonts w:ascii="Garamond" w:eastAsia="Garamond" w:hAnsi="Garamond" w:cs="Garamond"/>
          <w:sz w:val="32"/>
          <w:szCs w:val="32"/>
        </w:rPr>
      </w:pPr>
      <w:r>
        <w:rPr>
          <w:rFonts w:ascii="Garamond" w:eastAsia="Garamond" w:hAnsi="Garamond" w:cs="Garamond"/>
          <w:b/>
          <w:sz w:val="32"/>
          <w:szCs w:val="32"/>
        </w:rPr>
        <w:t xml:space="preserve">Informe de coyuntura </w:t>
      </w:r>
      <w:r>
        <w:rPr>
          <w:rFonts w:ascii="Garamond" w:eastAsia="Garamond" w:hAnsi="Garamond" w:cs="Garamond"/>
          <w:b/>
          <w:sz w:val="32"/>
          <w:szCs w:val="32"/>
        </w:rPr>
        <w:br/>
        <w:t>Venezuela, abril de 2024</w:t>
      </w:r>
      <w:r>
        <w:rPr>
          <w:rFonts w:ascii="Garamond" w:eastAsia="Garamond" w:hAnsi="Garamond" w:cs="Garamond"/>
          <w:b/>
          <w:sz w:val="32"/>
          <w:szCs w:val="32"/>
          <w:vertAlign w:val="superscript"/>
        </w:rPr>
        <w:footnoteReference w:id="1"/>
      </w:r>
    </w:p>
    <w:p w14:paraId="17E3041C" w14:textId="77777777" w:rsidR="003D7F2C" w:rsidRDefault="00000000">
      <w:pPr>
        <w:spacing w:after="240"/>
        <w:rPr>
          <w:rFonts w:ascii="Garamond" w:eastAsia="Garamond" w:hAnsi="Garamond" w:cs="Garamond"/>
        </w:rPr>
      </w:pPr>
      <w:r>
        <w:rPr>
          <w:rFonts w:ascii="Garamond" w:eastAsia="Garamond" w:hAnsi="Garamond" w:cs="Garamond"/>
          <w:b/>
        </w:rPr>
        <w:t>PRESENTACIÓN</w:t>
      </w:r>
      <w:r>
        <w:rPr>
          <w:rFonts w:ascii="Garamond" w:eastAsia="Garamond" w:hAnsi="Garamond" w:cs="Garamond"/>
          <w:b/>
          <w:vertAlign w:val="superscript"/>
        </w:rPr>
        <w:footnoteReference w:id="2"/>
      </w:r>
    </w:p>
    <w:p w14:paraId="7B215FF0" w14:textId="77777777" w:rsidR="003D7F2C"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Inferir la probable evolución de la economía venezolana durante el 2024 es una tarea complicada. Son múltiples, y muy inciertos, los factores determinantes del comportamiento de las principales variables macroeconómicas. </w:t>
      </w:r>
    </w:p>
    <w:p w14:paraId="4A6A7C1D" w14:textId="77777777" w:rsidR="003D7F2C"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gran incertidumbre en torno al desempeño económico está asociada a: la evolución del ciclo político-electoral interno; la gestión de la política económica, particularmente en materia fiscal; y la reacción de la comunidad internacional, en especial del Gobierno de EE. UU., frente a la posible violación del llamado Acuerdo de Barbados. En este último, de mutuo acuerdo entre el Gobierno nacional, la oposición y la comunidad internacional, quedaron establecidos un conjunto de parámetros que deberían cumplirse en el proceso de la próxima elección presidencial. A esto hay que agregar los cambios que están ocurriendo en la geopolítica internacional y regional, que también están afectados por los procesos electorales en curso en varios países claves. Por si fuera poco, hay que considerar también los efectos del cambio climático, que pueden agravar la situación de importantes sectores de la economía real interna, en un país con importantes carencias acumuladas en materia de infraestructuras básicas.</w:t>
      </w:r>
    </w:p>
    <w:p w14:paraId="72283D2C" w14:textId="77777777" w:rsidR="003D7F2C"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reciente evolución de estos procesos ha tenido un impacto desfavorable en las expectativas de crecimiento de la actividad económica interna que se habían conformado durante el último trimestre de 2023. En principio, la mayoría de los agentes económicos esperaban una rápida recuperación de la producción y las exportaciones petroleras, así como una política fiscal fuertemente expansiva asociada al tradicional incremento del gasto público que suele acompañar a un proceso electoral presidencial. El escaso, para no decir nulo, avance en las negociaciones políticas entre oposición y Gobierno, y las crecientes señales de que las sanciones suspendidas en octubre de 2023 pueden, al menos parcialmente, ser restablecidas, han sido acontecimientos suficientes para revertir las expectativas iniciales. Esto no significa que la economía se contraerá necesariamente, dado el bajo nivel alcanzado por la actividad económica después del largo periodo de deterioro que nos ha afectado. Experimentar cierto crecimiento, incluso con un descenso en la tasa de inflación, no es un escenario improbable, como se verá a lo largo de este informe. Pero una mayor estabilización y un tímido crecimiento, como el que probablemente se experimentará este año, siguen siendo muy insuficientes para que la economía y la sociedad venezolana puedan recuperar y mejorar sostenidamente su nivel de bienestar.</w:t>
      </w:r>
    </w:p>
    <w:p w14:paraId="0CBFBC9F" w14:textId="77777777" w:rsidR="003D7F2C"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w:t>
      </w:r>
    </w:p>
    <w:p w14:paraId="32B3C826" w14:textId="77777777" w:rsidR="003D7F2C" w:rsidRDefault="00000000">
      <w:pPr>
        <w:rPr>
          <w:rFonts w:ascii="Garamond" w:eastAsia="Garamond" w:hAnsi="Garamond" w:cs="Garamond"/>
          <w:sz w:val="22"/>
          <w:szCs w:val="22"/>
        </w:rPr>
      </w:pPr>
      <w:r>
        <w:br w:type="page"/>
      </w:r>
    </w:p>
    <w:p w14:paraId="36122FF9"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lastRenderedPageBreak/>
        <w:t>Cuadro 1: Perspectivas económicas globales: crecimiento económico</w:t>
      </w:r>
    </w:p>
    <w:p w14:paraId="72C738F3" w14:textId="77777777" w:rsidR="003D7F2C" w:rsidRDefault="00000000">
      <w:pPr>
        <w:rPr>
          <w:rFonts w:ascii="Garamond" w:eastAsia="Garamond" w:hAnsi="Garamond" w:cs="Garamond"/>
          <w:sz w:val="16"/>
          <w:szCs w:val="16"/>
        </w:rPr>
      </w:pPr>
      <w:r>
        <w:rPr>
          <w:noProof/>
        </w:rPr>
        <w:drawing>
          <wp:inline distT="0" distB="0" distL="0" distR="0" wp14:anchorId="1644B1BA" wp14:editId="6462E98F">
            <wp:extent cx="6299835" cy="1946838"/>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6299835" cy="1946838"/>
                    </a:xfrm>
                    <a:prstGeom prst="rect">
                      <a:avLst/>
                    </a:prstGeom>
                    <a:ln/>
                  </pic:spPr>
                </pic:pic>
              </a:graphicData>
            </a:graphic>
          </wp:inline>
        </w:drawing>
      </w:r>
      <w:r>
        <w:rPr>
          <w:rFonts w:ascii="Garamond" w:eastAsia="Garamond" w:hAnsi="Garamond" w:cs="Garamond"/>
          <w:sz w:val="16"/>
          <w:szCs w:val="16"/>
        </w:rPr>
        <w:t>Fuente: FMI, 2024; Banco Mundial, 2024; cálculos propios.</w:t>
      </w:r>
    </w:p>
    <w:p w14:paraId="5FE0A5C8" w14:textId="77777777" w:rsidR="003D7F2C" w:rsidRDefault="003D7F2C">
      <w:pPr>
        <w:spacing w:line="360" w:lineRule="auto"/>
        <w:rPr>
          <w:rFonts w:ascii="Garamond" w:eastAsia="Garamond" w:hAnsi="Garamond" w:cs="Garamond"/>
          <w:sz w:val="22"/>
          <w:szCs w:val="22"/>
        </w:rPr>
      </w:pPr>
    </w:p>
    <w:p w14:paraId="4844CBE3" w14:textId="77777777" w:rsidR="003D7F2C" w:rsidRDefault="00000000">
      <w:pPr>
        <w:spacing w:line="276" w:lineRule="auto"/>
        <w:jc w:val="center"/>
        <w:rPr>
          <w:rFonts w:ascii="Garamond" w:eastAsia="Garamond" w:hAnsi="Garamond" w:cs="Garamond"/>
          <w:b/>
          <w:sz w:val="16"/>
          <w:szCs w:val="16"/>
        </w:rPr>
      </w:pPr>
      <w:r>
        <w:rPr>
          <w:rFonts w:ascii="Garamond" w:eastAsia="Garamond" w:hAnsi="Garamond" w:cs="Garamond"/>
          <w:b/>
          <w:sz w:val="22"/>
          <w:szCs w:val="22"/>
        </w:rPr>
        <w:t>Cuadro 2: Perspectivas económicas globales: inflación</w:t>
      </w:r>
    </w:p>
    <w:p w14:paraId="124EA254" w14:textId="77777777" w:rsidR="003D7F2C" w:rsidRDefault="00000000">
      <w:pPr>
        <w:jc w:val="center"/>
        <w:rPr>
          <w:rFonts w:ascii="Garamond" w:eastAsia="Garamond" w:hAnsi="Garamond" w:cs="Garamond"/>
          <w:b/>
          <w:sz w:val="22"/>
          <w:szCs w:val="22"/>
        </w:rPr>
      </w:pPr>
      <w:r>
        <w:rPr>
          <w:rFonts w:ascii="Garamond" w:eastAsia="Garamond" w:hAnsi="Garamond" w:cs="Garamond"/>
          <w:b/>
          <w:noProof/>
          <w:sz w:val="22"/>
          <w:szCs w:val="22"/>
        </w:rPr>
        <w:drawing>
          <wp:inline distT="0" distB="0" distL="0" distR="0" wp14:anchorId="41A70D9B" wp14:editId="40C1DA69">
            <wp:extent cx="6299835" cy="2327158"/>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6299835" cy="2327158"/>
                    </a:xfrm>
                    <a:prstGeom prst="rect">
                      <a:avLst/>
                    </a:prstGeom>
                    <a:ln/>
                  </pic:spPr>
                </pic:pic>
              </a:graphicData>
            </a:graphic>
          </wp:inline>
        </w:drawing>
      </w:r>
    </w:p>
    <w:p w14:paraId="6DB62257" w14:textId="77777777" w:rsidR="003D7F2C" w:rsidRDefault="00000000">
      <w:pPr>
        <w:rPr>
          <w:rFonts w:ascii="Garamond" w:eastAsia="Garamond" w:hAnsi="Garamond" w:cs="Garamond"/>
          <w:sz w:val="16"/>
          <w:szCs w:val="16"/>
        </w:rPr>
      </w:pPr>
      <w:r>
        <w:rPr>
          <w:rFonts w:ascii="Garamond" w:eastAsia="Garamond" w:hAnsi="Garamond" w:cs="Garamond"/>
          <w:sz w:val="16"/>
          <w:szCs w:val="16"/>
        </w:rPr>
        <w:t>Fuente: FMI, 2024.</w:t>
      </w:r>
    </w:p>
    <w:p w14:paraId="7F505BC9" w14:textId="77777777" w:rsidR="003D7F2C" w:rsidRDefault="003D7F2C">
      <w:pPr>
        <w:rPr>
          <w:rFonts w:ascii="Garamond" w:eastAsia="Garamond" w:hAnsi="Garamond" w:cs="Garamond"/>
          <w:sz w:val="22"/>
          <w:szCs w:val="22"/>
        </w:rPr>
      </w:pPr>
    </w:p>
    <w:p w14:paraId="48DE3BB5"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t xml:space="preserve">Cuadro 3: Precios promedio </w:t>
      </w:r>
      <w:proofErr w:type="spellStart"/>
      <w:r>
        <w:rPr>
          <w:rFonts w:ascii="Garamond" w:eastAsia="Garamond" w:hAnsi="Garamond" w:cs="Garamond"/>
          <w:b/>
          <w:i/>
          <w:sz w:val="22"/>
          <w:szCs w:val="22"/>
        </w:rPr>
        <w:t>commodities</w:t>
      </w:r>
      <w:proofErr w:type="spellEnd"/>
      <w:r>
        <w:rPr>
          <w:rFonts w:ascii="Garamond" w:eastAsia="Garamond" w:hAnsi="Garamond" w:cs="Garamond"/>
          <w:b/>
          <w:i/>
          <w:sz w:val="22"/>
          <w:szCs w:val="22"/>
        </w:rPr>
        <w:t xml:space="preserve"> </w:t>
      </w:r>
      <w:r>
        <w:rPr>
          <w:rFonts w:ascii="Garamond" w:eastAsia="Garamond" w:hAnsi="Garamond" w:cs="Garamond"/>
          <w:b/>
          <w:sz w:val="22"/>
          <w:szCs w:val="22"/>
        </w:rPr>
        <w:t>seleccionadas ($)</w:t>
      </w:r>
    </w:p>
    <w:p w14:paraId="10A57B2E" w14:textId="77777777" w:rsidR="003D7F2C" w:rsidRDefault="00000000">
      <w:pPr>
        <w:jc w:val="center"/>
        <w:rPr>
          <w:rFonts w:ascii="Garamond" w:eastAsia="Garamond" w:hAnsi="Garamond" w:cs="Garamond"/>
          <w:b/>
          <w:sz w:val="22"/>
          <w:szCs w:val="22"/>
        </w:rPr>
      </w:pPr>
      <w:r>
        <w:rPr>
          <w:rFonts w:ascii="Garamond" w:eastAsia="Garamond" w:hAnsi="Garamond" w:cs="Garamond"/>
          <w:b/>
          <w:noProof/>
          <w:sz w:val="22"/>
          <w:szCs w:val="22"/>
        </w:rPr>
        <w:drawing>
          <wp:inline distT="0" distB="0" distL="0" distR="0" wp14:anchorId="67E4C595" wp14:editId="4E7CE45B">
            <wp:extent cx="5893869" cy="112845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893869" cy="1128451"/>
                    </a:xfrm>
                    <a:prstGeom prst="rect">
                      <a:avLst/>
                    </a:prstGeom>
                    <a:ln/>
                  </pic:spPr>
                </pic:pic>
              </a:graphicData>
            </a:graphic>
          </wp:inline>
        </w:drawing>
      </w:r>
    </w:p>
    <w:p w14:paraId="377340D2" w14:textId="77777777" w:rsidR="003D7F2C" w:rsidRDefault="00000000">
      <w:pPr>
        <w:ind w:left="426"/>
        <w:rPr>
          <w:rFonts w:ascii="Garamond" w:eastAsia="Garamond" w:hAnsi="Garamond" w:cs="Garamond"/>
          <w:sz w:val="16"/>
          <w:szCs w:val="16"/>
        </w:rPr>
      </w:pPr>
      <w:r>
        <w:rPr>
          <w:rFonts w:ascii="Garamond" w:eastAsia="Garamond" w:hAnsi="Garamond" w:cs="Garamond"/>
          <w:sz w:val="16"/>
          <w:szCs w:val="16"/>
        </w:rPr>
        <w:t>Fuente: FMI, 2024; Banco Mundial, 2024.</w:t>
      </w:r>
    </w:p>
    <w:p w14:paraId="5B8A791A" w14:textId="77777777" w:rsidR="003D7F2C" w:rsidRDefault="00000000">
      <w:pPr>
        <w:rPr>
          <w:rFonts w:ascii="Garamond" w:eastAsia="Garamond" w:hAnsi="Garamond" w:cs="Garamond"/>
          <w:b/>
          <w:sz w:val="22"/>
          <w:szCs w:val="22"/>
        </w:rPr>
      </w:pPr>
      <w:r>
        <w:br w:type="page"/>
      </w:r>
    </w:p>
    <w:p w14:paraId="6A54B8DA"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lastRenderedPageBreak/>
        <w:t>Cuadro 4: Demanda y oferta mundial de petróleo (</w:t>
      </w:r>
      <w:proofErr w:type="spellStart"/>
      <w:r>
        <w:rPr>
          <w:rFonts w:ascii="Garamond" w:eastAsia="Garamond" w:hAnsi="Garamond" w:cs="Garamond"/>
          <w:b/>
          <w:sz w:val="22"/>
          <w:szCs w:val="22"/>
        </w:rPr>
        <w:t>mmbd</w:t>
      </w:r>
      <w:proofErr w:type="spellEnd"/>
      <w:r>
        <w:rPr>
          <w:rFonts w:ascii="Garamond" w:eastAsia="Garamond" w:hAnsi="Garamond" w:cs="Garamond"/>
          <w:b/>
          <w:sz w:val="22"/>
          <w:szCs w:val="22"/>
        </w:rPr>
        <w:t>)</w:t>
      </w:r>
    </w:p>
    <w:p w14:paraId="4F447E4D" w14:textId="77777777" w:rsidR="003D7F2C" w:rsidRDefault="00000000">
      <w:pPr>
        <w:jc w:val="center"/>
        <w:rPr>
          <w:rFonts w:ascii="Garamond" w:eastAsia="Garamond" w:hAnsi="Garamond" w:cs="Garamond"/>
          <w:sz w:val="16"/>
          <w:szCs w:val="16"/>
        </w:rPr>
      </w:pPr>
      <w:r>
        <w:rPr>
          <w:rFonts w:ascii="Garamond" w:eastAsia="Garamond" w:hAnsi="Garamond" w:cs="Garamond"/>
          <w:b/>
          <w:noProof/>
          <w:sz w:val="22"/>
          <w:szCs w:val="22"/>
        </w:rPr>
        <w:drawing>
          <wp:inline distT="0" distB="0" distL="0" distR="0" wp14:anchorId="2851613C" wp14:editId="550BFD08">
            <wp:extent cx="4227822" cy="2758849"/>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227822" cy="2758849"/>
                    </a:xfrm>
                    <a:prstGeom prst="rect">
                      <a:avLst/>
                    </a:prstGeom>
                    <a:ln/>
                  </pic:spPr>
                </pic:pic>
              </a:graphicData>
            </a:graphic>
          </wp:inline>
        </w:drawing>
      </w:r>
    </w:p>
    <w:p w14:paraId="11AE3A86" w14:textId="77777777" w:rsidR="003D7F2C" w:rsidRDefault="00000000">
      <w:pPr>
        <w:ind w:left="1701"/>
        <w:rPr>
          <w:rFonts w:ascii="Garamond" w:eastAsia="Garamond" w:hAnsi="Garamond" w:cs="Garamond"/>
          <w:sz w:val="16"/>
          <w:szCs w:val="16"/>
        </w:rPr>
      </w:pPr>
      <w:r>
        <w:rPr>
          <w:rFonts w:ascii="Garamond" w:eastAsia="Garamond" w:hAnsi="Garamond" w:cs="Garamond"/>
          <w:sz w:val="16"/>
          <w:szCs w:val="16"/>
        </w:rPr>
        <w:t xml:space="preserve">Fuente: </w:t>
      </w:r>
      <w:proofErr w:type="spellStart"/>
      <w:r>
        <w:rPr>
          <w:rFonts w:ascii="Garamond" w:eastAsia="Garamond" w:hAnsi="Garamond" w:cs="Garamond"/>
          <w:sz w:val="16"/>
          <w:szCs w:val="16"/>
        </w:rPr>
        <w:t>EIA</w:t>
      </w:r>
      <w:proofErr w:type="spellEnd"/>
      <w:r>
        <w:rPr>
          <w:rFonts w:ascii="Garamond" w:eastAsia="Garamond" w:hAnsi="Garamond" w:cs="Garamond"/>
          <w:sz w:val="16"/>
          <w:szCs w:val="16"/>
        </w:rPr>
        <w:t>, 2024.</w:t>
      </w:r>
    </w:p>
    <w:p w14:paraId="6407E565" w14:textId="77777777" w:rsidR="003D7F2C" w:rsidRDefault="003D7F2C">
      <w:pPr>
        <w:ind w:left="2552"/>
        <w:rPr>
          <w:rFonts w:ascii="Garamond" w:eastAsia="Garamond" w:hAnsi="Garamond" w:cs="Garamond"/>
          <w:sz w:val="22"/>
          <w:szCs w:val="22"/>
        </w:rPr>
      </w:pPr>
    </w:p>
    <w:p w14:paraId="1DF82ECE" w14:textId="77777777" w:rsidR="003D7F2C" w:rsidRDefault="00000000">
      <w:pPr>
        <w:spacing w:line="360" w:lineRule="auto"/>
        <w:jc w:val="center"/>
        <w:rPr>
          <w:rFonts w:ascii="Garamond" w:eastAsia="Garamond" w:hAnsi="Garamond" w:cs="Garamond"/>
          <w:sz w:val="22"/>
          <w:szCs w:val="22"/>
        </w:rPr>
      </w:pPr>
      <w:r>
        <w:rPr>
          <w:rFonts w:ascii="Garamond" w:eastAsia="Garamond" w:hAnsi="Garamond" w:cs="Garamond"/>
          <w:b/>
          <w:sz w:val="22"/>
          <w:szCs w:val="22"/>
        </w:rPr>
        <w:t>Cuadro 5: Venezuela: Variables petroleras</w:t>
      </w:r>
    </w:p>
    <w:p w14:paraId="552869E1" w14:textId="77777777" w:rsidR="003D7F2C"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47F70BA0" wp14:editId="6B85CC4B">
            <wp:extent cx="6299835" cy="142009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299835" cy="1420096"/>
                    </a:xfrm>
                    <a:prstGeom prst="rect">
                      <a:avLst/>
                    </a:prstGeom>
                    <a:ln/>
                  </pic:spPr>
                </pic:pic>
              </a:graphicData>
            </a:graphic>
          </wp:inline>
        </w:drawing>
      </w:r>
    </w:p>
    <w:p w14:paraId="0A72BCCD" w14:textId="77777777" w:rsidR="003D7F2C" w:rsidRDefault="00000000">
      <w:pPr>
        <w:spacing w:after="120"/>
        <w:rPr>
          <w:rFonts w:ascii="Garamond" w:eastAsia="Garamond" w:hAnsi="Garamond" w:cs="Garamond"/>
          <w:sz w:val="16"/>
          <w:szCs w:val="16"/>
        </w:rPr>
      </w:pPr>
      <w:r>
        <w:rPr>
          <w:rFonts w:ascii="Garamond" w:eastAsia="Garamond" w:hAnsi="Garamond" w:cs="Garamond"/>
          <w:sz w:val="16"/>
          <w:szCs w:val="16"/>
        </w:rPr>
        <w:t xml:space="preserve">Fuente: </w:t>
      </w:r>
      <w:proofErr w:type="spellStart"/>
      <w:r>
        <w:rPr>
          <w:rFonts w:ascii="Garamond" w:eastAsia="Garamond" w:hAnsi="Garamond" w:cs="Garamond"/>
          <w:sz w:val="16"/>
          <w:szCs w:val="16"/>
        </w:rPr>
        <w:t>OPEC</w:t>
      </w:r>
      <w:proofErr w:type="spellEnd"/>
      <w:r>
        <w:rPr>
          <w:rFonts w:ascii="Garamond" w:eastAsia="Garamond" w:hAnsi="Garamond" w:cs="Garamond"/>
          <w:sz w:val="16"/>
          <w:szCs w:val="16"/>
        </w:rPr>
        <w:t>, 2023; cálculos propios.</w:t>
      </w:r>
    </w:p>
    <w:p w14:paraId="6EC1B2B3" w14:textId="77777777" w:rsidR="003D7F2C" w:rsidRDefault="003D7F2C">
      <w:pPr>
        <w:spacing w:line="360" w:lineRule="auto"/>
        <w:jc w:val="both"/>
        <w:rPr>
          <w:rFonts w:ascii="Garamond" w:eastAsia="Garamond" w:hAnsi="Garamond" w:cs="Garamond"/>
          <w:sz w:val="22"/>
          <w:szCs w:val="22"/>
        </w:rPr>
      </w:pPr>
    </w:p>
    <w:p w14:paraId="17F18001"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t>Cuadro 6: Variación % de la base monetaria y la liquidez</w:t>
      </w:r>
    </w:p>
    <w:p w14:paraId="26C86D52" w14:textId="77777777" w:rsidR="003D7F2C"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06FB4AEB" wp14:editId="7175BB9C">
            <wp:extent cx="6299835" cy="152192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299835" cy="1521922"/>
                    </a:xfrm>
                    <a:prstGeom prst="rect">
                      <a:avLst/>
                    </a:prstGeom>
                    <a:ln/>
                  </pic:spPr>
                </pic:pic>
              </a:graphicData>
            </a:graphic>
          </wp:inline>
        </w:drawing>
      </w:r>
    </w:p>
    <w:p w14:paraId="7216BD26" w14:textId="77777777" w:rsidR="003D7F2C" w:rsidRDefault="00000000">
      <w:pPr>
        <w:rPr>
          <w:rFonts w:ascii="Garamond" w:eastAsia="Garamond" w:hAnsi="Garamond" w:cs="Garamond"/>
          <w:sz w:val="16"/>
          <w:szCs w:val="16"/>
        </w:rPr>
      </w:pPr>
      <w:r>
        <w:rPr>
          <w:rFonts w:ascii="Garamond" w:eastAsia="Garamond" w:hAnsi="Garamond" w:cs="Garamond"/>
          <w:sz w:val="16"/>
          <w:szCs w:val="16"/>
        </w:rPr>
        <w:t>Fuente: BCV, 2024; cálculos propios.</w:t>
      </w:r>
    </w:p>
    <w:p w14:paraId="6D635D41" w14:textId="77777777" w:rsidR="003D7F2C" w:rsidRDefault="00000000">
      <w:pPr>
        <w:rPr>
          <w:rFonts w:ascii="Garamond" w:eastAsia="Garamond" w:hAnsi="Garamond" w:cs="Garamond"/>
          <w:b/>
          <w:sz w:val="32"/>
          <w:szCs w:val="32"/>
        </w:rPr>
      </w:pPr>
      <w:r>
        <w:br w:type="page"/>
      </w:r>
    </w:p>
    <w:p w14:paraId="17FD6999"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lastRenderedPageBreak/>
        <w:t>Cuadro 7: Sector manufacturero. Remuneración al personal obrero</w:t>
      </w:r>
    </w:p>
    <w:p w14:paraId="6FC8C41B" w14:textId="77777777" w:rsidR="003D7F2C" w:rsidRDefault="00000000">
      <w:pPr>
        <w:jc w:val="center"/>
        <w:rPr>
          <w:rFonts w:ascii="Garamond" w:eastAsia="Garamond" w:hAnsi="Garamond" w:cs="Garamond"/>
          <w:sz w:val="16"/>
          <w:szCs w:val="16"/>
        </w:rPr>
      </w:pPr>
      <w:r>
        <w:rPr>
          <w:rFonts w:ascii="Garamond" w:eastAsia="Garamond" w:hAnsi="Garamond" w:cs="Garamond"/>
          <w:b/>
          <w:noProof/>
          <w:sz w:val="22"/>
          <w:szCs w:val="22"/>
        </w:rPr>
        <w:drawing>
          <wp:inline distT="0" distB="0" distL="0" distR="0" wp14:anchorId="4CAB5040" wp14:editId="63327566">
            <wp:extent cx="6228468" cy="35052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228468" cy="350520"/>
                    </a:xfrm>
                    <a:prstGeom prst="rect">
                      <a:avLst/>
                    </a:prstGeom>
                    <a:ln/>
                  </pic:spPr>
                </pic:pic>
              </a:graphicData>
            </a:graphic>
          </wp:inline>
        </w:drawing>
      </w:r>
    </w:p>
    <w:p w14:paraId="0418427D" w14:textId="77777777" w:rsidR="003D7F2C" w:rsidRDefault="00000000">
      <w:pPr>
        <w:rPr>
          <w:rFonts w:ascii="Garamond" w:eastAsia="Garamond" w:hAnsi="Garamond" w:cs="Garamond"/>
          <w:sz w:val="16"/>
          <w:szCs w:val="16"/>
        </w:rPr>
      </w:pPr>
      <w:r>
        <w:rPr>
          <w:rFonts w:ascii="Garamond" w:eastAsia="Garamond" w:hAnsi="Garamond" w:cs="Garamond"/>
          <w:sz w:val="16"/>
          <w:szCs w:val="16"/>
        </w:rPr>
        <w:t xml:space="preserve">Fuente: </w:t>
      </w:r>
      <w:proofErr w:type="spellStart"/>
      <w:r>
        <w:rPr>
          <w:rFonts w:ascii="Garamond" w:eastAsia="Garamond" w:hAnsi="Garamond" w:cs="Garamond"/>
          <w:sz w:val="16"/>
          <w:szCs w:val="16"/>
        </w:rPr>
        <w:t>CONINDUSTRIA</w:t>
      </w:r>
      <w:proofErr w:type="spellEnd"/>
      <w:r>
        <w:rPr>
          <w:rFonts w:ascii="Garamond" w:eastAsia="Garamond" w:hAnsi="Garamond" w:cs="Garamond"/>
          <w:sz w:val="16"/>
          <w:szCs w:val="16"/>
        </w:rPr>
        <w:t>, 2021, 2022 y 2023.</w:t>
      </w:r>
    </w:p>
    <w:p w14:paraId="31BB607F" w14:textId="77777777" w:rsidR="003D7F2C" w:rsidRDefault="003D7F2C">
      <w:pPr>
        <w:ind w:left="2552"/>
        <w:rPr>
          <w:rFonts w:ascii="Garamond" w:eastAsia="Garamond" w:hAnsi="Garamond" w:cs="Garamond"/>
          <w:sz w:val="22"/>
          <w:szCs w:val="22"/>
        </w:rPr>
      </w:pPr>
    </w:p>
    <w:p w14:paraId="7C71AC9E" w14:textId="77777777" w:rsidR="003D7F2C" w:rsidRDefault="00000000">
      <w:pPr>
        <w:spacing w:line="360" w:lineRule="auto"/>
        <w:jc w:val="center"/>
        <w:rPr>
          <w:rFonts w:ascii="Garamond" w:eastAsia="Garamond" w:hAnsi="Garamond" w:cs="Garamond"/>
          <w:sz w:val="22"/>
          <w:szCs w:val="22"/>
        </w:rPr>
      </w:pPr>
      <w:r>
        <w:rPr>
          <w:rFonts w:ascii="Garamond" w:eastAsia="Garamond" w:hAnsi="Garamond" w:cs="Garamond"/>
          <w:b/>
          <w:sz w:val="22"/>
          <w:szCs w:val="22"/>
        </w:rPr>
        <w:t>Cuadro 8: Captaciones en moneda extranjera disponibles para el crédito</w:t>
      </w:r>
    </w:p>
    <w:p w14:paraId="2FF82A5A" w14:textId="77777777" w:rsidR="003D7F2C"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21CEB534" wp14:editId="120A5BFE">
            <wp:extent cx="4941933" cy="1420096"/>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41933" cy="1420096"/>
                    </a:xfrm>
                    <a:prstGeom prst="rect">
                      <a:avLst/>
                    </a:prstGeom>
                    <a:ln/>
                  </pic:spPr>
                </pic:pic>
              </a:graphicData>
            </a:graphic>
          </wp:inline>
        </w:drawing>
      </w:r>
    </w:p>
    <w:p w14:paraId="5E7D8966" w14:textId="77777777" w:rsidR="003D7F2C" w:rsidRDefault="00000000">
      <w:pPr>
        <w:spacing w:after="120"/>
        <w:ind w:left="1134"/>
        <w:rPr>
          <w:rFonts w:ascii="Garamond" w:eastAsia="Garamond" w:hAnsi="Garamond" w:cs="Garamond"/>
          <w:sz w:val="16"/>
          <w:szCs w:val="16"/>
        </w:rPr>
      </w:pPr>
      <w:r>
        <w:rPr>
          <w:rFonts w:ascii="Garamond" w:eastAsia="Garamond" w:hAnsi="Garamond" w:cs="Garamond"/>
          <w:sz w:val="16"/>
          <w:szCs w:val="16"/>
        </w:rPr>
        <w:t xml:space="preserve">Fuente: </w:t>
      </w:r>
      <w:proofErr w:type="spellStart"/>
      <w:r>
        <w:rPr>
          <w:rFonts w:ascii="Garamond" w:eastAsia="Garamond" w:hAnsi="Garamond" w:cs="Garamond"/>
          <w:sz w:val="16"/>
          <w:szCs w:val="16"/>
        </w:rPr>
        <w:t>Sudeban</w:t>
      </w:r>
      <w:proofErr w:type="spellEnd"/>
      <w:r>
        <w:rPr>
          <w:rFonts w:ascii="Garamond" w:eastAsia="Garamond" w:hAnsi="Garamond" w:cs="Garamond"/>
          <w:sz w:val="16"/>
          <w:szCs w:val="16"/>
        </w:rPr>
        <w:t>; cálculos propios.</w:t>
      </w:r>
    </w:p>
    <w:p w14:paraId="110CEB92" w14:textId="77777777" w:rsidR="003D7F2C" w:rsidRDefault="003D7F2C">
      <w:pPr>
        <w:spacing w:line="360" w:lineRule="auto"/>
        <w:jc w:val="both"/>
        <w:rPr>
          <w:rFonts w:ascii="Garamond" w:eastAsia="Garamond" w:hAnsi="Garamond" w:cs="Garamond"/>
          <w:sz w:val="22"/>
          <w:szCs w:val="22"/>
        </w:rPr>
      </w:pPr>
    </w:p>
    <w:p w14:paraId="37B5E787"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t>Cuadro 9: Dispersión relativa en el gasto promedio del hogar: coeficiente de variación</w:t>
      </w:r>
    </w:p>
    <w:p w14:paraId="587FF551" w14:textId="77777777" w:rsidR="003D7F2C"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3277D96B" wp14:editId="3ADCB5EA">
            <wp:extent cx="5064443" cy="1989602"/>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064443" cy="1989602"/>
                    </a:xfrm>
                    <a:prstGeom prst="rect">
                      <a:avLst/>
                    </a:prstGeom>
                    <a:ln/>
                  </pic:spPr>
                </pic:pic>
              </a:graphicData>
            </a:graphic>
          </wp:inline>
        </w:drawing>
      </w:r>
    </w:p>
    <w:p w14:paraId="3FF30502" w14:textId="77777777" w:rsidR="003D7F2C" w:rsidRDefault="003D7F2C">
      <w:pPr>
        <w:rPr>
          <w:rFonts w:ascii="Garamond" w:eastAsia="Garamond" w:hAnsi="Garamond" w:cs="Garamond"/>
          <w:b/>
          <w:sz w:val="22"/>
          <w:szCs w:val="22"/>
        </w:rPr>
      </w:pPr>
    </w:p>
    <w:p w14:paraId="6913FCBC" w14:textId="77777777" w:rsidR="003D7F2C" w:rsidRDefault="00000000">
      <w:pPr>
        <w:jc w:val="center"/>
        <w:rPr>
          <w:rFonts w:ascii="Garamond" w:eastAsia="Garamond" w:hAnsi="Garamond" w:cs="Garamond"/>
          <w:b/>
          <w:sz w:val="22"/>
          <w:szCs w:val="22"/>
        </w:rPr>
      </w:pPr>
      <w:r>
        <w:rPr>
          <w:rFonts w:ascii="Garamond" w:eastAsia="Garamond" w:hAnsi="Garamond" w:cs="Garamond"/>
          <w:b/>
          <w:sz w:val="22"/>
          <w:szCs w:val="22"/>
        </w:rPr>
        <w:t>Cuadro 10: Desigualdad en el gasto general y en alimentos de los hogares</w:t>
      </w:r>
    </w:p>
    <w:p w14:paraId="3ED39E6D" w14:textId="77777777" w:rsidR="003D7F2C" w:rsidRDefault="00000000">
      <w:pPr>
        <w:spacing w:line="276" w:lineRule="auto"/>
        <w:jc w:val="center"/>
        <w:rPr>
          <w:rFonts w:ascii="Garamond" w:eastAsia="Garamond" w:hAnsi="Garamond" w:cs="Garamond"/>
          <w:b/>
          <w:sz w:val="22"/>
          <w:szCs w:val="22"/>
        </w:rPr>
      </w:pPr>
      <w:r>
        <w:rPr>
          <w:rFonts w:ascii="Garamond" w:eastAsia="Garamond" w:hAnsi="Garamond" w:cs="Garamond"/>
          <w:b/>
          <w:sz w:val="22"/>
          <w:szCs w:val="22"/>
        </w:rPr>
        <w:t xml:space="preserve">Índice de </w:t>
      </w:r>
      <w:proofErr w:type="spellStart"/>
      <w:r>
        <w:rPr>
          <w:rFonts w:ascii="Garamond" w:eastAsia="Garamond" w:hAnsi="Garamond" w:cs="Garamond"/>
          <w:b/>
          <w:sz w:val="22"/>
          <w:szCs w:val="22"/>
        </w:rPr>
        <w:t>Theil</w:t>
      </w:r>
      <w:proofErr w:type="spellEnd"/>
      <w:r>
        <w:rPr>
          <w:rFonts w:ascii="Garamond" w:eastAsia="Garamond" w:hAnsi="Garamond" w:cs="Garamond"/>
          <w:b/>
          <w:sz w:val="22"/>
          <w:szCs w:val="22"/>
        </w:rPr>
        <w:t xml:space="preserve"> estandarizado</w:t>
      </w:r>
    </w:p>
    <w:p w14:paraId="5771852D" w14:textId="77777777" w:rsidR="003D7F2C" w:rsidRDefault="00000000">
      <w:pPr>
        <w:jc w:val="center"/>
        <w:rPr>
          <w:rFonts w:ascii="Garamond" w:eastAsia="Garamond" w:hAnsi="Garamond" w:cs="Garamond"/>
          <w:sz w:val="16"/>
          <w:szCs w:val="16"/>
        </w:rPr>
      </w:pPr>
      <w:r>
        <w:rPr>
          <w:rFonts w:ascii="Garamond" w:eastAsia="Garamond" w:hAnsi="Garamond" w:cs="Garamond"/>
          <w:b/>
          <w:noProof/>
          <w:sz w:val="22"/>
          <w:szCs w:val="22"/>
        </w:rPr>
        <w:drawing>
          <wp:inline distT="0" distB="0" distL="0" distR="0" wp14:anchorId="403B95E5" wp14:editId="48F23B65">
            <wp:extent cx="3408571" cy="55665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08571" cy="556657"/>
                    </a:xfrm>
                    <a:prstGeom prst="rect">
                      <a:avLst/>
                    </a:prstGeom>
                    <a:ln/>
                  </pic:spPr>
                </pic:pic>
              </a:graphicData>
            </a:graphic>
          </wp:inline>
        </w:drawing>
      </w:r>
    </w:p>
    <w:p w14:paraId="390EF76C" w14:textId="77777777" w:rsidR="003D7F2C" w:rsidRDefault="00000000">
      <w:pPr>
        <w:ind w:left="2552"/>
        <w:rPr>
          <w:rFonts w:ascii="Garamond" w:eastAsia="Garamond" w:hAnsi="Garamond" w:cs="Garamond"/>
          <w:sz w:val="16"/>
          <w:szCs w:val="16"/>
        </w:rPr>
      </w:pPr>
      <w:r>
        <w:rPr>
          <w:rFonts w:ascii="Garamond" w:eastAsia="Garamond" w:hAnsi="Garamond" w:cs="Garamond"/>
          <w:sz w:val="16"/>
          <w:szCs w:val="16"/>
        </w:rPr>
        <w:t xml:space="preserve">Fuente: </w:t>
      </w:r>
      <w:proofErr w:type="spellStart"/>
      <w:r>
        <w:rPr>
          <w:rFonts w:ascii="Garamond" w:eastAsia="Garamond" w:hAnsi="Garamond" w:cs="Garamond"/>
          <w:sz w:val="16"/>
          <w:szCs w:val="16"/>
        </w:rPr>
        <w:t>EIA</w:t>
      </w:r>
      <w:proofErr w:type="spellEnd"/>
      <w:r>
        <w:rPr>
          <w:rFonts w:ascii="Garamond" w:eastAsia="Garamond" w:hAnsi="Garamond" w:cs="Garamond"/>
          <w:sz w:val="16"/>
          <w:szCs w:val="16"/>
        </w:rPr>
        <w:t>, 2024.</w:t>
      </w:r>
    </w:p>
    <w:p w14:paraId="0E36CF8A" w14:textId="77777777" w:rsidR="003D7F2C" w:rsidRDefault="003D7F2C">
      <w:pPr>
        <w:ind w:left="2552"/>
        <w:rPr>
          <w:rFonts w:ascii="Garamond" w:eastAsia="Garamond" w:hAnsi="Garamond" w:cs="Garamond"/>
          <w:sz w:val="22"/>
          <w:szCs w:val="22"/>
        </w:rPr>
      </w:pPr>
    </w:p>
    <w:p w14:paraId="67C4AAC9" w14:textId="77777777" w:rsidR="003D7F2C" w:rsidRDefault="00000000">
      <w:pPr>
        <w:jc w:val="center"/>
        <w:rPr>
          <w:rFonts w:ascii="Garamond" w:eastAsia="Garamond" w:hAnsi="Garamond" w:cs="Garamond"/>
          <w:b/>
          <w:sz w:val="22"/>
          <w:szCs w:val="22"/>
        </w:rPr>
      </w:pPr>
      <w:r>
        <w:br w:type="page"/>
      </w:r>
    </w:p>
    <w:p w14:paraId="7ED8D00F" w14:textId="77777777" w:rsidR="003D7F2C" w:rsidRDefault="00000000">
      <w:pPr>
        <w:jc w:val="center"/>
        <w:rPr>
          <w:rFonts w:ascii="Garamond" w:eastAsia="Garamond" w:hAnsi="Garamond" w:cs="Garamond"/>
          <w:b/>
          <w:sz w:val="22"/>
          <w:szCs w:val="22"/>
        </w:rPr>
      </w:pPr>
      <w:r>
        <w:rPr>
          <w:rFonts w:ascii="Garamond" w:eastAsia="Garamond" w:hAnsi="Garamond" w:cs="Garamond"/>
          <w:b/>
          <w:sz w:val="22"/>
          <w:szCs w:val="22"/>
        </w:rPr>
        <w:lastRenderedPageBreak/>
        <w:t xml:space="preserve">Cuadro 11: Desigualdad en el gasto general y en alimentos </w:t>
      </w:r>
      <w:proofErr w:type="spellStart"/>
      <w:r>
        <w:rPr>
          <w:rFonts w:ascii="Garamond" w:eastAsia="Garamond" w:hAnsi="Garamond" w:cs="Garamond"/>
          <w:b/>
          <w:sz w:val="22"/>
          <w:szCs w:val="22"/>
        </w:rPr>
        <w:t>intergrupos</w:t>
      </w:r>
      <w:proofErr w:type="spellEnd"/>
      <w:r>
        <w:rPr>
          <w:rFonts w:ascii="Garamond" w:eastAsia="Garamond" w:hAnsi="Garamond" w:cs="Garamond"/>
          <w:b/>
          <w:sz w:val="22"/>
          <w:szCs w:val="22"/>
        </w:rPr>
        <w:t xml:space="preserve"> e </w:t>
      </w:r>
      <w:proofErr w:type="spellStart"/>
      <w:r>
        <w:rPr>
          <w:rFonts w:ascii="Garamond" w:eastAsia="Garamond" w:hAnsi="Garamond" w:cs="Garamond"/>
          <w:b/>
          <w:sz w:val="22"/>
          <w:szCs w:val="22"/>
        </w:rPr>
        <w:t>intragrupos</w:t>
      </w:r>
      <w:proofErr w:type="spellEnd"/>
      <w:r>
        <w:rPr>
          <w:rFonts w:ascii="Garamond" w:eastAsia="Garamond" w:hAnsi="Garamond" w:cs="Garamond"/>
          <w:b/>
          <w:sz w:val="22"/>
          <w:szCs w:val="22"/>
        </w:rPr>
        <w:t xml:space="preserve"> </w:t>
      </w:r>
    </w:p>
    <w:p w14:paraId="5EB2D6FE" w14:textId="77777777" w:rsidR="003D7F2C" w:rsidRDefault="00000000">
      <w:pPr>
        <w:spacing w:line="276" w:lineRule="auto"/>
        <w:jc w:val="center"/>
        <w:rPr>
          <w:rFonts w:ascii="Garamond" w:eastAsia="Garamond" w:hAnsi="Garamond" w:cs="Garamond"/>
          <w:sz w:val="22"/>
          <w:szCs w:val="22"/>
        </w:rPr>
      </w:pPr>
      <w:r>
        <w:rPr>
          <w:rFonts w:ascii="Garamond" w:eastAsia="Garamond" w:hAnsi="Garamond" w:cs="Garamond"/>
          <w:b/>
          <w:sz w:val="22"/>
          <w:szCs w:val="22"/>
        </w:rPr>
        <w:t xml:space="preserve">Descomposición del Índice de </w:t>
      </w:r>
      <w:proofErr w:type="spellStart"/>
      <w:r>
        <w:rPr>
          <w:rFonts w:ascii="Garamond" w:eastAsia="Garamond" w:hAnsi="Garamond" w:cs="Garamond"/>
          <w:b/>
          <w:sz w:val="22"/>
          <w:szCs w:val="22"/>
        </w:rPr>
        <w:t>Theil</w:t>
      </w:r>
      <w:proofErr w:type="spellEnd"/>
      <w:r>
        <w:rPr>
          <w:rFonts w:ascii="Garamond" w:eastAsia="Garamond" w:hAnsi="Garamond" w:cs="Garamond"/>
          <w:b/>
          <w:sz w:val="22"/>
          <w:szCs w:val="22"/>
        </w:rPr>
        <w:t xml:space="preserve"> Años 2021 y 2023</w:t>
      </w:r>
    </w:p>
    <w:p w14:paraId="0DEEBEBF" w14:textId="77777777" w:rsidR="003D7F2C" w:rsidRDefault="00000000">
      <w:pPr>
        <w:jc w:val="center"/>
        <w:rPr>
          <w:rFonts w:ascii="Garamond" w:eastAsia="Garamond" w:hAnsi="Garamond" w:cs="Garamond"/>
          <w:sz w:val="22"/>
          <w:szCs w:val="22"/>
        </w:rPr>
      </w:pPr>
      <w:r>
        <w:rPr>
          <w:rFonts w:ascii="Garamond" w:eastAsia="Garamond" w:hAnsi="Garamond" w:cs="Garamond"/>
          <w:noProof/>
          <w:sz w:val="22"/>
          <w:szCs w:val="22"/>
        </w:rPr>
        <w:drawing>
          <wp:inline distT="0" distB="0" distL="0" distR="0" wp14:anchorId="0FDD7D4B" wp14:editId="3F1C536E">
            <wp:extent cx="5661618" cy="1581626"/>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61618" cy="1581626"/>
                    </a:xfrm>
                    <a:prstGeom prst="rect">
                      <a:avLst/>
                    </a:prstGeom>
                    <a:ln/>
                  </pic:spPr>
                </pic:pic>
              </a:graphicData>
            </a:graphic>
          </wp:inline>
        </w:drawing>
      </w:r>
    </w:p>
    <w:p w14:paraId="1B184B27" w14:textId="77777777" w:rsidR="003D7F2C" w:rsidRDefault="003D7F2C">
      <w:pPr>
        <w:jc w:val="center"/>
        <w:rPr>
          <w:rFonts w:ascii="Garamond" w:eastAsia="Garamond" w:hAnsi="Garamond" w:cs="Garamond"/>
          <w:sz w:val="22"/>
          <w:szCs w:val="22"/>
        </w:rPr>
      </w:pPr>
    </w:p>
    <w:p w14:paraId="0E07DFA1" w14:textId="77777777" w:rsidR="003D7F2C" w:rsidRDefault="00000000">
      <w:pPr>
        <w:jc w:val="center"/>
        <w:rPr>
          <w:rFonts w:ascii="Garamond" w:eastAsia="Garamond" w:hAnsi="Garamond" w:cs="Garamond"/>
          <w:sz w:val="22"/>
          <w:szCs w:val="22"/>
        </w:rPr>
      </w:pPr>
      <w:r>
        <w:rPr>
          <w:rFonts w:ascii="Garamond" w:eastAsia="Garamond" w:hAnsi="Garamond" w:cs="Garamond"/>
          <w:b/>
          <w:sz w:val="22"/>
          <w:szCs w:val="22"/>
        </w:rPr>
        <w:t>Cuadro 12: Desigualdad en el gasto por rubro alimenticio de los hogares</w:t>
      </w:r>
      <w:r>
        <w:rPr>
          <w:rFonts w:ascii="Garamond" w:eastAsia="Garamond" w:hAnsi="Garamond" w:cs="Garamond"/>
          <w:noProof/>
          <w:sz w:val="22"/>
          <w:szCs w:val="22"/>
        </w:rPr>
        <w:drawing>
          <wp:inline distT="0" distB="0" distL="0" distR="0" wp14:anchorId="3CB96ABE" wp14:editId="3040D550">
            <wp:extent cx="6133311" cy="2900031"/>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133311" cy="2900031"/>
                    </a:xfrm>
                    <a:prstGeom prst="rect">
                      <a:avLst/>
                    </a:prstGeom>
                    <a:ln/>
                  </pic:spPr>
                </pic:pic>
              </a:graphicData>
            </a:graphic>
          </wp:inline>
        </w:drawing>
      </w:r>
    </w:p>
    <w:p w14:paraId="5F1AC967" w14:textId="77777777" w:rsidR="003D7F2C" w:rsidRDefault="003D7F2C">
      <w:pPr>
        <w:shd w:val="clear" w:color="auto" w:fill="FFFFFF"/>
        <w:spacing w:line="360" w:lineRule="auto"/>
        <w:ind w:left="283"/>
        <w:jc w:val="both"/>
        <w:rPr>
          <w:rFonts w:ascii="Garamond" w:eastAsia="Garamond" w:hAnsi="Garamond" w:cs="Garamond"/>
          <w:sz w:val="22"/>
          <w:szCs w:val="22"/>
        </w:rPr>
      </w:pPr>
    </w:p>
    <w:p w14:paraId="21AD4AD0" w14:textId="77777777" w:rsidR="003D7F2C" w:rsidRDefault="00000000">
      <w:pPr>
        <w:shd w:val="clear" w:color="auto" w:fill="FFFFFF"/>
        <w:ind w:left="283"/>
        <w:jc w:val="center"/>
        <w:rPr>
          <w:rFonts w:ascii="Garamond" w:eastAsia="Garamond" w:hAnsi="Garamond" w:cs="Garamond"/>
          <w:b/>
          <w:sz w:val="22"/>
          <w:szCs w:val="22"/>
        </w:rPr>
      </w:pPr>
      <w:r>
        <w:rPr>
          <w:rFonts w:ascii="Garamond" w:eastAsia="Garamond" w:hAnsi="Garamond" w:cs="Garamond"/>
          <w:b/>
          <w:sz w:val="22"/>
          <w:szCs w:val="22"/>
        </w:rPr>
        <w:t>Cuadro 13: Desigualdad en el gasto por rubro alimenticio de los hogares</w:t>
      </w:r>
      <w:r>
        <w:rPr>
          <w:rFonts w:ascii="Garamond" w:eastAsia="Garamond" w:hAnsi="Garamond" w:cs="Garamond"/>
          <w:noProof/>
          <w:sz w:val="22"/>
          <w:szCs w:val="22"/>
        </w:rPr>
        <w:drawing>
          <wp:inline distT="0" distB="0" distL="0" distR="0" wp14:anchorId="4244332E" wp14:editId="4D6C52BD">
            <wp:extent cx="6133311" cy="1696841"/>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6133311" cy="1696841"/>
                    </a:xfrm>
                    <a:prstGeom prst="rect">
                      <a:avLst/>
                    </a:prstGeom>
                    <a:ln/>
                  </pic:spPr>
                </pic:pic>
              </a:graphicData>
            </a:graphic>
          </wp:inline>
        </w:drawing>
      </w:r>
    </w:p>
    <w:p w14:paraId="101BD19A" w14:textId="77777777" w:rsidR="003D7F2C" w:rsidRDefault="00000000">
      <w:pPr>
        <w:shd w:val="clear" w:color="auto" w:fill="FFFFFF"/>
        <w:spacing w:after="200" w:line="360" w:lineRule="auto"/>
        <w:ind w:left="283"/>
        <w:rPr>
          <w:rFonts w:ascii="Garamond" w:eastAsia="Garamond" w:hAnsi="Garamond" w:cs="Garamond"/>
          <w:sz w:val="16"/>
          <w:szCs w:val="16"/>
        </w:rPr>
      </w:pPr>
      <w:r>
        <w:rPr>
          <w:rFonts w:ascii="Garamond" w:eastAsia="Garamond" w:hAnsi="Garamond" w:cs="Garamond"/>
          <w:sz w:val="16"/>
          <w:szCs w:val="16"/>
        </w:rPr>
        <w:t>Fuente: BCV, 2022; OPEP, 2023; cálculos propios.</w:t>
      </w:r>
    </w:p>
    <w:sectPr w:rsidR="003D7F2C">
      <w:headerReference w:type="even" r:id="rId19"/>
      <w:headerReference w:type="default" r:id="rId20"/>
      <w:footerReference w:type="even" r:id="rId21"/>
      <w:footerReference w:type="default" r:id="rId22"/>
      <w:headerReference w:type="first" r:id="rId23"/>
      <w:footerReference w:type="first" r:id="rId24"/>
      <w:pgSz w:w="12240" w:h="15840"/>
      <w:pgMar w:top="713" w:right="1041" w:bottom="1417" w:left="1275" w:header="714" w:footer="566" w:gutter="0"/>
      <w:pgNumType w:start="1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0B68B" w14:textId="77777777" w:rsidR="00337AF2" w:rsidRDefault="00337AF2">
      <w:r>
        <w:separator/>
      </w:r>
    </w:p>
  </w:endnote>
  <w:endnote w:type="continuationSeparator" w:id="0">
    <w:p w14:paraId="5A6F9C09" w14:textId="77777777" w:rsidR="00337AF2" w:rsidRDefault="0033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F52B1943-B805-491C-B87D-2D4032E2BA32}"/>
    <w:embedBold r:id="rId2" w:fontKey="{710AD465-4353-4AE3-9E4C-EB08080D2726}"/>
    <w:embedItalic r:id="rId3" w:fontKey="{AE2F9E92-B752-4791-8763-ABCCA8E9B0EB}"/>
    <w:embedBoldItalic r:id="rId4" w:fontKey="{9E7B7B6A-035A-4550-B519-1A44109A2AE2}"/>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5" w:fontKey="{37113A81-B3F5-461C-A184-F5C8BBF6E958}"/>
    <w:embedBold r:id="rId6" w:fontKey="{4700812C-7DF5-4B84-8F18-7ABCFD5A0839}"/>
  </w:font>
  <w:font w:name="Calibri">
    <w:panose1 w:val="020F0502020204030204"/>
    <w:charset w:val="00"/>
    <w:family w:val="swiss"/>
    <w:pitch w:val="variable"/>
    <w:sig w:usb0="E4002EFF" w:usb1="C200247B" w:usb2="00000009" w:usb3="00000000" w:csb0="000001FF" w:csb1="00000000"/>
    <w:embedRegular r:id="rId7" w:fontKey="{458FA26A-3242-4A09-8842-A0F598054FB0}"/>
  </w:font>
  <w:font w:name="Cambria">
    <w:panose1 w:val="02040503050406030204"/>
    <w:charset w:val="00"/>
    <w:family w:val="roman"/>
    <w:pitch w:val="variable"/>
    <w:sig w:usb0="E00006FF" w:usb1="420024FF" w:usb2="02000000" w:usb3="00000000" w:csb0="0000019F" w:csb1="00000000"/>
    <w:embedRegular r:id="rId8" w:fontKey="{0C5363D7-E5EA-40E4-A96A-AC58F6AEA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5B495" w14:textId="77777777" w:rsidR="003D7F2C"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8D8DB2" w14:textId="77777777" w:rsidR="003D7F2C" w:rsidRDefault="003D7F2C">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AACD4" w14:textId="77777777" w:rsidR="003D7F2C"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89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301945">
      <w:rPr>
        <w:rFonts w:ascii="Garamond" w:eastAsia="Garamond" w:hAnsi="Garamond" w:cs="Garamond"/>
        <w:noProof/>
        <w:color w:val="000000"/>
        <w:sz w:val="22"/>
        <w:szCs w:val="22"/>
      </w:rPr>
      <w:t>115</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41C0F885" wp14:editId="230AE0D5">
              <wp:simplePos x="0" y="0"/>
              <wp:positionH relativeFrom="column">
                <wp:posOffset>6007100</wp:posOffset>
              </wp:positionH>
              <wp:positionV relativeFrom="paragraph">
                <wp:posOffset>25400</wp:posOffset>
              </wp:positionV>
              <wp:extent cx="22225" cy="822325"/>
              <wp:effectExtent l="0" t="0" r="0" b="0"/>
              <wp:wrapNone/>
              <wp:docPr id="4" name="Conector recto de flecha 4"/>
              <wp:cNvGraphicFramePr/>
              <a:graphic xmlns:a="http://schemas.openxmlformats.org/drawingml/2006/main">
                <a:graphicData uri="http://schemas.microsoft.com/office/word/2010/wordprocessingShape">
                  <wps:wsp>
                    <wps:cNvCnPr/>
                    <wps:spPr>
                      <a:xfrm>
                        <a:off x="5344650" y="3178350"/>
                        <a:ext cx="2700" cy="12033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6007100</wp:posOffset>
              </wp:positionH>
              <wp:positionV relativeFrom="paragraph">
                <wp:posOffset>25400</wp:posOffset>
              </wp:positionV>
              <wp:extent cx="22225" cy="822325"/>
              <wp:effectExtent b="0" l="0" r="0" t="0"/>
              <wp:wrapNone/>
              <wp:docPr id="4"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2225" cy="822325"/>
                      </a:xfrm>
                      <a:prstGeom prst="rect"/>
                      <a:ln/>
                    </pic:spPr>
                  </pic:pic>
                </a:graphicData>
              </a:graphic>
            </wp:anchor>
          </w:drawing>
        </mc:Fallback>
      </mc:AlternateContent>
    </w:r>
  </w:p>
  <w:p w14:paraId="3B64F9E3" w14:textId="77777777" w:rsidR="003D7F2C"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2BD34E23" w14:textId="77777777" w:rsidR="003D7F2C"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153AD" w14:textId="77777777" w:rsidR="003D7F2C" w:rsidRDefault="003D7F2C">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6A13C034" w14:textId="77777777" w:rsidR="003D7F2C"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89</w:t>
    </w:r>
    <w:r>
      <w:rPr>
        <w:noProof/>
      </w:rPr>
      <mc:AlternateContent>
        <mc:Choice Requires="wpg">
          <w:drawing>
            <wp:anchor distT="0" distB="0" distL="114300" distR="114300" simplePos="0" relativeHeight="251662336" behindDoc="0" locked="0" layoutInCell="1" hidden="0" allowOverlap="1" wp14:anchorId="366007FA" wp14:editId="1D1ECDF3">
              <wp:simplePos x="0" y="0"/>
              <wp:positionH relativeFrom="column">
                <wp:posOffset>6007100</wp:posOffset>
              </wp:positionH>
              <wp:positionV relativeFrom="paragraph">
                <wp:posOffset>12700</wp:posOffset>
              </wp:positionV>
              <wp:extent cx="22225" cy="739775"/>
              <wp:effectExtent l="0" t="0" r="0" b="0"/>
              <wp:wrapNone/>
              <wp:docPr id="1" name="Conector recto de flecha 1"/>
              <wp:cNvGraphicFramePr/>
              <a:graphic xmlns:a="http://schemas.openxmlformats.org/drawingml/2006/main">
                <a:graphicData uri="http://schemas.microsoft.com/office/word/2010/wordprocessingShape">
                  <wps:wsp>
                    <wps:cNvCnPr/>
                    <wps:spPr>
                      <a:xfrm>
                        <a:off x="5344650" y="3240000"/>
                        <a:ext cx="2700" cy="10800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6007100</wp:posOffset>
              </wp:positionH>
              <wp:positionV relativeFrom="paragraph">
                <wp:posOffset>12700</wp:posOffset>
              </wp:positionV>
              <wp:extent cx="22225" cy="739775"/>
              <wp:effectExtent b="0" l="0" r="0" t="0"/>
              <wp:wrapNone/>
              <wp:docPr id="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225" cy="739775"/>
                      </a:xfrm>
                      <a:prstGeom prst="rect"/>
                      <a:ln/>
                    </pic:spPr>
                  </pic:pic>
                </a:graphicData>
              </a:graphic>
            </wp:anchor>
          </w:drawing>
        </mc:Fallback>
      </mc:AlternateContent>
    </w:r>
  </w:p>
  <w:p w14:paraId="12C1791D" w14:textId="77777777" w:rsidR="003D7F2C"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Ene.</w:t>
    </w:r>
    <w:r>
      <w:rPr>
        <w:rFonts w:ascii="Garamond" w:eastAsia="Garamond" w:hAnsi="Garamond" w:cs="Garamond"/>
        <w:color w:val="000000"/>
        <w:sz w:val="16"/>
        <w:szCs w:val="16"/>
      </w:rPr>
      <w:t>-</w:t>
    </w:r>
    <w:r>
      <w:rPr>
        <w:rFonts w:ascii="Garamond" w:eastAsia="Garamond" w:hAnsi="Garamond" w:cs="Garamond"/>
        <w:sz w:val="16"/>
        <w:szCs w:val="16"/>
      </w:rPr>
      <w:t>Jun</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2350086E" w14:textId="77777777" w:rsidR="003D7F2C"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E55C8A" w14:textId="77777777" w:rsidR="00337AF2" w:rsidRDefault="00337AF2">
      <w:r>
        <w:separator/>
      </w:r>
    </w:p>
  </w:footnote>
  <w:footnote w:type="continuationSeparator" w:id="0">
    <w:p w14:paraId="13CC76B2" w14:textId="77777777" w:rsidR="00337AF2" w:rsidRDefault="00337AF2">
      <w:r>
        <w:continuationSeparator/>
      </w:r>
    </w:p>
  </w:footnote>
  <w:footnote w:id="1">
    <w:p w14:paraId="41CFABBC" w14:textId="77777777" w:rsidR="003D7F2C"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Equipo del Instituto de Investigaciones Económicas y Sociales de la Universidad Católica Andrés Bello (</w:t>
      </w:r>
      <w:proofErr w:type="spellStart"/>
      <w:r>
        <w:rPr>
          <w:rFonts w:ascii="Garamond" w:eastAsia="Garamond" w:hAnsi="Garamond" w:cs="Garamond"/>
          <w:sz w:val="20"/>
          <w:szCs w:val="20"/>
        </w:rPr>
        <w:t>IIES</w:t>
      </w:r>
      <w:proofErr w:type="spellEnd"/>
      <w:r>
        <w:rPr>
          <w:rFonts w:ascii="Garamond" w:eastAsia="Garamond" w:hAnsi="Garamond" w:cs="Garamond"/>
          <w:sz w:val="20"/>
          <w:szCs w:val="20"/>
        </w:rPr>
        <w:t>-UCAB).</w:t>
      </w:r>
    </w:p>
  </w:footnote>
  <w:footnote w:id="2">
    <w:p w14:paraId="56FC1793" w14:textId="77777777" w:rsidR="003D7F2C"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Aquellos interesados en profundizar en el informe de coyuntura de este periodo pueden dirigirse a </w:t>
      </w:r>
      <w:hyperlink r:id="rId1">
        <w:r>
          <w:rPr>
            <w:rFonts w:ascii="Garamond" w:eastAsia="Garamond" w:hAnsi="Garamond" w:cs="Garamond"/>
            <w:color w:val="0563C1"/>
            <w:sz w:val="20"/>
            <w:szCs w:val="20"/>
            <w:u w:val="single"/>
          </w:rPr>
          <w:t>https://www.ucab.edu.ve/investigacion/centros-e-institutos-de-investigacion/iies/informes-de-coyuntura/</w:t>
        </w:r>
      </w:hyperlink>
      <w:r>
        <w:rPr>
          <w:rFonts w:ascii="Garamond" w:eastAsia="Garamond" w:hAnsi="Garamond" w:cs="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D9E6" w14:textId="77777777" w:rsidR="00301945" w:rsidRDefault="0030194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7B2EA" w14:textId="77777777" w:rsidR="003D7F2C" w:rsidRDefault="00000000">
    <w:pPr>
      <w:rPr>
        <w:rFonts w:ascii="Garamond" w:eastAsia="Garamond" w:hAnsi="Garamond" w:cs="Garamond"/>
        <w:i/>
        <w:color w:val="000000"/>
        <w:sz w:val="22"/>
        <w:szCs w:val="22"/>
      </w:rPr>
    </w:pPr>
    <w:r>
      <w:rPr>
        <w:rFonts w:ascii="Garamond" w:eastAsia="Garamond" w:hAnsi="Garamond" w:cs="Garamond"/>
        <w:i/>
        <w:sz w:val="22"/>
        <w:szCs w:val="22"/>
      </w:rPr>
      <w:t>Indicadores</w:t>
    </w:r>
  </w:p>
  <w:p w14:paraId="1467C5EE" w14:textId="77777777" w:rsidR="003D7F2C"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47839CBC" wp14:editId="1F20A0AE">
              <wp:simplePos x="0" y="0"/>
              <wp:positionH relativeFrom="column">
                <wp:posOffset>38101</wp:posOffset>
              </wp:positionH>
              <wp:positionV relativeFrom="paragraph">
                <wp:posOffset>38100</wp:posOffset>
              </wp:positionV>
              <wp:extent cx="6229350" cy="22224"/>
              <wp:effectExtent l="0" t="0" r="0" b="0"/>
              <wp:wrapNone/>
              <wp:docPr id="2" name="Conector recto de flecha 2"/>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6229350" cy="22224"/>
              <wp:effectExtent b="0" l="0" r="0" t="0"/>
              <wp:wrapNone/>
              <wp:docPr id="2"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6229350" cy="22224"/>
                      </a:xfrm>
                      <a:prstGeom prst="rect"/>
                      <a:ln/>
                    </pic:spPr>
                  </pic:pic>
                </a:graphicData>
              </a:graphic>
            </wp:anchor>
          </w:drawing>
        </mc:Fallback>
      </mc:AlternateContent>
    </w:r>
  </w:p>
  <w:p w14:paraId="6C20E5F1" w14:textId="77777777" w:rsidR="003D7F2C" w:rsidRDefault="003D7F2C">
    <w:pPr>
      <w:pBdr>
        <w:top w:val="nil"/>
        <w:left w:val="nil"/>
        <w:bottom w:val="nil"/>
        <w:right w:val="nil"/>
        <w:between w:val="nil"/>
      </w:pBdr>
      <w:ind w:right="143"/>
      <w:rPr>
        <w:rFonts w:ascii="Garamond" w:eastAsia="Garamond" w:hAnsi="Garamond" w:cs="Garamond"/>
        <w:smallCaps/>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900A9" w14:textId="430C96FA" w:rsidR="003D7F2C"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73600F09" wp14:editId="472DCD4C">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381B2E22" w14:textId="77777777" w:rsidR="003D7F2C"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114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118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2C"/>
    <w:rsid w:val="00301945"/>
    <w:rsid w:val="00337AF2"/>
    <w:rsid w:val="003D7F2C"/>
    <w:rsid w:val="007D37F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ecimalSymbol w:val=","/>
  <w:listSeparator w:val=";"/>
  <w14:docId w14:val="71019895"/>
  <w15:docId w15:val="{1115247B-68AF-4B6D-B4A7-317B4110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301945"/>
    <w:pPr>
      <w:tabs>
        <w:tab w:val="center" w:pos="4419"/>
        <w:tab w:val="right" w:pos="8838"/>
      </w:tabs>
    </w:pPr>
  </w:style>
  <w:style w:type="character" w:customStyle="1" w:styleId="EncabezadoCar">
    <w:name w:val="Encabezado Car"/>
    <w:basedOn w:val="Fuentedeprrafopredeter"/>
    <w:link w:val="Encabezado"/>
    <w:uiPriority w:val="99"/>
    <w:rsid w:val="00301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ucab.edu.ve/investigacion/centros-e-institutos-de-investigacion/iies/informes-de-coyuntur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617</Words>
  <Characters>3398</Characters>
  <Application>Microsoft Office Word</Application>
  <DocSecurity>0</DocSecurity>
  <Lines>28</Lines>
  <Paragraphs>8</Paragraphs>
  <ScaleCrop>false</ScaleCrop>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Núñez</cp:lastModifiedBy>
  <cp:revision>2</cp:revision>
  <dcterms:created xsi:type="dcterms:W3CDTF">2024-07-25T17:49:00Z</dcterms:created>
  <dcterms:modified xsi:type="dcterms:W3CDTF">2024-07-25T17:49:00Z</dcterms:modified>
</cp:coreProperties>
</file>