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0E88FE" w14:textId="77777777" w:rsidR="004856B3" w:rsidRDefault="004856B3">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0CAA2635" w14:textId="77777777" w:rsidR="004856B3" w:rsidRDefault="004856B3">
      <w:pPr>
        <w:pStyle w:val="Ttulo"/>
        <w:keepNext w:val="0"/>
        <w:keepLines w:val="0"/>
        <w:spacing w:line="240" w:lineRule="auto"/>
        <w:ind w:left="2552"/>
        <w:jc w:val="left"/>
      </w:pPr>
    </w:p>
    <w:p w14:paraId="76887FFD" w14:textId="77777777" w:rsidR="004856B3" w:rsidRDefault="00000000">
      <w:pPr>
        <w:pStyle w:val="Ttulo"/>
        <w:keepNext w:val="0"/>
        <w:keepLines w:val="0"/>
        <w:spacing w:line="240" w:lineRule="auto"/>
        <w:ind w:left="2552"/>
        <w:jc w:val="left"/>
      </w:pPr>
      <w:proofErr w:type="spellStart"/>
      <w:r>
        <w:t>Fanelli</w:t>
      </w:r>
      <w:proofErr w:type="spellEnd"/>
      <w:r>
        <w:t xml:space="preserve">, José María y </w:t>
      </w:r>
      <w:proofErr w:type="spellStart"/>
      <w:r>
        <w:t>Albrieu</w:t>
      </w:r>
      <w:proofErr w:type="spellEnd"/>
      <w:r>
        <w:t xml:space="preserve">, Ramiro (2021). </w:t>
      </w:r>
      <w:r>
        <w:rPr>
          <w:i/>
        </w:rPr>
        <w:t>Crecimiento e inteligencia artificial: los desafíos de vivir entre Detroit y Bombay</w:t>
      </w:r>
      <w:r>
        <w:t xml:space="preserve"> </w:t>
      </w:r>
    </w:p>
    <w:p w14:paraId="6DA30AB6" w14:textId="77777777" w:rsidR="004856B3" w:rsidRDefault="004856B3">
      <w:pPr>
        <w:ind w:left="2127"/>
        <w:jc w:val="center"/>
        <w:rPr>
          <w:rFonts w:ascii="Garamond" w:eastAsia="Garamond" w:hAnsi="Garamond" w:cs="Garamond"/>
          <w:b/>
          <w:i/>
          <w:sz w:val="32"/>
          <w:szCs w:val="32"/>
        </w:rPr>
      </w:pPr>
    </w:p>
    <w:p w14:paraId="22DEE76C" w14:textId="77777777" w:rsidR="004856B3"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right"/>
        <w:rPr>
          <w:rFonts w:ascii="Garamond" w:eastAsia="Garamond" w:hAnsi="Garamond" w:cs="Garamond"/>
          <w:i/>
          <w:sz w:val="16"/>
          <w:szCs w:val="16"/>
        </w:rPr>
      </w:pPr>
      <w:r>
        <w:rPr>
          <w:rFonts w:ascii="Garamond" w:eastAsia="Garamond" w:hAnsi="Garamond" w:cs="Garamond"/>
          <w:i/>
          <w:sz w:val="28"/>
          <w:szCs w:val="28"/>
        </w:rPr>
        <w:t xml:space="preserve">Luis </w:t>
      </w:r>
      <w:proofErr w:type="spellStart"/>
      <w:r>
        <w:rPr>
          <w:rFonts w:ascii="Garamond" w:eastAsia="Garamond" w:hAnsi="Garamond" w:cs="Garamond"/>
          <w:i/>
          <w:sz w:val="28"/>
          <w:szCs w:val="28"/>
        </w:rPr>
        <w:t>Lauriño</w:t>
      </w:r>
      <w:proofErr w:type="spellEnd"/>
      <w:r>
        <w:rPr>
          <w:rFonts w:ascii="Garamond" w:eastAsia="Garamond" w:hAnsi="Garamond" w:cs="Garamond"/>
          <w:i/>
          <w:sz w:val="28"/>
          <w:szCs w:val="28"/>
          <w:vertAlign w:val="superscript"/>
        </w:rPr>
        <w:footnoteReference w:id="1"/>
      </w:r>
    </w:p>
    <w:p w14:paraId="5C60E516" w14:textId="77777777" w:rsidR="004856B3" w:rsidRDefault="004856B3">
      <w:pPr>
        <w:ind w:left="2127"/>
        <w:jc w:val="right"/>
        <w:rPr>
          <w:rFonts w:ascii="Garamond" w:eastAsia="Garamond" w:hAnsi="Garamond" w:cs="Garamond"/>
          <w:b/>
          <w:i/>
          <w:sz w:val="32"/>
          <w:szCs w:val="32"/>
        </w:rPr>
      </w:pPr>
    </w:p>
    <w:p w14:paraId="0C416871" w14:textId="77777777" w:rsidR="004856B3" w:rsidRDefault="004856B3">
      <w:pPr>
        <w:ind w:left="2127"/>
        <w:jc w:val="right"/>
        <w:rPr>
          <w:rFonts w:ascii="Garamond" w:eastAsia="Garamond" w:hAnsi="Garamond" w:cs="Garamond"/>
          <w:b/>
          <w:sz w:val="22"/>
          <w:szCs w:val="22"/>
        </w:rPr>
      </w:pPr>
    </w:p>
    <w:p w14:paraId="44507CA9" w14:textId="77777777" w:rsidR="004856B3" w:rsidRDefault="00000000">
      <w:pPr>
        <w:jc w:val="both"/>
        <w:rPr>
          <w:rFonts w:ascii="Garamond" w:eastAsia="Garamond" w:hAnsi="Garamond" w:cs="Garamond"/>
          <w:sz w:val="22"/>
          <w:szCs w:val="22"/>
        </w:rPr>
      </w:pPr>
      <w:r>
        <w:rPr>
          <w:rFonts w:ascii="Garamond" w:eastAsia="Garamond" w:hAnsi="Garamond" w:cs="Garamond"/>
          <w:sz w:val="22"/>
          <w:szCs w:val="22"/>
        </w:rPr>
        <w:t xml:space="preserve">Editorial: </w:t>
      </w:r>
      <w:proofErr w:type="spellStart"/>
      <w:r>
        <w:rPr>
          <w:rFonts w:ascii="Garamond" w:eastAsia="Garamond" w:hAnsi="Garamond" w:cs="Garamond"/>
          <w:sz w:val="22"/>
          <w:szCs w:val="22"/>
        </w:rPr>
        <w:t>ANCE</w:t>
      </w:r>
      <w:proofErr w:type="spellEnd"/>
      <w:r>
        <w:rPr>
          <w:rFonts w:ascii="Garamond" w:eastAsia="Garamond" w:hAnsi="Garamond" w:cs="Garamond"/>
          <w:sz w:val="22"/>
          <w:szCs w:val="22"/>
        </w:rPr>
        <w:t>.</w:t>
      </w:r>
    </w:p>
    <w:p w14:paraId="5ECB2F6B" w14:textId="77777777" w:rsidR="004856B3" w:rsidRDefault="004856B3">
      <w:pPr>
        <w:jc w:val="both"/>
        <w:rPr>
          <w:rFonts w:ascii="Garamond" w:eastAsia="Garamond" w:hAnsi="Garamond" w:cs="Garamond"/>
          <w:b/>
          <w:sz w:val="22"/>
          <w:szCs w:val="22"/>
        </w:rPr>
      </w:pPr>
    </w:p>
    <w:p w14:paraId="33E6F569" w14:textId="77777777" w:rsidR="004856B3" w:rsidRDefault="00000000">
      <w:pPr>
        <w:shd w:val="clear" w:color="auto" w:fill="FFFFFF"/>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su obra </w:t>
      </w:r>
      <w:r>
        <w:rPr>
          <w:rFonts w:ascii="Garamond" w:eastAsia="Garamond" w:hAnsi="Garamond" w:cs="Garamond"/>
          <w:i/>
          <w:sz w:val="22"/>
          <w:szCs w:val="22"/>
        </w:rPr>
        <w:t>Crecimiento e inteligencia artificial: los desafíos de vivir entre Detroit y Bombay</w:t>
      </w:r>
      <w:r>
        <w:rPr>
          <w:rFonts w:ascii="Garamond" w:eastAsia="Garamond" w:hAnsi="Garamond" w:cs="Garamond"/>
          <w:sz w:val="22"/>
          <w:szCs w:val="22"/>
        </w:rPr>
        <w:t xml:space="preserve">, </w:t>
      </w:r>
      <w:proofErr w:type="spellStart"/>
      <w:r>
        <w:rPr>
          <w:rFonts w:ascii="Garamond" w:eastAsia="Garamond" w:hAnsi="Garamond" w:cs="Garamond"/>
          <w:sz w:val="22"/>
          <w:szCs w:val="22"/>
        </w:rPr>
        <w:t>Fanelli</w:t>
      </w:r>
      <w:proofErr w:type="spellEnd"/>
      <w:r>
        <w:rPr>
          <w:rFonts w:ascii="Garamond" w:eastAsia="Garamond" w:hAnsi="Garamond" w:cs="Garamond"/>
          <w:sz w:val="22"/>
          <w:szCs w:val="22"/>
        </w:rPr>
        <w:t xml:space="preserve"> y </w:t>
      </w:r>
      <w:proofErr w:type="spellStart"/>
      <w:r>
        <w:rPr>
          <w:rFonts w:ascii="Garamond" w:eastAsia="Garamond" w:hAnsi="Garamond" w:cs="Garamond"/>
          <w:sz w:val="22"/>
          <w:szCs w:val="22"/>
        </w:rPr>
        <w:t>Albrieu</w:t>
      </w:r>
      <w:proofErr w:type="spellEnd"/>
      <w:r>
        <w:rPr>
          <w:rFonts w:ascii="Garamond" w:eastAsia="Garamond" w:hAnsi="Garamond" w:cs="Garamond"/>
          <w:sz w:val="22"/>
          <w:szCs w:val="22"/>
        </w:rPr>
        <w:t xml:space="preserve"> abordan las implicaciones de la inteligencia artificial (IA) en el crecimiento económico y comparan sus efectos en países con diferentes niveles de desarrollo, representados por los modelos de Detroit (EE. UU.) y Bombay (India).</w:t>
      </w:r>
    </w:p>
    <w:p w14:paraId="3E61994F" w14:textId="77777777" w:rsidR="004856B3" w:rsidRDefault="00000000">
      <w:pPr>
        <w:shd w:val="clear" w:color="auto" w:fill="FFFFFF"/>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Entre sus propuestas, se refieren al “Capitalismo de Detroit” como al sistema que predominó durante la “edad de oro” del capitalismo, especialmente en los Estados Unidos. Este modelo, según los autores, se ha caracterizado por:</w:t>
      </w:r>
    </w:p>
    <w:p w14:paraId="41432F36" w14:textId="77777777" w:rsidR="004856B3" w:rsidRDefault="00000000">
      <w:pPr>
        <w:numPr>
          <w:ilvl w:val="0"/>
          <w:numId w:val="1"/>
        </w:numPr>
        <w:pBdr>
          <w:top w:val="nil"/>
          <w:left w:val="nil"/>
          <w:bottom w:val="nil"/>
          <w:right w:val="nil"/>
          <w:between w:val="nil"/>
        </w:pBdr>
        <w:shd w:val="clear" w:color="auto" w:fill="FFFFFF"/>
        <w:spacing w:line="360" w:lineRule="auto"/>
        <w:jc w:val="both"/>
        <w:rPr>
          <w:rFonts w:ascii="Garamond" w:eastAsia="Garamond" w:hAnsi="Garamond" w:cs="Garamond"/>
          <w:sz w:val="22"/>
          <w:szCs w:val="22"/>
        </w:rPr>
      </w:pPr>
      <w:r>
        <w:rPr>
          <w:rFonts w:ascii="Garamond" w:eastAsia="Garamond" w:hAnsi="Garamond" w:cs="Garamond"/>
          <w:sz w:val="22"/>
          <w:szCs w:val="22"/>
        </w:rPr>
        <w:t>Producción en masa: las empresas se centraban en la producción a gran escala de bienes estandarizados.</w:t>
      </w:r>
    </w:p>
    <w:p w14:paraId="4976F758" w14:textId="77777777" w:rsidR="004856B3" w:rsidRDefault="00000000">
      <w:pPr>
        <w:numPr>
          <w:ilvl w:val="0"/>
          <w:numId w:val="1"/>
        </w:numPr>
        <w:pBdr>
          <w:top w:val="nil"/>
          <w:left w:val="nil"/>
          <w:bottom w:val="nil"/>
          <w:right w:val="nil"/>
          <w:between w:val="nil"/>
        </w:pBdr>
        <w:shd w:val="clear" w:color="auto" w:fill="FFFFFF"/>
        <w:spacing w:line="360" w:lineRule="auto"/>
        <w:jc w:val="both"/>
        <w:rPr>
          <w:rFonts w:ascii="Garamond" w:eastAsia="Garamond" w:hAnsi="Garamond" w:cs="Garamond"/>
          <w:sz w:val="22"/>
          <w:szCs w:val="22"/>
        </w:rPr>
      </w:pPr>
      <w:r>
        <w:rPr>
          <w:rFonts w:ascii="Garamond" w:eastAsia="Garamond" w:hAnsi="Garamond" w:cs="Garamond"/>
          <w:sz w:val="22"/>
          <w:szCs w:val="22"/>
        </w:rPr>
        <w:t>Relaciones laborales estables: los trabajadores tenían contratos de largo plazo y la expectativa de una carrera dentro de la empresa.</w:t>
      </w:r>
    </w:p>
    <w:p w14:paraId="73FBC4CE" w14:textId="77777777" w:rsidR="004856B3" w:rsidRDefault="00000000">
      <w:pPr>
        <w:numPr>
          <w:ilvl w:val="0"/>
          <w:numId w:val="1"/>
        </w:numPr>
        <w:pBdr>
          <w:top w:val="nil"/>
          <w:left w:val="nil"/>
          <w:bottom w:val="nil"/>
          <w:right w:val="nil"/>
          <w:between w:val="nil"/>
        </w:pBdr>
        <w:shd w:val="clear" w:color="auto" w:fill="FFFFFF"/>
        <w:spacing w:line="360" w:lineRule="auto"/>
        <w:jc w:val="both"/>
        <w:rPr>
          <w:rFonts w:ascii="Garamond" w:eastAsia="Garamond" w:hAnsi="Garamond" w:cs="Garamond"/>
          <w:sz w:val="22"/>
          <w:szCs w:val="22"/>
        </w:rPr>
      </w:pPr>
      <w:r>
        <w:rPr>
          <w:rFonts w:ascii="Garamond" w:eastAsia="Garamond" w:hAnsi="Garamond" w:cs="Garamond"/>
          <w:sz w:val="22"/>
          <w:szCs w:val="22"/>
        </w:rPr>
        <w:t>Estado de bienestar: existía un sistema de protección social que cubría riesgos como la vejez, el desempleo y la salud.</w:t>
      </w:r>
    </w:p>
    <w:p w14:paraId="1CBA0AE0" w14:textId="77777777" w:rsidR="004856B3" w:rsidRDefault="00000000">
      <w:pPr>
        <w:numPr>
          <w:ilvl w:val="0"/>
          <w:numId w:val="1"/>
        </w:numPr>
        <w:pBdr>
          <w:top w:val="nil"/>
          <w:left w:val="nil"/>
          <w:bottom w:val="nil"/>
          <w:right w:val="nil"/>
          <w:between w:val="nil"/>
        </w:pBdr>
        <w:shd w:val="clear" w:color="auto" w:fill="FFFFFF"/>
        <w:spacing w:after="120" w:line="360" w:lineRule="auto"/>
        <w:jc w:val="both"/>
        <w:rPr>
          <w:rFonts w:ascii="Garamond" w:eastAsia="Garamond" w:hAnsi="Garamond" w:cs="Garamond"/>
          <w:sz w:val="22"/>
          <w:szCs w:val="22"/>
        </w:rPr>
      </w:pPr>
      <w:r>
        <w:rPr>
          <w:rFonts w:ascii="Garamond" w:eastAsia="Garamond" w:hAnsi="Garamond" w:cs="Garamond"/>
          <w:sz w:val="22"/>
          <w:szCs w:val="22"/>
        </w:rPr>
        <w:t>Trabajos rutinarios: gran parte de los empleos implicaban tareas manuales repetitivas o procesos poco desafiantes en términos cognitivos.</w:t>
      </w:r>
    </w:p>
    <w:p w14:paraId="283FE68E" w14:textId="77777777" w:rsidR="004856B3" w:rsidRDefault="00000000">
      <w:pPr>
        <w:shd w:val="clear" w:color="auto" w:fill="FFFFFF"/>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El modelo de Detroit estaba respaldado por un sistema educativo que preparaba a los trabajadores para estos roles y un marco institucional que promovía la estabilidad laboral y la protección social.</w:t>
      </w:r>
    </w:p>
    <w:p w14:paraId="367C8B63" w14:textId="77777777" w:rsidR="004856B3" w:rsidRDefault="00000000">
      <w:pPr>
        <w:shd w:val="clear" w:color="auto" w:fill="FFFFFF"/>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Por otra parte, el “Capitalismo de Bombay” contrasta significativamente y se ha caracterizado por:</w:t>
      </w:r>
    </w:p>
    <w:p w14:paraId="62FC1879" w14:textId="77777777" w:rsidR="004856B3" w:rsidRDefault="00000000">
      <w:pPr>
        <w:numPr>
          <w:ilvl w:val="0"/>
          <w:numId w:val="1"/>
        </w:numPr>
        <w:shd w:val="clear" w:color="auto" w:fill="FFFFFF"/>
        <w:spacing w:line="360" w:lineRule="auto"/>
        <w:jc w:val="both"/>
        <w:rPr>
          <w:rFonts w:ascii="Garamond" w:eastAsia="Garamond" w:hAnsi="Garamond" w:cs="Garamond"/>
          <w:sz w:val="22"/>
          <w:szCs w:val="22"/>
        </w:rPr>
      </w:pPr>
      <w:r>
        <w:rPr>
          <w:rFonts w:ascii="Garamond" w:eastAsia="Garamond" w:hAnsi="Garamond" w:cs="Garamond"/>
          <w:sz w:val="22"/>
          <w:szCs w:val="22"/>
        </w:rPr>
        <w:t>Informalidad: predominan los contratos informales, el autoempleo y los contratos de corto plazo, con mínima protección social.</w:t>
      </w:r>
    </w:p>
    <w:p w14:paraId="7C43CD0B" w14:textId="77777777" w:rsidR="004856B3" w:rsidRDefault="00000000">
      <w:pPr>
        <w:numPr>
          <w:ilvl w:val="0"/>
          <w:numId w:val="1"/>
        </w:numPr>
        <w:shd w:val="clear" w:color="auto" w:fill="FFFFFF"/>
        <w:spacing w:line="360" w:lineRule="auto"/>
        <w:jc w:val="both"/>
        <w:rPr>
          <w:rFonts w:ascii="Garamond" w:eastAsia="Garamond" w:hAnsi="Garamond" w:cs="Garamond"/>
          <w:sz w:val="22"/>
          <w:szCs w:val="22"/>
        </w:rPr>
      </w:pPr>
      <w:r>
        <w:rPr>
          <w:rFonts w:ascii="Garamond" w:eastAsia="Garamond" w:hAnsi="Garamond" w:cs="Garamond"/>
          <w:sz w:val="22"/>
          <w:szCs w:val="22"/>
        </w:rPr>
        <w:t>Dualidad: coexisten sectores de alta productividad con sectores de baja productividad y alta informalidad.</w:t>
      </w:r>
    </w:p>
    <w:p w14:paraId="501E1F33" w14:textId="77777777" w:rsidR="004856B3" w:rsidRDefault="00000000">
      <w:pPr>
        <w:numPr>
          <w:ilvl w:val="0"/>
          <w:numId w:val="1"/>
        </w:numPr>
        <w:shd w:val="clear" w:color="auto" w:fill="FFFFFF"/>
        <w:spacing w:line="360" w:lineRule="auto"/>
        <w:jc w:val="both"/>
        <w:rPr>
          <w:rFonts w:ascii="Garamond" w:eastAsia="Garamond" w:hAnsi="Garamond" w:cs="Garamond"/>
          <w:sz w:val="22"/>
          <w:szCs w:val="22"/>
        </w:rPr>
      </w:pPr>
      <w:r>
        <w:rPr>
          <w:rFonts w:ascii="Garamond" w:eastAsia="Garamond" w:hAnsi="Garamond" w:cs="Garamond"/>
          <w:sz w:val="22"/>
          <w:szCs w:val="22"/>
        </w:rPr>
        <w:t>Segmentación: tanto el mercado laboral como el sistema educativo están segmentados, lo que limita la movilidad social.</w:t>
      </w:r>
    </w:p>
    <w:p w14:paraId="2E9FB947" w14:textId="77777777" w:rsidR="004856B3" w:rsidRDefault="00000000">
      <w:pPr>
        <w:numPr>
          <w:ilvl w:val="0"/>
          <w:numId w:val="1"/>
        </w:numPr>
        <w:shd w:val="clear" w:color="auto" w:fill="FFFFFF"/>
        <w:spacing w:after="120" w:line="360" w:lineRule="auto"/>
        <w:jc w:val="both"/>
        <w:rPr>
          <w:rFonts w:ascii="Garamond" w:eastAsia="Garamond" w:hAnsi="Garamond" w:cs="Garamond"/>
          <w:sz w:val="22"/>
          <w:szCs w:val="22"/>
        </w:rPr>
      </w:pPr>
      <w:r>
        <w:rPr>
          <w:rFonts w:ascii="Garamond" w:eastAsia="Garamond" w:hAnsi="Garamond" w:cs="Garamond"/>
          <w:sz w:val="22"/>
          <w:szCs w:val="22"/>
        </w:rPr>
        <w:lastRenderedPageBreak/>
        <w:t>Cohesión social débil: la falta de protección social y las desigualdades dificultan la cohesión social y un clima de negocios favorable.</w:t>
      </w:r>
    </w:p>
    <w:p w14:paraId="409392CA" w14:textId="77777777" w:rsidR="004856B3" w:rsidRDefault="00000000">
      <w:pPr>
        <w:shd w:val="clear" w:color="auto" w:fill="FFFFFF"/>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Este modelo es más común en países en vías de desarrollo, donde la informalidad laboral es alta y las instituciones son más débiles.</w:t>
      </w:r>
    </w:p>
    <w:p w14:paraId="7873197C" w14:textId="77777777" w:rsidR="004856B3" w:rsidRDefault="00000000">
      <w:pPr>
        <w:shd w:val="clear" w:color="auto" w:fill="FFFFFF"/>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Los autores afirman que la inteligencia artificial está transformando las relaciones laborales y que su impacto dependerá en gran medida del modelo predominante en cada país. En el modelo de Detroit, la IA podría reemplazar trabajos rutinarios y aumentar la demanda de trabajadores altamente calificados. En el modelo de Bombay, la IA podría exacerbar la dualidad y la desigualdad, a menos que se implementen políticas para garantizar una distribución equitativa de los beneficios de la tecnología y se fortalezcan las instituciones laborales y educativas.</w:t>
      </w:r>
    </w:p>
    <w:p w14:paraId="72A59C89" w14:textId="77777777" w:rsidR="004856B3" w:rsidRDefault="00000000">
      <w:pPr>
        <w:shd w:val="clear" w:color="auto" w:fill="FFFFFF"/>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Este estudio es relevante en el contexto global actual, donde la IA está provocando cambios en todas las industrias y economías. </w:t>
      </w:r>
      <w:proofErr w:type="spellStart"/>
      <w:r>
        <w:rPr>
          <w:rFonts w:ascii="Garamond" w:eastAsia="Garamond" w:hAnsi="Garamond" w:cs="Garamond"/>
          <w:sz w:val="22"/>
          <w:szCs w:val="22"/>
        </w:rPr>
        <w:t>Fanelli</w:t>
      </w:r>
      <w:proofErr w:type="spellEnd"/>
      <w:r>
        <w:rPr>
          <w:rFonts w:ascii="Garamond" w:eastAsia="Garamond" w:hAnsi="Garamond" w:cs="Garamond"/>
          <w:sz w:val="22"/>
          <w:szCs w:val="22"/>
        </w:rPr>
        <w:t xml:space="preserve"> y </w:t>
      </w:r>
      <w:proofErr w:type="spellStart"/>
      <w:r>
        <w:rPr>
          <w:rFonts w:ascii="Garamond" w:eastAsia="Garamond" w:hAnsi="Garamond" w:cs="Garamond"/>
          <w:sz w:val="22"/>
          <w:szCs w:val="22"/>
        </w:rPr>
        <w:t>Albrieu</w:t>
      </w:r>
      <w:proofErr w:type="spellEnd"/>
      <w:r>
        <w:rPr>
          <w:rFonts w:ascii="Garamond" w:eastAsia="Garamond" w:hAnsi="Garamond" w:cs="Garamond"/>
          <w:sz w:val="22"/>
          <w:szCs w:val="22"/>
        </w:rPr>
        <w:t xml:space="preserve"> presentan un análisis riguroso y equilibrado del impacto de la IA, considerando tanto los beneficios económicos potenciales como las posibles desventajas, incluyendo el aumento de la desigualdad y la dislocación laboral.</w:t>
      </w:r>
    </w:p>
    <w:p w14:paraId="56732296" w14:textId="77777777" w:rsidR="004856B3" w:rsidRDefault="00000000">
      <w:pPr>
        <w:shd w:val="clear" w:color="auto" w:fill="FFFFFF"/>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Los autores concluyen que, para aprovechar plenamente el potencial de la IA, es crucial implementar políticas públicas adaptadas a las realidades locales. Estas políticas deben incluir no solo la inversión en tecnologías emergentes, sino también en educación y formación continua para preparar a la fuerza laboral para los cambios que se avecinan.</w:t>
      </w:r>
    </w:p>
    <w:p w14:paraId="1A02C736" w14:textId="77777777" w:rsidR="004856B3" w:rsidRDefault="00000000">
      <w:pPr>
        <w:shd w:val="clear" w:color="auto" w:fill="FFFFFF"/>
        <w:spacing w:after="120" w:line="360" w:lineRule="auto"/>
        <w:ind w:firstLine="284"/>
        <w:jc w:val="both"/>
        <w:rPr>
          <w:rFonts w:ascii="Garamond" w:eastAsia="Garamond" w:hAnsi="Garamond" w:cs="Garamond"/>
          <w:b/>
        </w:rPr>
      </w:pPr>
      <w:r>
        <w:rPr>
          <w:rFonts w:ascii="Garamond" w:eastAsia="Garamond" w:hAnsi="Garamond" w:cs="Garamond"/>
          <w:sz w:val="22"/>
          <w:szCs w:val="22"/>
        </w:rPr>
        <w:t>Este trabajo es particularmente valioso para economistas, diseñadores de políticas públicas y profesionales de la tecnología interesados en entender las complejas interacciones entre el crecimiento económico y la inteligencia artificial. Su enfoque detallado y análisis riguroso lo convierten en una lectura esencial para aquellos interesados en los desafíos y oportunidades que presenta la era de la IA. .</w:t>
      </w:r>
    </w:p>
    <w:sectPr w:rsidR="004856B3">
      <w:headerReference w:type="even" r:id="rId7"/>
      <w:headerReference w:type="default" r:id="rId8"/>
      <w:footerReference w:type="even" r:id="rId9"/>
      <w:footerReference w:type="default" r:id="rId10"/>
      <w:headerReference w:type="first" r:id="rId11"/>
      <w:footerReference w:type="first" r:id="rId12"/>
      <w:pgSz w:w="12240" w:h="15840"/>
      <w:pgMar w:top="713" w:right="1041" w:bottom="1417" w:left="1275" w:header="714" w:footer="566" w:gutter="0"/>
      <w:pgNumType w:start="11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2387C" w14:textId="77777777" w:rsidR="00E1362B" w:rsidRDefault="00E1362B">
      <w:r>
        <w:separator/>
      </w:r>
    </w:p>
  </w:endnote>
  <w:endnote w:type="continuationSeparator" w:id="0">
    <w:p w14:paraId="78A43C43" w14:textId="77777777" w:rsidR="00E1362B" w:rsidRDefault="00E1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B279ED15-230B-4CCC-BBB5-256355F31911}"/>
    <w:embedBold r:id="rId2" w:fontKey="{C86DE5B9-7046-43A4-A595-645FFB90F8E8}"/>
    <w:embedItalic r:id="rId3" w:fontKey="{C75F9EF4-3379-4185-B296-151D8205C247}"/>
    <w:embedBoldItalic r:id="rId4" w:fontKey="{E857B5EA-64C5-43E4-93CF-7EA1F76BE81B}"/>
  </w:font>
  <w:font w:name="EB Garamond">
    <w:charset w:val="00"/>
    <w:family w:val="auto"/>
    <w:pitch w:val="variable"/>
    <w:sig w:usb0="E00002FF" w:usb1="02000413" w:usb2="00000000" w:usb3="00000000" w:csb0="0000019F" w:csb1="00000000"/>
    <w:embedRegular r:id="rId5" w:fontKey="{2C302038-A87A-4124-8AA2-24EB76816197}"/>
    <w:embedBold r:id="rId6" w:fontKey="{93B24DD9-11CC-4B73-BC47-159182A18551}"/>
  </w:font>
  <w:font w:name="Calibri">
    <w:panose1 w:val="020F0502020204030204"/>
    <w:charset w:val="00"/>
    <w:family w:val="swiss"/>
    <w:pitch w:val="variable"/>
    <w:sig w:usb0="E4002EFF" w:usb1="C200247B" w:usb2="00000009" w:usb3="00000000" w:csb0="000001FF" w:csb1="00000000"/>
    <w:embedRegular r:id="rId7" w:fontKey="{1A872C7A-BA28-411B-A087-FAD5745C53AF}"/>
  </w:font>
  <w:font w:name="Cambria">
    <w:panose1 w:val="02040503050406030204"/>
    <w:charset w:val="00"/>
    <w:family w:val="roman"/>
    <w:pitch w:val="variable"/>
    <w:sig w:usb0="E00006FF" w:usb1="420024FF" w:usb2="02000000" w:usb3="00000000" w:csb0="0000019F" w:csb1="00000000"/>
    <w:embedRegular r:id="rId8" w:fontKey="{6A8D49C7-3AF8-4BBC-979C-D3C856BF2C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AF807" w14:textId="77777777" w:rsidR="004856B3"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409CFB4" w14:textId="77777777" w:rsidR="004856B3" w:rsidRDefault="004856B3">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E06F0" w14:textId="77777777" w:rsidR="004856B3"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88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BE46EF">
      <w:rPr>
        <w:rFonts w:ascii="Garamond" w:eastAsia="Garamond" w:hAnsi="Garamond" w:cs="Garamond"/>
        <w:noProof/>
        <w:color w:val="000000"/>
        <w:sz w:val="22"/>
        <w:szCs w:val="22"/>
      </w:rPr>
      <w:t>113</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3FED933A" wp14:editId="1835EE04">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489D0D7D" w14:textId="77777777" w:rsidR="004856B3"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r>
      <w:rPr>
        <w:rFonts w:ascii="Garamond" w:eastAsia="Garamond" w:hAnsi="Garamond" w:cs="Garamond"/>
        <w:sz w:val="16"/>
        <w:szCs w:val="16"/>
      </w:rPr>
      <w:t>Dic.</w:t>
    </w:r>
    <w:r>
      <w:rPr>
        <w:rFonts w:ascii="Garamond" w:eastAsia="Garamond" w:hAnsi="Garamond" w:cs="Garamond"/>
        <w:color w:val="000000"/>
        <w:sz w:val="16"/>
        <w:szCs w:val="16"/>
      </w:rPr>
      <w:t xml:space="preserve"> </w:t>
    </w:r>
    <w:r>
      <w:rPr>
        <w:rFonts w:ascii="Garamond" w:eastAsia="Garamond" w:hAnsi="Garamond" w:cs="Garamond"/>
        <w:sz w:val="16"/>
        <w:szCs w:val="16"/>
      </w:rPr>
      <w:t>2023</w:t>
    </w:r>
  </w:p>
  <w:p w14:paraId="4C1B4841" w14:textId="77777777" w:rsidR="004856B3"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57DBE" w14:textId="77777777" w:rsidR="004856B3" w:rsidRDefault="004856B3">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7AD5A023" w14:textId="77777777" w:rsidR="004856B3"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88</w:t>
    </w:r>
    <w:r>
      <w:rPr>
        <w:noProof/>
      </w:rPr>
      <mc:AlternateContent>
        <mc:Choice Requires="wpg">
          <w:drawing>
            <wp:anchor distT="0" distB="0" distL="114300" distR="114300" simplePos="0" relativeHeight="251662336" behindDoc="0" locked="0" layoutInCell="1" hidden="0" allowOverlap="1" wp14:anchorId="458C6E94" wp14:editId="377AEFF8">
              <wp:simplePos x="0" y="0"/>
              <wp:positionH relativeFrom="column">
                <wp:posOffset>6019800</wp:posOffset>
              </wp:positionH>
              <wp:positionV relativeFrom="paragraph">
                <wp:posOffset>28575</wp:posOffset>
              </wp:positionV>
              <wp:extent cx="12700" cy="730250"/>
              <wp:effectExtent l="0" t="0" r="0" b="0"/>
              <wp:wrapNone/>
              <wp:docPr id="2" name="Conector recto de flecha 2"/>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706D4ECE" w14:textId="77777777" w:rsidR="004856B3"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r>
      <w:rPr>
        <w:rFonts w:ascii="Garamond" w:eastAsia="Garamond" w:hAnsi="Garamond" w:cs="Garamond"/>
        <w:sz w:val="16"/>
        <w:szCs w:val="16"/>
      </w:rPr>
      <w:t>Dic</w:t>
    </w:r>
    <w:r>
      <w:rPr>
        <w:rFonts w:ascii="Garamond" w:eastAsia="Garamond" w:hAnsi="Garamond" w:cs="Garamond"/>
        <w:color w:val="000000"/>
        <w:sz w:val="16"/>
        <w:szCs w:val="16"/>
      </w:rPr>
      <w:t xml:space="preserve">. </w:t>
    </w:r>
    <w:r>
      <w:rPr>
        <w:rFonts w:ascii="Garamond" w:eastAsia="Garamond" w:hAnsi="Garamond" w:cs="Garamond"/>
        <w:sz w:val="16"/>
        <w:szCs w:val="16"/>
      </w:rPr>
      <w:t>2023</w:t>
    </w:r>
  </w:p>
  <w:p w14:paraId="2C752AD9" w14:textId="77777777" w:rsidR="004856B3"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BAE06" w14:textId="77777777" w:rsidR="00E1362B" w:rsidRDefault="00E1362B">
      <w:r>
        <w:separator/>
      </w:r>
    </w:p>
  </w:footnote>
  <w:footnote w:type="continuationSeparator" w:id="0">
    <w:p w14:paraId="2FA2C0E0" w14:textId="77777777" w:rsidR="00E1362B" w:rsidRDefault="00E1362B">
      <w:r>
        <w:continuationSeparator/>
      </w:r>
    </w:p>
  </w:footnote>
  <w:footnote w:id="1">
    <w:p w14:paraId="0254CC86" w14:textId="77777777" w:rsidR="004856B3" w:rsidRDefault="00000000">
      <w:pPr>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Profesor, investigador y director de docencia del Instituto de Investigaciones Económicas y Sociales (</w:t>
      </w:r>
      <w:proofErr w:type="spellStart"/>
      <w:r>
        <w:rPr>
          <w:rFonts w:ascii="Garamond" w:eastAsia="Garamond" w:hAnsi="Garamond" w:cs="Garamond"/>
          <w:sz w:val="20"/>
          <w:szCs w:val="20"/>
        </w:rPr>
        <w:t>IIES</w:t>
      </w:r>
      <w:proofErr w:type="spellEnd"/>
      <w:r>
        <w:rPr>
          <w:rFonts w:ascii="Garamond" w:eastAsia="Garamond" w:hAnsi="Garamond" w:cs="Garamond"/>
          <w:sz w:val="20"/>
          <w:szCs w:val="20"/>
        </w:rPr>
        <w:t xml:space="preserve">) de la Universidad Católica Andrés Bello (UCAB). Editor de </w:t>
      </w:r>
      <w:r>
        <w:rPr>
          <w:rFonts w:ascii="Garamond" w:eastAsia="Garamond" w:hAnsi="Garamond" w:cs="Garamond"/>
          <w:i/>
          <w:sz w:val="20"/>
          <w:szCs w:val="20"/>
        </w:rPr>
        <w:t>Temas de Coyuntura</w:t>
      </w:r>
      <w:r>
        <w:rPr>
          <w:rFonts w:ascii="Garamond" w:eastAsia="Garamond" w:hAnsi="Garamond" w:cs="Garamond"/>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5772E" w14:textId="77777777" w:rsidR="00BE46EF" w:rsidRDefault="00BE46E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E35AF" w14:textId="77777777" w:rsidR="004856B3" w:rsidRDefault="00000000">
    <w:pPr>
      <w:rPr>
        <w:rFonts w:ascii="Garamond" w:eastAsia="Garamond" w:hAnsi="Garamond" w:cs="Garamond"/>
        <w:i/>
        <w:color w:val="000000"/>
        <w:sz w:val="22"/>
        <w:szCs w:val="22"/>
      </w:rPr>
    </w:pPr>
    <w:r>
      <w:rPr>
        <w:rFonts w:ascii="Garamond" w:eastAsia="Garamond" w:hAnsi="Garamond" w:cs="Garamond"/>
        <w:i/>
        <w:sz w:val="22"/>
        <w:szCs w:val="22"/>
      </w:rPr>
      <w:t>Crítica bibliográfica</w:t>
    </w:r>
  </w:p>
  <w:p w14:paraId="200E7695" w14:textId="77777777" w:rsidR="004856B3"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22E0E31D" wp14:editId="287587F5">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65E7FD48" w14:textId="77777777" w:rsidR="004856B3" w:rsidRDefault="00000000">
    <w:pPr>
      <w:pBdr>
        <w:top w:val="nil"/>
        <w:left w:val="nil"/>
        <w:bottom w:val="nil"/>
        <w:right w:val="nil"/>
        <w:between w:val="nil"/>
      </w:pBdr>
      <w:ind w:right="143"/>
      <w:jc w:val="right"/>
      <w:rPr>
        <w:rFonts w:ascii="Garamond" w:eastAsia="Garamond" w:hAnsi="Garamond" w:cs="Garamond"/>
        <w:smallCaps/>
        <w:color w:val="000000"/>
        <w:sz w:val="22"/>
        <w:szCs w:val="22"/>
      </w:rPr>
    </w:pPr>
    <w:r>
      <w:rPr>
        <w:rFonts w:ascii="Garamond" w:eastAsia="Garamond" w:hAnsi="Garamond" w:cs="Garamond"/>
        <w:smallCaps/>
        <w:sz w:val="22"/>
        <w:szCs w:val="22"/>
      </w:rPr>
      <w:t xml:space="preserve">Luis </w:t>
    </w:r>
    <w:proofErr w:type="spellStart"/>
    <w:r>
      <w:rPr>
        <w:rFonts w:ascii="Garamond" w:eastAsia="Garamond" w:hAnsi="Garamond" w:cs="Garamond"/>
        <w:smallCaps/>
        <w:sz w:val="22"/>
        <w:szCs w:val="22"/>
      </w:rPr>
      <w:t>Lauriño</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925DE" w14:textId="6D612953" w:rsidR="004856B3" w:rsidRDefault="00000000">
    <w:pPr>
      <w:ind w:left="142"/>
      <w:rPr>
        <w:rFonts w:ascii="Garamond" w:eastAsia="Garamond" w:hAnsi="Garamond" w:cs="Garamond"/>
        <w:color w:val="000000"/>
        <w:sz w:val="15"/>
        <w:szCs w:val="15"/>
      </w:rPr>
    </w:pPr>
    <w:r>
      <w:rPr>
        <w:noProof/>
      </w:rPr>
      <w:drawing>
        <wp:anchor distT="0" distB="0" distL="114300" distR="114300" simplePos="0" relativeHeight="251659264" behindDoc="0" locked="0" layoutInCell="1" hidden="0" allowOverlap="1" wp14:anchorId="67F8D00A" wp14:editId="4F51FF80">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1EBEB2A2" w14:textId="77777777" w:rsidR="004856B3"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112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113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5405"/>
    <w:multiLevelType w:val="multilevel"/>
    <w:tmpl w:val="02F85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1402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6B3"/>
    <w:rsid w:val="004856B3"/>
    <w:rsid w:val="00B12AEA"/>
    <w:rsid w:val="00BE46EF"/>
    <w:rsid w:val="00E1362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ecimalSymbol w:val=","/>
  <w:listSeparator w:val=";"/>
  <w14:docId w14:val="3A4DB114"/>
  <w15:docId w15:val="{1B46AF69-9AAB-4DEE-8940-63CDEF0C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semiHidden/>
    <w:unhideWhenUsed/>
    <w:qFormat/>
    <w:pPr>
      <w:keepNext/>
      <w:keepLines/>
      <w:spacing w:before="200"/>
      <w:outlineLvl w:val="1"/>
    </w:pPr>
    <w:rPr>
      <w:b/>
      <w:color w:val="4472C4"/>
      <w:sz w:val="26"/>
      <w:szCs w:val="26"/>
    </w:rPr>
  </w:style>
  <w:style w:type="paragraph" w:styleId="Ttulo3">
    <w:name w:val="heading 3"/>
    <w:basedOn w:val="Normal"/>
    <w:next w:val="Normal"/>
    <w:uiPriority w:val="9"/>
    <w:semiHidden/>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paragraph" w:styleId="Encabezado">
    <w:name w:val="header"/>
    <w:basedOn w:val="Normal"/>
    <w:link w:val="EncabezadoCar"/>
    <w:uiPriority w:val="99"/>
    <w:unhideWhenUsed/>
    <w:rsid w:val="00BE46EF"/>
    <w:pPr>
      <w:tabs>
        <w:tab w:val="center" w:pos="4419"/>
        <w:tab w:val="right" w:pos="8838"/>
      </w:tabs>
    </w:pPr>
  </w:style>
  <w:style w:type="character" w:customStyle="1" w:styleId="EncabezadoCar">
    <w:name w:val="Encabezado Car"/>
    <w:basedOn w:val="Fuentedeprrafopredeter"/>
    <w:link w:val="Encabezado"/>
    <w:uiPriority w:val="99"/>
    <w:rsid w:val="00BE4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3245</Characters>
  <Application>Microsoft Office Word</Application>
  <DocSecurity>0</DocSecurity>
  <Lines>27</Lines>
  <Paragraphs>7</Paragraphs>
  <ScaleCrop>false</ScaleCrop>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Núñez</cp:lastModifiedBy>
  <cp:revision>2</cp:revision>
  <dcterms:created xsi:type="dcterms:W3CDTF">2024-07-25T17:46:00Z</dcterms:created>
  <dcterms:modified xsi:type="dcterms:W3CDTF">2024-07-25T17:47:00Z</dcterms:modified>
</cp:coreProperties>
</file>