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 w:val="left" w:leader="none" w:pos="10620"/>
          <w:tab w:val="left" w:leader="none" w:pos="11328"/>
          <w:tab w:val="left" w:leader="none" w:pos="12036"/>
          <w:tab w:val="left" w:leader="none" w:pos="12744"/>
          <w:tab w:val="left" w:leader="none" w:pos="13452"/>
          <w:tab w:val="left" w:leader="none" w:pos="14160"/>
          <w:tab w:val="left" w:leader="none" w:pos="14868"/>
          <w:tab w:val="left" w:leader="none" w:pos="15576"/>
          <w:tab w:val="left" w:leader="none" w:pos="16284"/>
          <w:tab w:val="left" w:leader="none" w:pos="16992"/>
          <w:tab w:val="left" w:leader="none" w:pos="17700"/>
          <w:tab w:val="left" w:leader="none" w:pos="18408"/>
          <w:tab w:val="left" w:leader="none" w:pos="19116"/>
          <w:tab w:val="left" w:leader="none" w:pos="19824"/>
          <w:tab w:val="left" w:leader="none" w:pos="20532"/>
          <w:tab w:val="left" w:leader="none" w:pos="21240"/>
          <w:tab w:val="left" w:leader="none" w:pos="21948"/>
          <w:tab w:val="left" w:leader="none" w:pos="22656"/>
          <w:tab w:val="left" w:leader="none" w:pos="23364"/>
          <w:tab w:val="left" w:leader="none" w:pos="24072"/>
          <w:tab w:val="left" w:leader="none" w:pos="24780"/>
          <w:tab w:val="left" w:leader="none" w:pos="25488"/>
          <w:tab w:val="left" w:leader="none" w:pos="26196"/>
          <w:tab w:val="left" w:leader="none" w:pos="26904"/>
          <w:tab w:val="left" w:leader="none" w:pos="27612"/>
          <w:tab w:val="left" w:leader="none" w:pos="28320"/>
        </w:tabs>
        <w:spacing w:line="288" w:lineRule="auto"/>
        <w:jc w:val="center"/>
        <w:rPr>
          <w:rFonts w:ascii="Garamond" w:cs="Garamond" w:eastAsia="Garamond" w:hAnsi="Garamond"/>
          <w:b w:val="1"/>
          <w:sz w:val="32"/>
          <w:szCs w:val="32"/>
        </w:rPr>
      </w:pPr>
      <w:r w:rsidDel="00000000" w:rsidR="00000000" w:rsidRPr="00000000">
        <w:rPr>
          <w:rtl w:val="0"/>
        </w:rPr>
      </w:r>
    </w:p>
    <w:p w:rsidR="00000000" w:rsidDel="00000000" w:rsidP="00000000" w:rsidRDefault="00000000" w:rsidRPr="00000000" w14:paraId="00000002">
      <w:pPr>
        <w:pStyle w:val="Title"/>
        <w:keepNext w:val="0"/>
        <w:keepLines w:val="0"/>
        <w:spacing w:line="240" w:lineRule="auto"/>
        <w:ind w:left="2552" w:firstLine="0"/>
        <w:jc w:val="lef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228600</wp:posOffset>
            </wp:positionV>
            <wp:extent cx="719317" cy="1028700"/>
            <wp:effectExtent b="0" l="0" r="0" t="0"/>
            <wp:wrapSquare wrapText="bothSides" distB="114300" distT="114300" distL="114300" distR="114300"/>
            <wp:docPr id="5"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719317" cy="1028700"/>
                    </a:xfrm>
                    <a:prstGeom prst="rect"/>
                    <a:ln/>
                  </pic:spPr>
                </pic:pic>
              </a:graphicData>
            </a:graphic>
          </wp:anchor>
        </w:drawing>
      </w:r>
    </w:p>
    <w:p w:rsidR="00000000" w:rsidDel="00000000" w:rsidP="00000000" w:rsidRDefault="00000000" w:rsidRPr="00000000" w14:paraId="00000003">
      <w:pPr>
        <w:pStyle w:val="Title"/>
        <w:keepNext w:val="0"/>
        <w:keepLines w:val="0"/>
        <w:spacing w:line="240" w:lineRule="auto"/>
        <w:ind w:left="2552" w:firstLine="0"/>
        <w:jc w:val="left"/>
        <w:rPr/>
      </w:pPr>
      <w:r w:rsidDel="00000000" w:rsidR="00000000" w:rsidRPr="00000000">
        <w:rPr>
          <w:rtl w:val="0"/>
        </w:rPr>
        <w:t xml:space="preserve">Méda, Dominique (2019). “Three scenarios for the future of work”</w:t>
      </w:r>
    </w:p>
    <w:p w:rsidR="00000000" w:rsidDel="00000000" w:rsidP="00000000" w:rsidRDefault="00000000" w:rsidRPr="00000000" w14:paraId="00000004">
      <w:pPr>
        <w:shd w:fill="ffffff" w:val="clear"/>
        <w:spacing w:after="120" w:line="360" w:lineRule="auto"/>
        <w:ind w:left="2127" w:hanging="1842.9999999999998"/>
        <w:jc w:val="both"/>
        <w:rPr>
          <w:rFonts w:ascii="Garamond" w:cs="Garamond" w:eastAsia="Garamond" w:hAnsi="Garamond"/>
          <w:b w:val="1"/>
          <w:i w:val="1"/>
          <w:sz w:val="32"/>
          <w:szCs w:val="32"/>
        </w:rPr>
      </w:pPr>
      <w:r w:rsidDel="00000000" w:rsidR="00000000" w:rsidRPr="00000000">
        <w:rPr>
          <w:rtl w:val="0"/>
        </w:rPr>
      </w:r>
    </w:p>
    <w:p w:rsidR="00000000" w:rsidDel="00000000" w:rsidP="00000000" w:rsidRDefault="00000000" w:rsidRPr="00000000" w14:paraId="00000005">
      <w:pPr>
        <w:keepNext w:val="1"/>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 w:val="left" w:leader="none" w:pos="10620"/>
          <w:tab w:val="left" w:leader="none" w:pos="11328"/>
          <w:tab w:val="left" w:leader="none" w:pos="12036"/>
          <w:tab w:val="left" w:leader="none" w:pos="12744"/>
          <w:tab w:val="left" w:leader="none" w:pos="13452"/>
          <w:tab w:val="left" w:leader="none" w:pos="14160"/>
          <w:tab w:val="left" w:leader="none" w:pos="14868"/>
          <w:tab w:val="left" w:leader="none" w:pos="15576"/>
          <w:tab w:val="left" w:leader="none" w:pos="16284"/>
          <w:tab w:val="left" w:leader="none" w:pos="16992"/>
          <w:tab w:val="left" w:leader="none" w:pos="17700"/>
          <w:tab w:val="left" w:leader="none" w:pos="18408"/>
          <w:tab w:val="left" w:leader="none" w:pos="19116"/>
          <w:tab w:val="left" w:leader="none" w:pos="19824"/>
          <w:tab w:val="left" w:leader="none" w:pos="20532"/>
          <w:tab w:val="left" w:leader="none" w:pos="21240"/>
          <w:tab w:val="left" w:leader="none" w:pos="21948"/>
          <w:tab w:val="left" w:leader="none" w:pos="22656"/>
          <w:tab w:val="left" w:leader="none" w:pos="23364"/>
          <w:tab w:val="left" w:leader="none" w:pos="24072"/>
          <w:tab w:val="left" w:leader="none" w:pos="24780"/>
          <w:tab w:val="left" w:leader="none" w:pos="25488"/>
          <w:tab w:val="left" w:leader="none" w:pos="26196"/>
          <w:tab w:val="left" w:leader="none" w:pos="26904"/>
          <w:tab w:val="left" w:leader="none" w:pos="27612"/>
          <w:tab w:val="left" w:leader="none" w:pos="28320"/>
        </w:tabs>
        <w:spacing w:line="288" w:lineRule="auto"/>
        <w:jc w:val="right"/>
        <w:rPr>
          <w:rFonts w:ascii="Garamond" w:cs="Garamond" w:eastAsia="Garamond" w:hAnsi="Garamond"/>
          <w:i w:val="1"/>
          <w:sz w:val="16"/>
          <w:szCs w:val="16"/>
        </w:rPr>
      </w:pPr>
      <w:r w:rsidDel="00000000" w:rsidR="00000000" w:rsidRPr="00000000">
        <w:rPr>
          <w:rFonts w:ascii="Garamond" w:cs="Garamond" w:eastAsia="Garamond" w:hAnsi="Garamond"/>
          <w:i w:val="1"/>
          <w:sz w:val="28"/>
          <w:szCs w:val="28"/>
          <w:rtl w:val="0"/>
        </w:rPr>
        <w:t xml:space="preserve">Luis Lauriño</w:t>
      </w:r>
      <w:r w:rsidDel="00000000" w:rsidR="00000000" w:rsidRPr="00000000">
        <w:rPr>
          <w:rFonts w:ascii="Garamond" w:cs="Garamond" w:eastAsia="Garamond" w:hAnsi="Garamond"/>
          <w:i w:val="1"/>
          <w:sz w:val="28"/>
          <w:szCs w:val="28"/>
          <w:vertAlign w:val="superscript"/>
        </w:rPr>
        <w:footnoteReference w:customMarkFollows="0" w:id="0"/>
      </w:r>
      <w:r w:rsidDel="00000000" w:rsidR="00000000" w:rsidRPr="00000000">
        <w:rPr>
          <w:rtl w:val="0"/>
        </w:rPr>
      </w:r>
    </w:p>
    <w:p w:rsidR="00000000" w:rsidDel="00000000" w:rsidP="00000000" w:rsidRDefault="00000000" w:rsidRPr="00000000" w14:paraId="00000006">
      <w:pPr>
        <w:ind w:left="2127" w:firstLine="0"/>
        <w:jc w:val="right"/>
        <w:rPr>
          <w:rFonts w:ascii="Garamond" w:cs="Garamond" w:eastAsia="Garamond" w:hAnsi="Garamond"/>
          <w:b w:val="1"/>
          <w:i w:val="1"/>
          <w:sz w:val="32"/>
          <w:szCs w:val="32"/>
        </w:rPr>
      </w:pPr>
      <w:r w:rsidDel="00000000" w:rsidR="00000000" w:rsidRPr="00000000">
        <w:rPr>
          <w:rtl w:val="0"/>
        </w:rPr>
      </w:r>
    </w:p>
    <w:p w:rsidR="00000000" w:rsidDel="00000000" w:rsidP="00000000" w:rsidRDefault="00000000" w:rsidRPr="00000000" w14:paraId="00000007">
      <w:pPr>
        <w:ind w:left="2127" w:firstLine="0"/>
        <w:jc w:val="right"/>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008">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Revista: </w:t>
      </w:r>
      <w:r w:rsidDel="00000000" w:rsidR="00000000" w:rsidRPr="00000000">
        <w:rPr>
          <w:rFonts w:ascii="Garamond" w:cs="Garamond" w:eastAsia="Garamond" w:hAnsi="Garamond"/>
          <w:i w:val="1"/>
          <w:sz w:val="22"/>
          <w:szCs w:val="22"/>
          <w:rtl w:val="0"/>
        </w:rPr>
        <w:t xml:space="preserve">International Labour Review</w:t>
      </w:r>
      <w:r w:rsidDel="00000000" w:rsidR="00000000" w:rsidRPr="00000000">
        <w:rPr>
          <w:rFonts w:ascii="Garamond" w:cs="Garamond" w:eastAsia="Garamond" w:hAnsi="Garamond"/>
          <w:sz w:val="22"/>
          <w:szCs w:val="22"/>
          <w:rtl w:val="0"/>
        </w:rPr>
        <w:t xml:space="preserve">. Vol. 158 (2019), n.º 4.</w:t>
      </w:r>
    </w:p>
    <w:p w:rsidR="00000000" w:rsidDel="00000000" w:rsidP="00000000" w:rsidRDefault="00000000" w:rsidRPr="00000000" w14:paraId="00000009">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DOI: </w:t>
      </w:r>
      <w:hyperlink r:id="rId8">
        <w:r w:rsidDel="00000000" w:rsidR="00000000" w:rsidRPr="00000000">
          <w:rPr>
            <w:rFonts w:ascii="Garamond" w:cs="Garamond" w:eastAsia="Garamond" w:hAnsi="Garamond"/>
            <w:color w:val="1155cc"/>
            <w:sz w:val="22"/>
            <w:szCs w:val="22"/>
            <w:u w:val="single"/>
            <w:rtl w:val="0"/>
          </w:rPr>
          <w:t xml:space="preserve">https://doi.org/10.1111/ilr.12157</w:t>
        </w:r>
      </w:hyperlink>
      <w:r w:rsidDel="00000000" w:rsidR="00000000" w:rsidRPr="00000000">
        <w:rPr>
          <w:rFonts w:ascii="Garamond" w:cs="Garamond" w:eastAsia="Garamond" w:hAnsi="Garamond"/>
          <w:sz w:val="22"/>
          <w:szCs w:val="22"/>
          <w:rtl w:val="0"/>
        </w:rPr>
        <w:t xml:space="preserve">.</w:t>
      </w:r>
    </w:p>
    <w:p w:rsidR="00000000" w:rsidDel="00000000" w:rsidP="00000000" w:rsidRDefault="00000000" w:rsidRPr="00000000" w14:paraId="0000000A">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Páginas: 25.</w:t>
      </w:r>
    </w:p>
    <w:p w:rsidR="00000000" w:rsidDel="00000000" w:rsidP="00000000" w:rsidRDefault="00000000" w:rsidRPr="00000000" w14:paraId="0000000B">
      <w:pPr>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00C">
      <w:pPr>
        <w:shd w:fill="ffffff" w:val="clea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Este artículo ofrece un análisis multifacético acerca del futuro del trabajo en el contexto de tres posibles escenarios, particularmente para Europa: la continuación de la desregulación del derecho laboral, la revolución tecnológica y la transición ambiental. Este análisis es particularmente relevante debido a los rápidos cambios en el mundo laboral impulsados por la digitalización, la globalización y los crecientes desafíos ambientales.</w:t>
      </w:r>
    </w:p>
    <w:p w:rsidR="00000000" w:rsidDel="00000000" w:rsidP="00000000" w:rsidRDefault="00000000" w:rsidRPr="00000000" w14:paraId="0000000D">
      <w:pPr>
        <w:shd w:fill="ffffff" w:val="clea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La primera sección del artículo examina el escenario del desmantelamiento de las leyes laborales, enfocándose en cómo las políticas promovidas por organizaciones como la Organización para la Cooperación y el Desarrollo Económicos (OCDE) han afectado las condiciones laborales y la protección de los trabajadores. Aunque se argumenta que la flexibilización laboral podría mejorar la competitividad, este enfoque también conlleva riesgos significativos para la seguridad y el bienestar de los trabajadores, como evidencia un análisis de la </w:t>
      </w:r>
      <w:r w:rsidDel="00000000" w:rsidR="00000000" w:rsidRPr="00000000">
        <w:rPr>
          <w:rFonts w:ascii="Garamond" w:cs="Garamond" w:eastAsia="Garamond" w:hAnsi="Garamond"/>
          <w:i w:val="1"/>
          <w:sz w:val="22"/>
          <w:szCs w:val="22"/>
          <w:rtl w:val="0"/>
        </w:rPr>
        <w:t xml:space="preserve">International Labour Office</w:t>
      </w:r>
      <w:r w:rsidDel="00000000" w:rsidR="00000000" w:rsidRPr="00000000">
        <w:rPr>
          <w:rFonts w:ascii="Garamond" w:cs="Garamond" w:eastAsia="Garamond" w:hAnsi="Garamond"/>
          <w:sz w:val="22"/>
          <w:szCs w:val="22"/>
          <w:rtl w:val="0"/>
        </w:rPr>
        <w:t xml:space="preserve">.</w:t>
      </w:r>
    </w:p>
    <w:p w:rsidR="00000000" w:rsidDel="00000000" w:rsidP="00000000" w:rsidRDefault="00000000" w:rsidRPr="00000000" w14:paraId="0000000E">
      <w:pPr>
        <w:shd w:fill="ffffff" w:val="clea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El segundo escenario aborda la supuesta revolución tecnológica, señalando que, aunque la automatización ofrece oportunidades para incrementar la productividad, también plantea preocupaciones sobre la pérdida de empleos y la polarización del mercado laboral. El artículo equilibra estas preocupaciones destacando las limitaciones de las predicciones más pesimistas sobre la automatización, al tiempo que resalta la necesidad de políticas que aborden las consecuencias sociales de estos cambios tecnológicos.</w:t>
      </w:r>
    </w:p>
    <w:p w:rsidR="00000000" w:rsidDel="00000000" w:rsidP="00000000" w:rsidRDefault="00000000" w:rsidRPr="00000000" w14:paraId="0000000F">
      <w:pPr>
        <w:shd w:fill="ffffff" w:val="clea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Finalmente, el escenario de la transición ambiental es presentado como la ruta más prometedora. Este enfoque subraya la urgencia de adoptar modelos de desarrollo sostenibles y cómo, a través de la adopción de estándares sociales y ambientales internacionales, es posible promover tanto la justicia social como el cuidado del medio ambiente. Tal esfuerzo podría, de forma optimista, conducir no solo a la creación de empleos, sino también a una reconsideración del significado y la calidad del trabajo en sí mismo.</w:t>
      </w:r>
    </w:p>
    <w:p w:rsidR="00000000" w:rsidDel="00000000" w:rsidP="00000000" w:rsidRDefault="00000000" w:rsidRPr="00000000" w14:paraId="00000010">
      <w:pPr>
        <w:shd w:fill="ffffff" w:val="clea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 lo largo del artículo, se hace un llamado al rediseño de marcos regulatorios y a la creación de nuevas categorías de empleo que reconozcan las realidades cambiantes del trabajo. También destaca la importancia de considerar los impactos ambientales y sociales del desarrollo económico y cómo una transición hacia la sostenibilidad puede ofrecer un camino hacia un futuro laboral inclusivo y equitativo.</w:t>
      </w:r>
    </w:p>
    <w:p w:rsidR="00000000" w:rsidDel="00000000" w:rsidP="00000000" w:rsidRDefault="00000000" w:rsidRPr="00000000" w14:paraId="00000011">
      <w:pPr>
        <w:shd w:fill="ffffff" w:val="clear"/>
        <w:spacing w:after="120" w:line="360" w:lineRule="auto"/>
        <w:ind w:firstLine="284"/>
        <w:jc w:val="both"/>
        <w:rPr>
          <w:rFonts w:ascii="Garamond" w:cs="Garamond" w:eastAsia="Garamond" w:hAnsi="Garamond"/>
          <w:b w:val="1"/>
          <w:sz w:val="32"/>
          <w:szCs w:val="32"/>
        </w:rPr>
      </w:pPr>
      <w:r w:rsidDel="00000000" w:rsidR="00000000" w:rsidRPr="00000000">
        <w:rPr>
          <w:rFonts w:ascii="Garamond" w:cs="Garamond" w:eastAsia="Garamond" w:hAnsi="Garamond"/>
          <w:sz w:val="22"/>
          <w:szCs w:val="22"/>
          <w:rtl w:val="0"/>
        </w:rPr>
        <w:t xml:space="preserve">En resumen, el texto brinda una visión integral de los desafíos y oportunidades que enfrenta el mundo del trabajo hoy. A través de una revisión de literatura académica, informes de organismos internacionales y estudios de caso, proporciona una rica base de evidencia para comprender las complejas dinámicas en juego y sugiere direcciones futuras que podrían beneficiar tanto a la sociedad como al medio ambiente.</w:t>
      </w:r>
      <w:r w:rsidDel="00000000" w:rsidR="00000000" w:rsidRPr="00000000">
        <w:rPr>
          <w:rtl w:val="0"/>
        </w:rPr>
      </w:r>
    </w:p>
    <w:sectPr>
      <w:headerReference r:id="rId9" w:type="default"/>
      <w:headerReference r:id="rId10" w:type="first"/>
      <w:footerReference r:id="rId11" w:type="default"/>
      <w:footerReference r:id="rId12" w:type="first"/>
      <w:footerReference r:id="rId13" w:type="even"/>
      <w:pgSz w:h="15840" w:w="12240" w:orient="portrait"/>
      <w:pgMar w:bottom="1417" w:top="713" w:left="1275" w:right="1041" w:header="714.3307086614174" w:footer="566.9291338582677"/>
      <w:pgNumType w:start="122"/>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Garamond" w:cs="Garamond" w:eastAsia="Garamond" w:hAnsi="Garamond"/>
        <w:b w:val="0"/>
        <w:i w:val="0"/>
        <w:smallCaps w:val="0"/>
        <w:strike w:val="0"/>
        <w:color w:val="000000"/>
        <w:sz w:val="16"/>
        <w:szCs w:val="16"/>
        <w:u w:val="none"/>
        <w:shd w:fill="auto" w:val="clear"/>
        <w:vertAlign w:val="baseline"/>
      </w:rPr>
    </w:pPr>
    <w:r w:rsidDel="00000000" w:rsidR="00000000" w:rsidRPr="00000000">
      <w:rPr>
        <w:rFonts w:ascii="Garamond" w:cs="Garamond" w:eastAsia="Garamond" w:hAnsi="Garamond"/>
        <w:sz w:val="16"/>
        <w:szCs w:val="16"/>
        <w:rtl w:val="0"/>
      </w:rPr>
      <w:t xml:space="preserve">Temas de Coyuntura n.º 88           </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EB Garamond" w:cs="EB Garamond" w:eastAsia="EB Garamond" w:hAnsi="EB Garamond"/>
        <w:b w:val="0"/>
        <w:i w:val="0"/>
        <w:smallCaps w:val="0"/>
        <w:strike w:val="0"/>
        <w:color w:val="000000"/>
        <w:sz w:val="16"/>
        <w:szCs w:val="16"/>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6019800</wp:posOffset>
              </wp:positionH>
              <wp:positionV relativeFrom="paragraph">
                <wp:posOffset>38100</wp:posOffset>
              </wp:positionV>
              <wp:extent cx="12700" cy="812800"/>
              <wp:effectExtent b="0" l="0" r="0" t="0"/>
              <wp:wrapNone/>
              <wp:docPr id="1" name=""/>
              <a:graphic>
                <a:graphicData uri="http://schemas.microsoft.com/office/word/2010/wordprocessingShape">
                  <wps:wsp>
                    <wps:cNvCnPr/>
                    <wps:spPr>
                      <a:xfrm>
                        <a:off x="5346000" y="3381855"/>
                        <a:ext cx="2700" cy="1203300"/>
                      </a:xfrm>
                      <a:prstGeom prst="straightConnector1">
                        <a:avLst/>
                      </a:prstGeom>
                      <a:noFill/>
                      <a:ln cap="flat" cmpd="sng" w="9525">
                        <a:solidFill>
                          <a:schemeClr val="dk1"/>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6019800</wp:posOffset>
              </wp:positionH>
              <wp:positionV relativeFrom="paragraph">
                <wp:posOffset>38100</wp:posOffset>
              </wp:positionV>
              <wp:extent cx="12700" cy="812800"/>
              <wp:effectExtent b="0" l="0" r="0" t="0"/>
              <wp:wrapNone/>
              <wp:docPr id="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12700" cy="812800"/>
                      </a:xfrm>
                      <a:prstGeom prst="rect"/>
                      <a:ln/>
                    </pic:spPr>
                  </pic:pic>
                </a:graphicData>
              </a:graphic>
            </wp:anchor>
          </w:drawing>
        </mc:Fallback>
      </mc:AlternateConten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68" w:firstLine="0"/>
      <w:jc w:val="right"/>
      <w:rPr>
        <w:rFonts w:ascii="Garamond" w:cs="Garamond" w:eastAsia="Garamond" w:hAnsi="Garamond"/>
        <w:b w:val="0"/>
        <w:i w:val="0"/>
        <w:smallCaps w:val="0"/>
        <w:strike w:val="0"/>
        <w:color w:val="00000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Semestre </w:t>
    </w:r>
    <w:r w:rsidDel="00000000" w:rsidR="00000000" w:rsidRPr="00000000">
      <w:rPr>
        <w:rFonts w:ascii="Garamond" w:cs="Garamond" w:eastAsia="Garamond" w:hAnsi="Garamond"/>
        <w:sz w:val="16"/>
        <w:szCs w:val="16"/>
        <w:rtl w:val="0"/>
      </w:rPr>
      <w:t xml:space="preserve">Jul</w:t>
    </w: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w:t>
    </w:r>
    <w:r w:rsidDel="00000000" w:rsidR="00000000" w:rsidRPr="00000000">
      <w:rPr>
        <w:rFonts w:ascii="Garamond" w:cs="Garamond" w:eastAsia="Garamond" w:hAnsi="Garamond"/>
        <w:sz w:val="16"/>
        <w:szCs w:val="16"/>
        <w:rtl w:val="0"/>
      </w:rPr>
      <w:t xml:space="preserve">Dic.</w:t>
    </w: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 </w:t>
    </w:r>
    <w:r w:rsidDel="00000000" w:rsidR="00000000" w:rsidRPr="00000000">
      <w:rPr>
        <w:rFonts w:ascii="Garamond" w:cs="Garamond" w:eastAsia="Garamond" w:hAnsi="Garamond"/>
        <w:sz w:val="16"/>
        <w:szCs w:val="16"/>
        <w:rtl w:val="0"/>
      </w:rPr>
      <w:t xml:space="preserve">2023</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568" w:firstLine="0"/>
      <w:jc w:val="right"/>
      <w:rPr>
        <w:rFonts w:ascii="Garamond" w:cs="Garamond" w:eastAsia="Garamond" w:hAnsi="Garamond"/>
        <w:b w:val="0"/>
        <w:i w:val="0"/>
        <w:smallCaps w:val="0"/>
        <w:strike w:val="0"/>
        <w:color w:val="00000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ISSN: 2244-8632</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36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C">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 w:val="left" w:leader="none" w:pos="10620"/>
        <w:tab w:val="left" w:leader="none" w:pos="11328"/>
        <w:tab w:val="left" w:leader="none" w:pos="12036"/>
        <w:tab w:val="left" w:leader="none" w:pos="12744"/>
        <w:tab w:val="left" w:leader="none" w:pos="13452"/>
        <w:tab w:val="left" w:leader="none" w:pos="14160"/>
        <w:tab w:val="left" w:leader="none" w:pos="14868"/>
        <w:tab w:val="left" w:leader="none" w:pos="15576"/>
        <w:tab w:val="left" w:leader="none" w:pos="16284"/>
        <w:tab w:val="left" w:leader="none" w:pos="16992"/>
        <w:tab w:val="left" w:leader="none" w:pos="17700"/>
        <w:tab w:val="left" w:leader="none" w:pos="18408"/>
        <w:tab w:val="left" w:leader="none" w:pos="19116"/>
        <w:tab w:val="left" w:leader="none" w:pos="19824"/>
        <w:tab w:val="left" w:leader="none" w:pos="20532"/>
        <w:tab w:val="left" w:leader="none" w:pos="21240"/>
        <w:tab w:val="left" w:leader="none" w:pos="21948"/>
        <w:tab w:val="left" w:leader="none" w:pos="22656"/>
        <w:tab w:val="left" w:leader="none" w:pos="23364"/>
        <w:tab w:val="left" w:leader="none" w:pos="24072"/>
        <w:tab w:val="left" w:leader="none" w:pos="24780"/>
        <w:tab w:val="left" w:leader="none" w:pos="25488"/>
        <w:tab w:val="left" w:leader="none" w:pos="26196"/>
        <w:tab w:val="left" w:leader="none" w:pos="26904"/>
        <w:tab w:val="left" w:leader="none" w:pos="27612"/>
        <w:tab w:val="left" w:leader="none" w:pos="28320"/>
      </w:tabs>
      <w:spacing w:after="0" w:before="0" w:line="288" w:lineRule="auto"/>
      <w:ind w:left="0" w:right="0" w:firstLine="0"/>
      <w:jc w:val="left"/>
      <w:rPr>
        <w:rFonts w:ascii="EB Garamond" w:cs="EB Garamond" w:eastAsia="EB Garamond" w:hAnsi="EB Garamond"/>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75.6692913385831" w:firstLine="0"/>
      <w:jc w:val="right"/>
      <w:rPr>
        <w:rFonts w:ascii="Garamond" w:cs="Garamond" w:eastAsia="Garamond" w:hAnsi="Garamond"/>
        <w:b w:val="0"/>
        <w:i w:val="0"/>
        <w:smallCaps w:val="0"/>
        <w:strike w:val="0"/>
        <w:color w:val="000000"/>
        <w:sz w:val="16"/>
        <w:szCs w:val="16"/>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16"/>
        <w:szCs w:val="16"/>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Temas de Coyuntura </w:t>
    </w:r>
    <w:r w:rsidDel="00000000" w:rsidR="00000000" w:rsidRPr="00000000">
      <w:rPr>
        <w:rFonts w:ascii="Garamond" w:cs="Garamond" w:eastAsia="Garamond" w:hAnsi="Garamond"/>
        <w:sz w:val="16"/>
        <w:szCs w:val="16"/>
        <w:rtl w:val="0"/>
      </w:rPr>
      <w:t xml:space="preserve">n</w:t>
    </w: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.º </w:t>
    </w:r>
    <w:r w:rsidDel="00000000" w:rsidR="00000000" w:rsidRPr="00000000">
      <w:rPr>
        <w:rFonts w:ascii="Garamond" w:cs="Garamond" w:eastAsia="Garamond" w:hAnsi="Garamond"/>
        <w:sz w:val="16"/>
        <w:szCs w:val="16"/>
        <w:rtl w:val="0"/>
      </w:rPr>
      <w:t xml:space="preserve">88</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6019800</wp:posOffset>
              </wp:positionH>
              <wp:positionV relativeFrom="paragraph">
                <wp:posOffset>28575</wp:posOffset>
              </wp:positionV>
              <wp:extent cx="12700" cy="730250"/>
              <wp:effectExtent b="0" l="0" r="0" t="0"/>
              <wp:wrapNone/>
              <wp:docPr id="2" name=""/>
              <a:graphic>
                <a:graphicData uri="http://schemas.microsoft.com/office/word/2010/wordprocessingShape">
                  <wps:wsp>
                    <wps:cNvCnPr/>
                    <wps:spPr>
                      <a:xfrm>
                        <a:off x="5346000" y="3382173"/>
                        <a:ext cx="2700" cy="1080000"/>
                      </a:xfrm>
                      <a:prstGeom prst="straightConnector1">
                        <a:avLst/>
                      </a:prstGeom>
                      <a:noFill/>
                      <a:ln cap="flat" cmpd="sng" w="9525">
                        <a:solidFill>
                          <a:schemeClr val="dk1"/>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6019800</wp:posOffset>
              </wp:positionH>
              <wp:positionV relativeFrom="paragraph">
                <wp:posOffset>28575</wp:posOffset>
              </wp:positionV>
              <wp:extent cx="12700" cy="730250"/>
              <wp:effectExtent b="0" l="0" r="0" t="0"/>
              <wp:wrapNone/>
              <wp:docPr id="2"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12700" cy="730250"/>
                      </a:xfrm>
                      <a:prstGeom prst="rect"/>
                      <a:ln/>
                    </pic:spPr>
                  </pic:pic>
                </a:graphicData>
              </a:graphic>
            </wp:anchor>
          </w:drawing>
        </mc:Fallback>
      </mc:AlternateConten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75.6692913385831" w:firstLine="0"/>
      <w:jc w:val="right"/>
      <w:rPr>
        <w:rFonts w:ascii="Garamond" w:cs="Garamond" w:eastAsia="Garamond" w:hAnsi="Garamond"/>
        <w:b w:val="0"/>
        <w:i w:val="0"/>
        <w:smallCaps w:val="0"/>
        <w:strike w:val="0"/>
        <w:color w:val="00000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Semestre </w:t>
    </w:r>
    <w:r w:rsidDel="00000000" w:rsidR="00000000" w:rsidRPr="00000000">
      <w:rPr>
        <w:rFonts w:ascii="Garamond" w:cs="Garamond" w:eastAsia="Garamond" w:hAnsi="Garamond"/>
        <w:sz w:val="16"/>
        <w:szCs w:val="16"/>
        <w:rtl w:val="0"/>
      </w:rPr>
      <w:t xml:space="preserve">Jul.</w:t>
    </w: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w:t>
    </w:r>
    <w:r w:rsidDel="00000000" w:rsidR="00000000" w:rsidRPr="00000000">
      <w:rPr>
        <w:rFonts w:ascii="Garamond" w:cs="Garamond" w:eastAsia="Garamond" w:hAnsi="Garamond"/>
        <w:sz w:val="16"/>
        <w:szCs w:val="16"/>
        <w:rtl w:val="0"/>
      </w:rPr>
      <w:t xml:space="preserve">Dic</w:t>
    </w: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 </w:t>
    </w:r>
    <w:r w:rsidDel="00000000" w:rsidR="00000000" w:rsidRPr="00000000">
      <w:rPr>
        <w:rFonts w:ascii="Garamond" w:cs="Garamond" w:eastAsia="Garamond" w:hAnsi="Garamond"/>
        <w:sz w:val="16"/>
        <w:szCs w:val="16"/>
        <w:rtl w:val="0"/>
      </w:rPr>
      <w:t xml:space="preserve">2023</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575.6692913385831" w:firstLine="0"/>
      <w:jc w:val="right"/>
      <w:rPr>
        <w:rFonts w:ascii="Garamond" w:cs="Garamond" w:eastAsia="Garamond" w:hAnsi="Garamond"/>
        <w:b w:val="0"/>
        <w:i w:val="0"/>
        <w:smallCaps w:val="0"/>
        <w:strike w:val="0"/>
        <w:color w:val="00000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 ISSN: 2244-8632</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575.6692913385831" w:firstLine="0"/>
      <w:jc w:val="right"/>
      <w:rPr>
        <w:rFonts w:ascii="Garamond" w:cs="Garamond" w:eastAsia="Garamond" w:hAnsi="Garamond"/>
        <w:sz w:val="16"/>
        <w:szCs w:val="16"/>
      </w:rPr>
    </w:pP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21">
      <w:pPr>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Profesor, investigador y director de docencia del Instituto de Investigaciones Económicas y Sociales (IIES) de la Universidad Católica Andrés Bello (UCAB).</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2">
    <w:pPr>
      <w:ind w:left="142" w:firstLine="0"/>
      <w:rPr>
        <w:rFonts w:ascii="Garamond" w:cs="Garamond" w:eastAsia="Garamond" w:hAnsi="Garamond"/>
        <w:color w:val="000000"/>
        <w:sz w:val="15"/>
        <w:szCs w:val="15"/>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5463540</wp:posOffset>
          </wp:positionH>
          <wp:positionV relativeFrom="paragraph">
            <wp:posOffset>0</wp:posOffset>
          </wp:positionV>
          <wp:extent cx="838200" cy="298450"/>
          <wp:effectExtent b="0" l="0" r="0" t="0"/>
          <wp:wrapSquare wrapText="bothSides" distB="0" distT="0" distL="114300" distR="114300"/>
          <wp:docPr descr="Creative Commons License" id="6" name="image1.png"/>
          <a:graphic>
            <a:graphicData uri="http://schemas.openxmlformats.org/drawingml/2006/picture">
              <pic:pic>
                <pic:nvPicPr>
                  <pic:cNvPr descr="Creative Commons License" id="0" name="image1.png"/>
                  <pic:cNvPicPr preferRelativeResize="0"/>
                </pic:nvPicPr>
                <pic:blipFill>
                  <a:blip r:embed="rId1"/>
                  <a:srcRect b="0" l="0" r="0" t="0"/>
                  <a:stretch>
                    <a:fillRect/>
                  </a:stretch>
                </pic:blipFill>
                <pic:spPr>
                  <a:xfrm>
                    <a:off x="0" y="0"/>
                    <a:ext cx="838200" cy="29845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2700" cy="339725"/>
              <wp:effectExtent b="0" l="0" r="0" t="0"/>
              <wp:wrapNone/>
              <wp:docPr id="3" name=""/>
              <a:graphic>
                <a:graphicData uri="http://schemas.microsoft.com/office/word/2010/wordprocessingShape">
                  <wps:wsp>
                    <wps:cNvCnPr/>
                    <wps:spPr>
                      <a:xfrm>
                        <a:off x="5346000" y="3610138"/>
                        <a:ext cx="0" cy="339725"/>
                      </a:xfrm>
                      <a:prstGeom prst="straightConnector1">
                        <a:avLst/>
                      </a:prstGeom>
                      <a:noFill/>
                      <a:ln cap="flat" cmpd="sng" w="9525">
                        <a:solidFill>
                          <a:schemeClr val="dk1"/>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2700" cy="339725"/>
              <wp:effectExtent b="0" l="0" r="0" t="0"/>
              <wp:wrapNone/>
              <wp:docPr id="3"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12700" cy="339725"/>
                      </a:xfrm>
                      <a:prstGeom prst="rect"/>
                      <a:ln/>
                    </pic:spPr>
                  </pic:pic>
                </a:graphicData>
              </a:graphic>
            </wp:anchor>
          </w:drawing>
        </mc:Fallback>
      </mc:AlternateContent>
    </w:r>
  </w:p>
  <w:p w:rsidR="00000000" w:rsidDel="00000000" w:rsidP="00000000" w:rsidRDefault="00000000" w:rsidRPr="00000000" w14:paraId="00000013">
    <w:pPr>
      <w:ind w:left="142" w:firstLine="0"/>
      <w:rPr>
        <w:rFonts w:ascii="Garamond" w:cs="Garamond" w:eastAsia="Garamond" w:hAnsi="Garamond"/>
        <w:color w:val="000000"/>
        <w:sz w:val="15"/>
        <w:szCs w:val="15"/>
      </w:rPr>
    </w:pPr>
    <w:r w:rsidDel="00000000" w:rsidR="00000000" w:rsidRPr="00000000">
      <w:rPr>
        <w:rFonts w:ascii="Garamond" w:cs="Garamond" w:eastAsia="Garamond" w:hAnsi="Garamond"/>
        <w:color w:val="000000"/>
        <w:sz w:val="15"/>
        <w:szCs w:val="15"/>
        <w:rtl w:val="0"/>
      </w:rPr>
      <w:t xml:space="preserve">Pp. </w:t>
    </w:r>
    <w:r w:rsidDel="00000000" w:rsidR="00000000" w:rsidRPr="00000000">
      <w:rPr>
        <w:rFonts w:ascii="Garamond" w:cs="Garamond" w:eastAsia="Garamond" w:hAnsi="Garamond"/>
        <w:sz w:val="15"/>
        <w:szCs w:val="15"/>
        <w:rtl w:val="0"/>
      </w:rPr>
      <w:t xml:space="preserve">122 </w:t>
    </w:r>
    <w:r w:rsidDel="00000000" w:rsidR="00000000" w:rsidRPr="00000000">
      <w:rPr>
        <w:rFonts w:ascii="Garamond" w:cs="Garamond" w:eastAsia="Garamond" w:hAnsi="Garamond"/>
        <w:color w:val="000000"/>
        <w:sz w:val="15"/>
        <w:szCs w:val="15"/>
        <w:rtl w:val="0"/>
      </w:rPr>
      <w:t xml:space="preserve">– </w:t>
    </w:r>
    <w:r w:rsidDel="00000000" w:rsidR="00000000" w:rsidRPr="00000000">
      <w:rPr>
        <w:rFonts w:ascii="Garamond" w:cs="Garamond" w:eastAsia="Garamond" w:hAnsi="Garamond"/>
        <w:sz w:val="15"/>
        <w:szCs w:val="15"/>
        <w:rtl w:val="0"/>
      </w:rPr>
      <w:t xml:space="preserve">p</w:t>
    </w:r>
    <w:r w:rsidDel="00000000" w:rsidR="00000000" w:rsidRPr="00000000">
      <w:rPr>
        <w:rFonts w:ascii="Garamond" w:cs="Garamond" w:eastAsia="Garamond" w:hAnsi="Garamond"/>
        <w:color w:val="000000"/>
        <w:sz w:val="15"/>
        <w:szCs w:val="15"/>
        <w:rtl w:val="0"/>
      </w:rPr>
      <w:t xml:space="preserve">p. </w:t>
    </w:r>
    <w:r w:rsidDel="00000000" w:rsidR="00000000" w:rsidRPr="00000000">
      <w:rPr>
        <w:rFonts w:ascii="Garamond" w:cs="Garamond" w:eastAsia="Garamond" w:hAnsi="Garamond"/>
        <w:sz w:val="15"/>
        <w:szCs w:val="15"/>
        <w:rtl w:val="0"/>
      </w:rPr>
      <w:t xml:space="preserve">123</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4">
    <w:pPr>
      <w:rPr>
        <w:rFonts w:ascii="Garamond" w:cs="Garamond" w:eastAsia="Garamond" w:hAnsi="Garamond"/>
        <w:i w:val="1"/>
        <w:color w:val="000000"/>
        <w:sz w:val="22"/>
        <w:szCs w:val="22"/>
      </w:rPr>
    </w:pPr>
    <w:r w:rsidDel="00000000" w:rsidR="00000000" w:rsidRPr="00000000">
      <w:rPr>
        <w:rFonts w:ascii="Garamond" w:cs="Garamond" w:eastAsia="Garamond" w:hAnsi="Garamond"/>
        <w:i w:val="1"/>
        <w:sz w:val="22"/>
        <w:szCs w:val="22"/>
        <w:rtl w:val="0"/>
      </w:rPr>
      <w:t xml:space="preserve">Crítica bibliográfica</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0"/>
        <w:i w:val="1"/>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50800</wp:posOffset>
              </wp:positionV>
              <wp:extent cx="6219825" cy="12700"/>
              <wp:effectExtent b="0" l="0" r="0" t="0"/>
              <wp:wrapNone/>
              <wp:docPr id="4" name=""/>
              <a:graphic>
                <a:graphicData uri="http://schemas.microsoft.com/office/word/2010/wordprocessingShape">
                  <wps:wsp>
                    <wps:cNvCnPr/>
                    <wps:spPr>
                      <a:xfrm rot="10800000">
                        <a:off x="2236088" y="3780000"/>
                        <a:ext cx="6219825" cy="0"/>
                      </a:xfrm>
                      <a:prstGeom prst="straightConnector1">
                        <a:avLst/>
                      </a:prstGeom>
                      <a:noFill/>
                      <a:ln cap="flat" cmpd="sng" w="9525">
                        <a:solidFill>
                          <a:schemeClr val="dk1"/>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50800</wp:posOffset>
              </wp:positionV>
              <wp:extent cx="6219825" cy="12700"/>
              <wp:effectExtent b="0" l="0" r="0" t="0"/>
              <wp:wrapNone/>
              <wp:docPr id="4"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6219825" cy="12700"/>
                      </a:xfrm>
                      <a:prstGeom prst="rect"/>
                      <a:ln/>
                    </pic:spPr>
                  </pic:pic>
                </a:graphicData>
              </a:graphic>
            </wp:anchor>
          </w:drawing>
        </mc:Fallback>
      </mc:AlternateConten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3" w:firstLine="0"/>
      <w:jc w:val="right"/>
      <w:rPr>
        <w:rFonts w:ascii="Garamond" w:cs="Garamond" w:eastAsia="Garamond" w:hAnsi="Garamond"/>
        <w:b w:val="0"/>
        <w:i w:val="0"/>
        <w:smallCaps w:val="1"/>
        <w:strike w:val="0"/>
        <w:color w:val="000000"/>
        <w:sz w:val="22"/>
        <w:szCs w:val="22"/>
        <w:u w:val="none"/>
        <w:shd w:fill="auto" w:val="clear"/>
        <w:vertAlign w:val="baseline"/>
      </w:rPr>
    </w:pPr>
    <w:r w:rsidDel="00000000" w:rsidR="00000000" w:rsidRPr="00000000">
      <w:rPr>
        <w:rFonts w:ascii="Garamond" w:cs="Garamond" w:eastAsia="Garamond" w:hAnsi="Garamond"/>
        <w:smallCaps w:val="1"/>
        <w:sz w:val="22"/>
        <w:szCs w:val="22"/>
        <w:rtl w:val="0"/>
      </w:rPr>
      <w:t xml:space="preserve">Luis Lauriño</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s_419"/>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tabs>
        <w:tab w:val="left" w:leader="none" w:pos="284"/>
      </w:tabs>
      <w:spacing w:after="120" w:line="360" w:lineRule="auto"/>
      <w:jc w:val="both"/>
    </w:pPr>
    <w:rPr>
      <w:rFonts w:ascii="Garamond" w:cs="Garamond" w:eastAsia="Garamond" w:hAnsi="Garamond"/>
      <w:b w:val="1"/>
      <w:sz w:val="22"/>
      <w:szCs w:val="22"/>
    </w:rPr>
  </w:style>
  <w:style w:type="paragraph" w:styleId="Heading2">
    <w:name w:val="heading 2"/>
    <w:basedOn w:val="Normal"/>
    <w:next w:val="Normal"/>
    <w:pPr>
      <w:keepNext w:val="1"/>
      <w:keepLines w:val="1"/>
      <w:spacing w:before="200" w:lineRule="auto"/>
    </w:pPr>
    <w:rPr>
      <w:rFonts w:ascii="Arial" w:cs="Arial" w:eastAsia="Arial" w:hAnsi="Arial"/>
      <w:b w:val="1"/>
      <w:color w:val="4472c4"/>
      <w:sz w:val="26"/>
      <w:szCs w:val="26"/>
    </w:rPr>
  </w:style>
  <w:style w:type="paragraph" w:styleId="Heading3">
    <w:name w:val="heading 3"/>
    <w:basedOn w:val="Normal"/>
    <w:next w:val="Normal"/>
    <w:pPr>
      <w:keepNext w:val="1"/>
      <w:keepLines w:val="1"/>
      <w:spacing w:after="120" w:line="360" w:lineRule="auto"/>
      <w:ind w:firstLine="284"/>
      <w:jc w:val="both"/>
    </w:pPr>
    <w:rPr>
      <w:rFonts w:ascii="Garamond" w:cs="Garamond" w:eastAsia="Garamond" w:hAnsi="Garamond"/>
      <w:sz w:val="22"/>
      <w:szCs w:val="22"/>
    </w:rPr>
  </w:style>
  <w:style w:type="paragraph" w:styleId="Heading4">
    <w:name w:val="heading 4"/>
    <w:basedOn w:val="Normal"/>
    <w:next w:val="Normal"/>
    <w:pPr>
      <w:keepNext w:val="1"/>
      <w:keepLines w:val="1"/>
      <w:spacing w:after="120" w:lineRule="auto"/>
      <w:ind w:left="709" w:right="709" w:firstLine="0"/>
      <w:jc w:val="both"/>
    </w:pPr>
    <w:rPr>
      <w:rFonts w:ascii="Garamond" w:cs="Garamond" w:eastAsia="Garamond" w:hAnsi="Garamond"/>
      <w:sz w:val="20"/>
      <w:szCs w:val="20"/>
    </w:rPr>
  </w:style>
  <w:style w:type="paragraph" w:styleId="Heading5">
    <w:name w:val="heading 5"/>
    <w:basedOn w:val="Normal"/>
    <w:next w:val="Normal"/>
    <w:pPr>
      <w:keepNext w:val="1"/>
      <w:keepLines w:val="1"/>
      <w:spacing w:after="120" w:lineRule="auto"/>
      <w:ind w:left="284"/>
      <w:jc w:val="both"/>
    </w:pPr>
    <w:rPr>
      <w:rFonts w:ascii="Garamond" w:cs="Garamond" w:eastAsia="Garamond" w:hAnsi="Garamond"/>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 w:val="left" w:leader="none" w:pos="10620"/>
        <w:tab w:val="left" w:leader="none" w:pos="11328"/>
        <w:tab w:val="left" w:leader="none" w:pos="12036"/>
        <w:tab w:val="left" w:leader="none" w:pos="12744"/>
        <w:tab w:val="left" w:leader="none" w:pos="13452"/>
        <w:tab w:val="left" w:leader="none" w:pos="14160"/>
        <w:tab w:val="left" w:leader="none" w:pos="14868"/>
        <w:tab w:val="left" w:leader="none" w:pos="15576"/>
        <w:tab w:val="left" w:leader="none" w:pos="16284"/>
        <w:tab w:val="left" w:leader="none" w:pos="16992"/>
        <w:tab w:val="left" w:leader="none" w:pos="17700"/>
        <w:tab w:val="left" w:leader="none" w:pos="18408"/>
        <w:tab w:val="left" w:leader="none" w:pos="19116"/>
        <w:tab w:val="left" w:leader="none" w:pos="19824"/>
        <w:tab w:val="left" w:leader="none" w:pos="20532"/>
        <w:tab w:val="left" w:leader="none" w:pos="21240"/>
        <w:tab w:val="left" w:leader="none" w:pos="21948"/>
        <w:tab w:val="left" w:leader="none" w:pos="22656"/>
        <w:tab w:val="left" w:leader="none" w:pos="23364"/>
        <w:tab w:val="left" w:leader="none" w:pos="24072"/>
        <w:tab w:val="left" w:leader="none" w:pos="24780"/>
        <w:tab w:val="left" w:leader="none" w:pos="25488"/>
        <w:tab w:val="left" w:leader="none" w:pos="26196"/>
        <w:tab w:val="left" w:leader="none" w:pos="26904"/>
        <w:tab w:val="left" w:leader="none" w:pos="27612"/>
        <w:tab w:val="left" w:leader="none" w:pos="28320"/>
      </w:tabs>
      <w:spacing w:line="288" w:lineRule="auto"/>
      <w:jc w:val="center"/>
    </w:pPr>
    <w:rPr>
      <w:rFonts w:ascii="Garamond" w:cs="Garamond" w:eastAsia="Garamond" w:hAnsi="Garamond"/>
      <w:b w:val="1"/>
      <w:sz w:val="32"/>
      <w:szCs w:val="32"/>
    </w:rPr>
  </w:style>
  <w:style w:type="paragraph" w:styleId="Subtitle">
    <w:name w:val="Subtitle"/>
    <w:basedOn w:val="Normal"/>
    <w:next w:val="Normal"/>
    <w:pPr>
      <w:keepNext w:val="1"/>
      <w:keepLines w:val="1"/>
      <w:tabs>
        <w:tab w:val="left" w:leader="none" w:pos="284"/>
      </w:tabs>
      <w:spacing w:after="120" w:line="360" w:lineRule="auto"/>
      <w:jc w:val="both"/>
    </w:pPr>
    <w:rPr>
      <w:rFonts w:ascii="Garamond" w:cs="Garamond" w:eastAsia="Garamond" w:hAnsi="Garamond"/>
      <w:b w:val="1"/>
    </w:r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1.xml"/><Relationship Id="rId13" Type="http://schemas.openxmlformats.org/officeDocument/2006/relationships/footer" Target="footer2.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png"/><Relationship Id="rId8" Type="http://schemas.openxmlformats.org/officeDocument/2006/relationships/hyperlink" Target="https://doi.org/10.1111/ilr.12157"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