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center"/>
        <w:rPr>
          <w:rFonts w:ascii="Garamond" w:cs="Garamond" w:eastAsia="Garamond" w:hAnsi="Garamond"/>
          <w:b w:val="1"/>
          <w:sz w:val="32"/>
          <w:szCs w:val="32"/>
        </w:rPr>
      </w:pPr>
      <w:r w:rsidDel="00000000" w:rsidR="00000000" w:rsidRPr="00000000">
        <w:rPr>
          <w:rtl w:val="0"/>
        </w:rPr>
      </w:r>
    </w:p>
    <w:p w:rsidR="00000000" w:rsidDel="00000000" w:rsidP="00000000" w:rsidRDefault="00000000" w:rsidRPr="00000000" w14:paraId="00000002">
      <w:pPr>
        <w:pStyle w:val="Title"/>
        <w:keepNext w:val="0"/>
        <w:keepLines w:val="0"/>
        <w:spacing w:line="240" w:lineRule="auto"/>
        <w:ind w:left="2552" w:firstLine="0"/>
        <w:jc w:val="left"/>
        <w:rPr/>
      </w:pPr>
      <w:r w:rsidDel="00000000" w:rsidR="00000000" w:rsidRPr="00000000">
        <w:rPr>
          <w:rtl w:val="0"/>
        </w:rPr>
      </w:r>
    </w:p>
    <w:p w:rsidR="00000000" w:rsidDel="00000000" w:rsidP="00000000" w:rsidRDefault="00000000" w:rsidRPr="00000000" w14:paraId="00000003">
      <w:pPr>
        <w:pStyle w:val="Title"/>
        <w:keepNext w:val="0"/>
        <w:keepLines w:val="0"/>
        <w:spacing w:line="240" w:lineRule="auto"/>
        <w:ind w:left="2552" w:firstLine="0"/>
        <w:jc w:val="left"/>
        <w:rPr/>
      </w:pPr>
      <w:r w:rsidDel="00000000" w:rsidR="00000000" w:rsidRPr="00000000">
        <w:rPr>
          <w:rtl w:val="0"/>
        </w:rPr>
        <w:t xml:space="preserve">West, Darrell M. (2020). </w:t>
      </w:r>
      <w:r w:rsidDel="00000000" w:rsidR="00000000" w:rsidRPr="00000000">
        <w:rPr>
          <w:i w:val="1"/>
          <w:rtl w:val="0"/>
        </w:rPr>
        <w:t xml:space="preserve">The Future of Work: Robots, AI, and Automation</w:t>
      </w: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9525</wp:posOffset>
            </wp:positionH>
            <wp:positionV relativeFrom="paragraph">
              <wp:posOffset>0</wp:posOffset>
            </wp:positionV>
            <wp:extent cx="685800" cy="1032831"/>
            <wp:effectExtent b="0" l="0" r="0" t="0"/>
            <wp:wrapNone/>
            <wp:docPr descr="The Future of Work: Robots, AI, and Automation: West, Darrell M.:  9780815732938: Amazon.com: Books" id="6" name="image2.jpg"/>
            <a:graphic>
              <a:graphicData uri="http://schemas.openxmlformats.org/drawingml/2006/picture">
                <pic:pic>
                  <pic:nvPicPr>
                    <pic:cNvPr descr="The Future of Work: Robots, AI, and Automation: West, Darrell M.:  9780815732938: Amazon.com: Books" id="0" name="image2.jpg"/>
                    <pic:cNvPicPr preferRelativeResize="0"/>
                  </pic:nvPicPr>
                  <pic:blipFill>
                    <a:blip r:embed="rId7"/>
                    <a:srcRect b="0" l="0" r="0" t="0"/>
                    <a:stretch>
                      <a:fillRect/>
                    </a:stretch>
                  </pic:blipFill>
                  <pic:spPr>
                    <a:xfrm>
                      <a:off x="0" y="0"/>
                      <a:ext cx="685800" cy="1032831"/>
                    </a:xfrm>
                    <a:prstGeom prst="rect"/>
                    <a:ln/>
                  </pic:spPr>
                </pic:pic>
              </a:graphicData>
            </a:graphic>
          </wp:anchor>
        </w:drawing>
      </w:r>
    </w:p>
    <w:p w:rsidR="00000000" w:rsidDel="00000000" w:rsidP="00000000" w:rsidRDefault="00000000" w:rsidRPr="00000000" w14:paraId="00000004">
      <w:pPr>
        <w:ind w:left="2127" w:firstLine="0"/>
        <w:jc w:val="center"/>
        <w:rPr>
          <w:rFonts w:ascii="Garamond" w:cs="Garamond" w:eastAsia="Garamond" w:hAnsi="Garamond"/>
          <w:b w:val="1"/>
          <w:i w:val="1"/>
          <w:sz w:val="32"/>
          <w:szCs w:val="32"/>
        </w:rPr>
      </w:pPr>
      <w:r w:rsidDel="00000000" w:rsidR="00000000" w:rsidRPr="00000000">
        <w:rPr>
          <w:rtl w:val="0"/>
        </w:rPr>
      </w:r>
    </w:p>
    <w:p w:rsidR="00000000" w:rsidDel="00000000" w:rsidP="00000000" w:rsidRDefault="00000000" w:rsidRPr="00000000" w14:paraId="00000005">
      <w:pPr>
        <w:keepNext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right"/>
        <w:rPr>
          <w:rFonts w:ascii="Garamond" w:cs="Garamond" w:eastAsia="Garamond" w:hAnsi="Garamond"/>
          <w:i w:val="1"/>
          <w:sz w:val="16"/>
          <w:szCs w:val="16"/>
        </w:rPr>
      </w:pPr>
      <w:r w:rsidDel="00000000" w:rsidR="00000000" w:rsidRPr="00000000">
        <w:rPr>
          <w:rFonts w:ascii="Garamond" w:cs="Garamond" w:eastAsia="Garamond" w:hAnsi="Garamond"/>
          <w:i w:val="1"/>
          <w:sz w:val="28"/>
          <w:szCs w:val="28"/>
          <w:rtl w:val="0"/>
        </w:rPr>
        <w:t xml:space="preserve">Luis Lauriño</w:t>
      </w:r>
      <w:r w:rsidDel="00000000" w:rsidR="00000000" w:rsidRPr="00000000">
        <w:rPr>
          <w:rFonts w:ascii="Garamond" w:cs="Garamond" w:eastAsia="Garamond" w:hAnsi="Garamond"/>
          <w:i w:val="1"/>
          <w:sz w:val="28"/>
          <w:szCs w:val="28"/>
          <w:vertAlign w:val="superscript"/>
        </w:rPr>
        <w:footnoteReference w:customMarkFollows="0" w:id="0"/>
      </w:r>
      <w:r w:rsidDel="00000000" w:rsidR="00000000" w:rsidRPr="00000000">
        <w:rPr>
          <w:rtl w:val="0"/>
        </w:rPr>
      </w:r>
    </w:p>
    <w:p w:rsidR="00000000" w:rsidDel="00000000" w:rsidP="00000000" w:rsidRDefault="00000000" w:rsidRPr="00000000" w14:paraId="00000006">
      <w:pPr>
        <w:ind w:left="2127" w:firstLine="0"/>
        <w:jc w:val="right"/>
        <w:rPr>
          <w:rFonts w:ascii="Garamond" w:cs="Garamond" w:eastAsia="Garamond" w:hAnsi="Garamond"/>
          <w:b w:val="1"/>
          <w:i w:val="1"/>
          <w:sz w:val="32"/>
          <w:szCs w:val="32"/>
        </w:rPr>
      </w:pPr>
      <w:r w:rsidDel="00000000" w:rsidR="00000000" w:rsidRPr="00000000">
        <w:rPr>
          <w:rtl w:val="0"/>
        </w:rPr>
      </w:r>
    </w:p>
    <w:p w:rsidR="00000000" w:rsidDel="00000000" w:rsidP="00000000" w:rsidRDefault="00000000" w:rsidRPr="00000000" w14:paraId="00000007">
      <w:pPr>
        <w:ind w:left="2127" w:firstLine="0"/>
        <w:jc w:val="right"/>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08">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Editorial: Brookings Institution Press.</w:t>
      </w:r>
    </w:p>
    <w:p w:rsidR="00000000" w:rsidDel="00000000" w:rsidP="00000000" w:rsidRDefault="00000000" w:rsidRPr="00000000" w14:paraId="00000009">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ISBN: 0815732937.</w:t>
      </w:r>
    </w:p>
    <w:p w:rsidR="00000000" w:rsidDel="00000000" w:rsidP="00000000" w:rsidRDefault="00000000" w:rsidRPr="00000000" w14:paraId="0000000A">
      <w:pPr>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Páginas: 175.</w:t>
      </w:r>
    </w:p>
    <w:p w:rsidR="00000000" w:rsidDel="00000000" w:rsidP="00000000" w:rsidRDefault="00000000" w:rsidRPr="00000000" w14:paraId="0000000B">
      <w:pPr>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0C">
      <w:pPr>
        <w:shd w:fill="ffffff" w:val="clea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En </w:t>
      </w:r>
      <w:r w:rsidDel="00000000" w:rsidR="00000000" w:rsidRPr="00000000">
        <w:rPr>
          <w:rFonts w:ascii="Garamond" w:cs="Garamond" w:eastAsia="Garamond" w:hAnsi="Garamond"/>
          <w:i w:val="1"/>
          <w:sz w:val="22"/>
          <w:szCs w:val="22"/>
          <w:rtl w:val="0"/>
        </w:rPr>
        <w:t xml:space="preserve">The Future of Work: Robots, AI, and Automation</w:t>
      </w:r>
      <w:r w:rsidDel="00000000" w:rsidR="00000000" w:rsidRPr="00000000">
        <w:rPr>
          <w:rFonts w:ascii="Garamond" w:cs="Garamond" w:eastAsia="Garamond" w:hAnsi="Garamond"/>
          <w:sz w:val="22"/>
          <w:szCs w:val="22"/>
          <w:rtl w:val="0"/>
        </w:rPr>
        <w:t xml:space="preserve">, Darrell M. West explora con agudeza y profundidad los impactos emergentes de la robótica, la inteligencia artificial (IA) y la automatización en el panorama laboral. </w:t>
      </w:r>
    </w:p>
    <w:p w:rsidR="00000000" w:rsidDel="00000000" w:rsidP="00000000" w:rsidRDefault="00000000" w:rsidRPr="00000000" w14:paraId="0000000D">
      <w:pPr>
        <w:shd w:fill="ffffff" w:val="clea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Publicada en 2018 por Brookings Institution Press, esta obra se presenta como un análisis indispensable para comprender cómo estas tecnologías están remodelando las economías, las industrias y los trabajos a nivel global. West, vicepresidente de estudios de gobernabilidad en Brookings Institution, utiliza su vasta experiencia en políticas públicas para examinar no </w:t>
      </w:r>
      <w:r w:rsidDel="00000000" w:rsidR="00000000" w:rsidRPr="00000000">
        <w:rPr>
          <w:rFonts w:ascii="Garamond" w:cs="Garamond" w:eastAsia="Garamond" w:hAnsi="Garamond"/>
          <w:sz w:val="22"/>
          <w:szCs w:val="22"/>
          <w:rtl w:val="0"/>
        </w:rPr>
        <w:t xml:space="preserve">solo</w:t>
      </w:r>
      <w:r w:rsidDel="00000000" w:rsidR="00000000" w:rsidRPr="00000000">
        <w:rPr>
          <w:rFonts w:ascii="Garamond" w:cs="Garamond" w:eastAsia="Garamond" w:hAnsi="Garamond"/>
          <w:sz w:val="22"/>
          <w:szCs w:val="22"/>
          <w:rtl w:val="0"/>
        </w:rPr>
        <w:t xml:space="preserve"> las transformaciones tecnológicas sino también sus implicaciones socioeconómicas y políticas.</w:t>
      </w:r>
    </w:p>
    <w:p w:rsidR="00000000" w:rsidDel="00000000" w:rsidP="00000000" w:rsidRDefault="00000000" w:rsidRPr="00000000" w14:paraId="0000000E">
      <w:pPr>
        <w:shd w:fill="ffffff" w:val="clea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El libro se centra en un tema crítico y oportuno: la coevolución del trabajo y la tecnología en una era definida por avances sin precedentes en inteligencia artificial y automatización. West argumenta que estamos al borde de una revolución laboral que podría alterar significativamente cómo y dónde trabajan las personas, transformando las normas culturales y las estructuras económicas en el proceso. Lejos de ofrecer una visión distópica, el autor busca equilibrar las posibles pérdidas de empleo con la creación de nuevas oportunidades laborales, resaltando el potencial de estas tecnologías para mejorar la eficiencia y abrir caminos hacia trabajos más gratificantes.</w:t>
      </w:r>
    </w:p>
    <w:p w:rsidR="00000000" w:rsidDel="00000000" w:rsidP="00000000" w:rsidRDefault="00000000" w:rsidRPr="00000000" w14:paraId="0000000F">
      <w:pPr>
        <w:shd w:fill="ffffff" w:val="clea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A través de un análisis detallado y accesible, West aborda los desafíos clave que enfrentamos, como la necesidad de políticas educativas y de capacitación reorientadas, la reestructuración de los sistemas de seguridad social para una era de trabajos más fugaces, y el imperativo de liderazgo político y empresarial para guiar una transición justa y equitativa. El libro también explora cómo la automatización puede influir en la desigualdad, el empleo juvenil y las divisiones rurales-urbanas, proponiendo soluciones políticas y estratégicas para abordar estos retos.</w:t>
      </w:r>
    </w:p>
    <w:p w:rsidR="00000000" w:rsidDel="00000000" w:rsidP="00000000" w:rsidRDefault="00000000" w:rsidRPr="00000000" w14:paraId="00000010">
      <w:pPr>
        <w:shd w:fill="ffffff" w:val="clear"/>
        <w:spacing w:after="120" w:line="360" w:lineRule="auto"/>
        <w:ind w:firstLine="284"/>
        <w:jc w:val="both"/>
        <w:rPr>
          <w:rFonts w:ascii="Garamond" w:cs="Garamond" w:eastAsia="Garamond" w:hAnsi="Garamond"/>
          <w:sz w:val="22"/>
          <w:szCs w:val="22"/>
        </w:rPr>
      </w:pPr>
      <w:r w:rsidDel="00000000" w:rsidR="00000000" w:rsidRPr="00000000">
        <w:rPr>
          <w:rFonts w:ascii="Garamond" w:cs="Garamond" w:eastAsia="Garamond" w:hAnsi="Garamond"/>
          <w:i w:val="1"/>
          <w:sz w:val="22"/>
          <w:szCs w:val="22"/>
          <w:rtl w:val="0"/>
        </w:rPr>
        <w:t xml:space="preserve">The Future of Work</w:t>
      </w:r>
      <w:r w:rsidDel="00000000" w:rsidR="00000000" w:rsidRPr="00000000">
        <w:rPr>
          <w:rFonts w:ascii="Garamond" w:cs="Garamond" w:eastAsia="Garamond" w:hAnsi="Garamond"/>
          <w:sz w:val="22"/>
          <w:szCs w:val="22"/>
          <w:rtl w:val="0"/>
        </w:rPr>
        <w:t xml:space="preserve"> es elocuente en su llamado a la acción, instando a los responsables de formular políticas, líderes empresariales y ciudadanos a participar activamente en la configuración de un futuro laboral que maximice los beneficios de la IA y la automatización mientras se minimizan sus costos sociales. West ofrece una visión práctica y reflexiva sobre las formas en las que podemos adaptarnos a estos cambios inevitables, asegurando que el progreso tecnológico beneficie a la sociedad en su conjunto.</w:t>
      </w:r>
    </w:p>
    <w:p w:rsidR="00000000" w:rsidDel="00000000" w:rsidP="00000000" w:rsidRDefault="00000000" w:rsidRPr="00000000" w14:paraId="00000011">
      <w:pPr>
        <w:shd w:fill="ffffff" w:val="clear"/>
        <w:spacing w:after="120" w:line="360" w:lineRule="auto"/>
        <w:ind w:firstLine="284"/>
        <w:jc w:val="both"/>
        <w:rPr>
          <w:rFonts w:ascii="Garamond" w:cs="Garamond" w:eastAsia="Garamond" w:hAnsi="Garamond"/>
          <w:b w:val="1"/>
          <w:sz w:val="32"/>
          <w:szCs w:val="32"/>
        </w:rPr>
      </w:pPr>
      <w:r w:rsidDel="00000000" w:rsidR="00000000" w:rsidRPr="00000000">
        <w:rPr>
          <w:rFonts w:ascii="Garamond" w:cs="Garamond" w:eastAsia="Garamond" w:hAnsi="Garamond"/>
          <w:sz w:val="22"/>
          <w:szCs w:val="22"/>
          <w:rtl w:val="0"/>
        </w:rPr>
        <w:t xml:space="preserve">En suma, West ofrece un recurso valioso para cualquier persona interesada en las intersecciones de tecnología, economía y política, presentando un análisis sofisticado y una visión esperanzadora del trabajo en el siglo XXI.</w:t>
      </w:r>
      <w:r w:rsidDel="00000000" w:rsidR="00000000" w:rsidRPr="00000000">
        <w:rPr>
          <w:rtl w:val="0"/>
        </w:rPr>
      </w:r>
    </w:p>
    <w:sectPr>
      <w:headerReference r:id="rId8" w:type="default"/>
      <w:headerReference r:id="rId9" w:type="first"/>
      <w:footerReference r:id="rId10" w:type="default"/>
      <w:footerReference r:id="rId11" w:type="first"/>
      <w:footerReference r:id="rId12" w:type="even"/>
      <w:pgSz w:h="15840" w:w="12240" w:orient="portrait"/>
      <w:pgMar w:bottom="1417" w:top="713" w:left="1275" w:right="1041" w:header="714.3307086614174" w:footer="566.9291338582677"/>
      <w:pgNumType w:start="1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sz w:val="16"/>
        <w:szCs w:val="16"/>
        <w:rtl w:val="0"/>
      </w:rPr>
      <w:t xml:space="preserve">Temas de Coyuntura n.º 88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
              <a:graphic>
                <a:graphicData uri="http://schemas.microsoft.com/office/word/2010/wordprocessingShape">
                  <wps:wsp>
                    <wps:cNvCnPr/>
                    <wps:spPr>
                      <a:xfrm>
                        <a:off x="5346000" y="3381855"/>
                        <a:ext cx="2700" cy="12033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Jul</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Dic.</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2023</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68"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ISSN: 2244-8632</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after="0" w:before="0" w:line="288" w:lineRule="auto"/>
      <w:ind w:left="0" w:right="0" w:firstLine="0"/>
      <w:jc w:val="left"/>
      <w:rPr>
        <w:rFonts w:ascii="EB Garamond" w:cs="EB Garamond" w:eastAsia="EB Garamond" w:hAnsi="EB Garamond"/>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Temas de Coyuntura </w:t>
    </w:r>
    <w:r w:rsidDel="00000000" w:rsidR="00000000" w:rsidRPr="00000000">
      <w:rPr>
        <w:rFonts w:ascii="Garamond" w:cs="Garamond" w:eastAsia="Garamond" w:hAnsi="Garamond"/>
        <w:sz w:val="16"/>
        <w:szCs w:val="16"/>
        <w:rtl w:val="0"/>
      </w:rPr>
      <w:t xml:space="preserve">n</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.º </w:t>
    </w:r>
    <w:r w:rsidDel="00000000" w:rsidR="00000000" w:rsidRPr="00000000">
      <w:rPr>
        <w:rFonts w:ascii="Garamond" w:cs="Garamond" w:eastAsia="Garamond" w:hAnsi="Garamond"/>
        <w:sz w:val="16"/>
        <w:szCs w:val="16"/>
        <w:rtl w:val="0"/>
      </w:rPr>
      <w:t xml:space="preserve">88</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2" name=""/>
              <a:graphic>
                <a:graphicData uri="http://schemas.microsoft.com/office/word/2010/wordprocessingShape">
                  <wps:wsp>
                    <wps:cNvCnPr/>
                    <wps:spPr>
                      <a:xfrm>
                        <a:off x="5346000" y="3382173"/>
                        <a:ext cx="2700" cy="108000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75.6692913385831" w:firstLine="0"/>
      <w:jc w:val="right"/>
      <w:rPr>
        <w:rFonts w:ascii="Garamond" w:cs="Garamond" w:eastAsia="Garamond" w:hAnsi="Garamond"/>
        <w:b w:val="0"/>
        <w:i w:val="0"/>
        <w:smallCaps w:val="0"/>
        <w:strike w:val="0"/>
        <w:color w:val="000000"/>
        <w:sz w:val="16"/>
        <w:szCs w:val="16"/>
        <w:u w:val="none"/>
        <w:shd w:fill="auto" w:val="clear"/>
        <w:vertAlign w:val="baseline"/>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Semestre </w:t>
    </w:r>
    <w:r w:rsidDel="00000000" w:rsidR="00000000" w:rsidRPr="00000000">
      <w:rPr>
        <w:rFonts w:ascii="Garamond" w:cs="Garamond" w:eastAsia="Garamond" w:hAnsi="Garamond"/>
        <w:sz w:val="16"/>
        <w:szCs w:val="16"/>
        <w:rtl w:val="0"/>
      </w:rPr>
      <w:t xml:space="preserve">Jul.</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w:t>
    </w:r>
    <w:r w:rsidDel="00000000" w:rsidR="00000000" w:rsidRPr="00000000">
      <w:rPr>
        <w:rFonts w:ascii="Garamond" w:cs="Garamond" w:eastAsia="Garamond" w:hAnsi="Garamond"/>
        <w:sz w:val="16"/>
        <w:szCs w:val="16"/>
        <w:rtl w:val="0"/>
      </w:rPr>
      <w:t xml:space="preserve">Dic</w:t>
    </w: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w:t>
    </w:r>
    <w:r w:rsidDel="00000000" w:rsidR="00000000" w:rsidRPr="00000000">
      <w:rPr>
        <w:rFonts w:ascii="Garamond" w:cs="Garamond" w:eastAsia="Garamond" w:hAnsi="Garamond"/>
        <w:sz w:val="16"/>
        <w:szCs w:val="16"/>
        <w:rtl w:val="0"/>
      </w:rPr>
      <w:t xml:space="preserve">2023</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575.6692913385831" w:firstLine="0"/>
      <w:jc w:val="right"/>
      <w:rPr>
        <w:rFonts w:ascii="Garamond" w:cs="Garamond" w:eastAsia="Garamond" w:hAnsi="Garamond"/>
        <w:sz w:val="16"/>
        <w:szCs w:val="16"/>
      </w:rPr>
    </w:pPr>
    <w:r w:rsidDel="00000000" w:rsidR="00000000" w:rsidRPr="00000000">
      <w:rPr>
        <w:rFonts w:ascii="Garamond" w:cs="Garamond" w:eastAsia="Garamond" w:hAnsi="Garamond"/>
        <w:b w:val="0"/>
        <w:i w:val="0"/>
        <w:smallCaps w:val="0"/>
        <w:strike w:val="0"/>
        <w:color w:val="000000"/>
        <w:sz w:val="16"/>
        <w:szCs w:val="16"/>
        <w:u w:val="none"/>
        <w:shd w:fill="auto" w:val="clear"/>
        <w:vertAlign w:val="baseline"/>
        <w:rtl w:val="0"/>
      </w:rPr>
      <w:t xml:space="preserve"> ISSN: 2244-8632</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0">
      <w:pPr>
        <w:rPr>
          <w:rFonts w:ascii="Garamond" w:cs="Garamond" w:eastAsia="Garamond" w:hAnsi="Garamond"/>
          <w:sz w:val="20"/>
          <w:szCs w:val="20"/>
        </w:rPr>
      </w:pPr>
      <w:r w:rsidDel="00000000" w:rsidR="00000000" w:rsidRPr="00000000">
        <w:rPr>
          <w:rStyle w:val="FootnoteReference"/>
          <w:vertAlign w:val="superscript"/>
        </w:rPr>
        <w:footnoteRef/>
      </w:r>
      <w:r w:rsidDel="00000000" w:rsidR="00000000" w:rsidRPr="00000000">
        <w:rPr>
          <w:rFonts w:ascii="Garamond" w:cs="Garamond" w:eastAsia="Garamond" w:hAnsi="Garamond"/>
          <w:sz w:val="20"/>
          <w:szCs w:val="20"/>
          <w:rtl w:val="0"/>
        </w:rPr>
        <w:t xml:space="preserve"> Profesor, investigador y director de docencia del Instituto de Investigaciones Económicas y Sociales (IIES) de la Universidad Católica Andrés Bello (UCAB).</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ind w:left="142" w:firstLine="0"/>
      <w:rPr>
        <w:rFonts w:ascii="Garamond" w:cs="Garamond" w:eastAsia="Garamond" w:hAnsi="Garamond"/>
        <w:color w:val="000000"/>
        <w:sz w:val="15"/>
        <w:szCs w:val="15"/>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5463540</wp:posOffset>
          </wp:positionH>
          <wp:positionV relativeFrom="paragraph">
            <wp:posOffset>0</wp:posOffset>
          </wp:positionV>
          <wp:extent cx="838200" cy="298450"/>
          <wp:effectExtent b="0" l="0" r="0" t="0"/>
          <wp:wrapSquare wrapText="bothSides" distB="0" distT="0" distL="114300" distR="114300"/>
          <wp:docPr descr="Creative Commons License" id="5" name="image1.png"/>
          <a:graphic>
            <a:graphicData uri="http://schemas.openxmlformats.org/drawingml/2006/picture">
              <pic:pic>
                <pic:nvPicPr>
                  <pic:cNvPr descr="Creative Commons License" id="0" name="image1.png"/>
                  <pic:cNvPicPr preferRelativeResize="0"/>
                </pic:nvPicPr>
                <pic:blipFill>
                  <a:blip r:embed="rId1"/>
                  <a:srcRect b="0" l="0" r="0" t="0"/>
                  <a:stretch>
                    <a:fillRect/>
                  </a:stretch>
                </pic:blipFill>
                <pic:spPr>
                  <a:xfrm>
                    <a:off x="0" y="0"/>
                    <a:ext cx="838200" cy="2984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3" name=""/>
              <a:graphic>
                <a:graphicData uri="http://schemas.microsoft.com/office/word/2010/wordprocessingShape">
                  <wps:wsp>
                    <wps:cNvCnPr/>
                    <wps:spPr>
                      <a:xfrm>
                        <a:off x="5346000" y="3610138"/>
                        <a:ext cx="0" cy="339725"/>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00" cy="339725"/>
              <wp:effectExtent b="0" l="0" r="0" t="0"/>
              <wp:wrapNone/>
              <wp:docPr id="3"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2700" cy="339725"/>
                      </a:xfrm>
                      <a:prstGeom prst="rect"/>
                      <a:ln/>
                    </pic:spPr>
                  </pic:pic>
                </a:graphicData>
              </a:graphic>
            </wp:anchor>
          </w:drawing>
        </mc:Fallback>
      </mc:AlternateContent>
    </w:r>
  </w:p>
  <w:p w:rsidR="00000000" w:rsidDel="00000000" w:rsidP="00000000" w:rsidRDefault="00000000" w:rsidRPr="00000000" w14:paraId="00000013">
    <w:pPr>
      <w:ind w:left="142" w:firstLine="0"/>
      <w:rPr>
        <w:rFonts w:ascii="Garamond" w:cs="Garamond" w:eastAsia="Garamond" w:hAnsi="Garamond"/>
        <w:color w:val="000000"/>
        <w:sz w:val="15"/>
        <w:szCs w:val="15"/>
      </w:rPr>
    </w:pPr>
    <w:r w:rsidDel="00000000" w:rsidR="00000000" w:rsidRPr="00000000">
      <w:rPr>
        <w:rFonts w:ascii="Garamond" w:cs="Garamond" w:eastAsia="Garamond" w:hAnsi="Garamond"/>
        <w:color w:val="000000"/>
        <w:sz w:val="15"/>
        <w:szCs w:val="15"/>
        <w:rtl w:val="0"/>
      </w:rPr>
      <w:t xml:space="preserve">Pp. </w:t>
    </w:r>
    <w:r w:rsidDel="00000000" w:rsidR="00000000" w:rsidRPr="00000000">
      <w:rPr>
        <w:rFonts w:ascii="Garamond" w:cs="Garamond" w:eastAsia="Garamond" w:hAnsi="Garamond"/>
        <w:sz w:val="15"/>
        <w:szCs w:val="15"/>
        <w:rtl w:val="0"/>
      </w:rPr>
      <w:t xml:space="preserve">120 </w:t>
    </w:r>
    <w:r w:rsidDel="00000000" w:rsidR="00000000" w:rsidRPr="00000000">
      <w:rPr>
        <w:rFonts w:ascii="Garamond" w:cs="Garamond" w:eastAsia="Garamond" w:hAnsi="Garamond"/>
        <w:color w:val="000000"/>
        <w:sz w:val="15"/>
        <w:szCs w:val="15"/>
        <w:rtl w:val="0"/>
      </w:rPr>
      <w:t xml:space="preserve">– </w:t>
    </w:r>
    <w:r w:rsidDel="00000000" w:rsidR="00000000" w:rsidRPr="00000000">
      <w:rPr>
        <w:rFonts w:ascii="Garamond" w:cs="Garamond" w:eastAsia="Garamond" w:hAnsi="Garamond"/>
        <w:sz w:val="15"/>
        <w:szCs w:val="15"/>
        <w:rtl w:val="0"/>
      </w:rPr>
      <w:t xml:space="preserve">p</w:t>
    </w:r>
    <w:r w:rsidDel="00000000" w:rsidR="00000000" w:rsidRPr="00000000">
      <w:rPr>
        <w:rFonts w:ascii="Garamond" w:cs="Garamond" w:eastAsia="Garamond" w:hAnsi="Garamond"/>
        <w:color w:val="000000"/>
        <w:sz w:val="15"/>
        <w:szCs w:val="15"/>
        <w:rtl w:val="0"/>
      </w:rPr>
      <w:t xml:space="preserve">p. </w:t>
    </w:r>
    <w:r w:rsidDel="00000000" w:rsidR="00000000" w:rsidRPr="00000000">
      <w:rPr>
        <w:rFonts w:ascii="Garamond" w:cs="Garamond" w:eastAsia="Garamond" w:hAnsi="Garamond"/>
        <w:sz w:val="15"/>
        <w:szCs w:val="15"/>
        <w:rtl w:val="0"/>
      </w:rPr>
      <w:t xml:space="preserve">121</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rPr>
        <w:rFonts w:ascii="Garamond" w:cs="Garamond" w:eastAsia="Garamond" w:hAnsi="Garamond"/>
        <w:i w:val="1"/>
        <w:color w:val="000000"/>
        <w:sz w:val="22"/>
        <w:szCs w:val="22"/>
      </w:rPr>
    </w:pPr>
    <w:r w:rsidDel="00000000" w:rsidR="00000000" w:rsidRPr="00000000">
      <w:rPr>
        <w:rFonts w:ascii="Garamond" w:cs="Garamond" w:eastAsia="Garamond" w:hAnsi="Garamond"/>
        <w:i w:val="1"/>
        <w:sz w:val="22"/>
        <w:szCs w:val="22"/>
        <w:rtl w:val="0"/>
      </w:rPr>
      <w:t xml:space="preserve">Crítica bibliográfica</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aramond" w:cs="Garamond" w:eastAsia="Garamond" w:hAnsi="Garamond"/>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
              <a:graphic>
                <a:graphicData uri="http://schemas.microsoft.com/office/word/2010/wordprocessingShape">
                  <wps:wsp>
                    <wps:cNvCnPr/>
                    <wps:spPr>
                      <a:xfrm rot="10800000">
                        <a:off x="2236088" y="3780000"/>
                        <a:ext cx="6219825" cy="0"/>
                      </a:xfrm>
                      <a:prstGeom prst="straightConnector1">
                        <a:avLst/>
                      </a:prstGeom>
                      <a:noFill/>
                      <a:ln cap="flat" cmpd="sng" w="9525">
                        <a:solidFill>
                          <a:schemeClr val="dk1"/>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43" w:firstLine="0"/>
      <w:jc w:val="right"/>
      <w:rPr>
        <w:rFonts w:ascii="Garamond" w:cs="Garamond" w:eastAsia="Garamond" w:hAnsi="Garamond"/>
        <w:b w:val="0"/>
        <w:i w:val="0"/>
        <w:smallCaps w:val="1"/>
        <w:strike w:val="0"/>
        <w:color w:val="000000"/>
        <w:sz w:val="22"/>
        <w:szCs w:val="22"/>
        <w:u w:val="none"/>
        <w:shd w:fill="auto" w:val="clear"/>
        <w:vertAlign w:val="baseline"/>
      </w:rPr>
    </w:pPr>
    <w:r w:rsidDel="00000000" w:rsidR="00000000" w:rsidRPr="00000000">
      <w:rPr>
        <w:rFonts w:ascii="Garamond" w:cs="Garamond" w:eastAsia="Garamond" w:hAnsi="Garamond"/>
        <w:smallCaps w:val="1"/>
        <w:sz w:val="22"/>
        <w:szCs w:val="22"/>
        <w:rtl w:val="0"/>
      </w:rPr>
      <w:t xml:space="preserve">Luis Lauriño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_419"/>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left" w:leader="none" w:pos="284"/>
      </w:tabs>
      <w:spacing w:after="120" w:line="360" w:lineRule="auto"/>
      <w:jc w:val="both"/>
    </w:pPr>
    <w:rPr>
      <w:rFonts w:ascii="Garamond" w:cs="Garamond" w:eastAsia="Garamond" w:hAnsi="Garamond"/>
      <w:b w:val="1"/>
      <w:sz w:val="22"/>
      <w:szCs w:val="22"/>
    </w:rPr>
  </w:style>
  <w:style w:type="paragraph" w:styleId="Heading2">
    <w:name w:val="heading 2"/>
    <w:basedOn w:val="Normal"/>
    <w:next w:val="Normal"/>
    <w:pPr>
      <w:keepNext w:val="1"/>
      <w:keepLines w:val="1"/>
      <w:spacing w:before="200" w:lineRule="auto"/>
    </w:pPr>
    <w:rPr>
      <w:rFonts w:ascii="Arial" w:cs="Arial" w:eastAsia="Arial" w:hAnsi="Arial"/>
      <w:b w:val="1"/>
      <w:color w:val="4472c4"/>
      <w:sz w:val="26"/>
      <w:szCs w:val="26"/>
    </w:rPr>
  </w:style>
  <w:style w:type="paragraph" w:styleId="Heading3">
    <w:name w:val="heading 3"/>
    <w:basedOn w:val="Normal"/>
    <w:next w:val="Normal"/>
    <w:pPr>
      <w:keepNext w:val="1"/>
      <w:keepLines w:val="1"/>
      <w:spacing w:after="120" w:line="360" w:lineRule="auto"/>
      <w:ind w:firstLine="284"/>
      <w:jc w:val="both"/>
    </w:pPr>
    <w:rPr>
      <w:rFonts w:ascii="Garamond" w:cs="Garamond" w:eastAsia="Garamond" w:hAnsi="Garamond"/>
      <w:sz w:val="22"/>
      <w:szCs w:val="22"/>
    </w:rPr>
  </w:style>
  <w:style w:type="paragraph" w:styleId="Heading4">
    <w:name w:val="heading 4"/>
    <w:basedOn w:val="Normal"/>
    <w:next w:val="Normal"/>
    <w:pPr>
      <w:keepNext w:val="1"/>
      <w:keepLines w:val="1"/>
      <w:spacing w:after="120" w:lineRule="auto"/>
      <w:ind w:left="709" w:right="709" w:firstLine="0"/>
      <w:jc w:val="both"/>
    </w:pPr>
    <w:rPr>
      <w:rFonts w:ascii="Garamond" w:cs="Garamond" w:eastAsia="Garamond" w:hAnsi="Garamond"/>
      <w:sz w:val="20"/>
      <w:szCs w:val="20"/>
    </w:rPr>
  </w:style>
  <w:style w:type="paragraph" w:styleId="Heading5">
    <w:name w:val="heading 5"/>
    <w:basedOn w:val="Normal"/>
    <w:next w:val="Normal"/>
    <w:pPr>
      <w:keepNext w:val="1"/>
      <w:keepLines w:val="1"/>
      <w:spacing w:after="120" w:lineRule="auto"/>
      <w:ind w:left="284"/>
      <w:jc w:val="both"/>
    </w:pPr>
    <w:rPr>
      <w:rFonts w:ascii="Garamond" w:cs="Garamond" w:eastAsia="Garamond" w:hAnsi="Garamond"/>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tabs>
        <w:tab w:val="left" w:leader="none" w:pos="708"/>
        <w:tab w:val="left" w:leader="none" w:pos="1416"/>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204"/>
        <w:tab w:val="left" w:leader="none" w:pos="9912"/>
        <w:tab w:val="left" w:leader="none" w:pos="10620"/>
        <w:tab w:val="left" w:leader="none" w:pos="11328"/>
        <w:tab w:val="left" w:leader="none" w:pos="12036"/>
        <w:tab w:val="left" w:leader="none" w:pos="12744"/>
        <w:tab w:val="left" w:leader="none" w:pos="13452"/>
        <w:tab w:val="left" w:leader="none" w:pos="14160"/>
        <w:tab w:val="left" w:leader="none" w:pos="14868"/>
        <w:tab w:val="left" w:leader="none" w:pos="15576"/>
        <w:tab w:val="left" w:leader="none" w:pos="16284"/>
        <w:tab w:val="left" w:leader="none" w:pos="16992"/>
        <w:tab w:val="left" w:leader="none" w:pos="17700"/>
        <w:tab w:val="left" w:leader="none" w:pos="18408"/>
        <w:tab w:val="left" w:leader="none" w:pos="19116"/>
        <w:tab w:val="left" w:leader="none" w:pos="19824"/>
        <w:tab w:val="left" w:leader="none" w:pos="20532"/>
        <w:tab w:val="left" w:leader="none" w:pos="21240"/>
        <w:tab w:val="left" w:leader="none" w:pos="21948"/>
        <w:tab w:val="left" w:leader="none" w:pos="22656"/>
        <w:tab w:val="left" w:leader="none" w:pos="23364"/>
        <w:tab w:val="left" w:leader="none" w:pos="24072"/>
        <w:tab w:val="left" w:leader="none" w:pos="24780"/>
        <w:tab w:val="left" w:leader="none" w:pos="25488"/>
        <w:tab w:val="left" w:leader="none" w:pos="26196"/>
        <w:tab w:val="left" w:leader="none" w:pos="26904"/>
        <w:tab w:val="left" w:leader="none" w:pos="27612"/>
        <w:tab w:val="left" w:leader="none" w:pos="28320"/>
      </w:tabs>
      <w:spacing w:line="288" w:lineRule="auto"/>
      <w:jc w:val="center"/>
    </w:pPr>
    <w:rPr>
      <w:rFonts w:ascii="Garamond" w:cs="Garamond" w:eastAsia="Garamond" w:hAnsi="Garamond"/>
      <w:b w:val="1"/>
      <w:sz w:val="32"/>
      <w:szCs w:val="32"/>
    </w:rPr>
  </w:style>
  <w:style w:type="paragraph" w:styleId="Subtitle">
    <w:name w:val="Subtitle"/>
    <w:basedOn w:val="Normal"/>
    <w:next w:val="Normal"/>
    <w:pPr>
      <w:keepNext w:val="1"/>
      <w:keepLines w:val="1"/>
      <w:tabs>
        <w:tab w:val="left" w:leader="none" w:pos="284"/>
      </w:tabs>
      <w:spacing w:after="120" w:line="360" w:lineRule="auto"/>
      <w:jc w:val="both"/>
    </w:pPr>
    <w:rPr>
      <w:rFonts w:ascii="Garamond" w:cs="Garamond" w:eastAsia="Garamond" w:hAnsi="Garamond"/>
      <w:b w:val="1"/>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3.xml"/><Relationship Id="rId10" Type="http://schemas.openxmlformats.org/officeDocument/2006/relationships/footer" Target="footer1.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