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A5F2E" w14:textId="77777777" w:rsidR="00ED1BAA" w:rsidRDefault="00ED1BAA" w:rsidP="00ED1BAA">
      <w:pPr>
        <w:pStyle w:val="TITULOS"/>
        <w:rPr>
          <w:rFonts w:ascii="AGaramond" w:hAnsi="AGaramond"/>
          <w:sz w:val="32"/>
          <w:szCs w:val="32"/>
        </w:rPr>
      </w:pPr>
    </w:p>
    <w:p w14:paraId="498F1B4B" w14:textId="1EEE67E0" w:rsidR="00493DBC" w:rsidRPr="009F4EC5" w:rsidRDefault="00D43EE9" w:rsidP="00D43EE9">
      <w:pPr>
        <w:pStyle w:val="TITULOS"/>
        <w:spacing w:line="276" w:lineRule="auto"/>
        <w:rPr>
          <w:rFonts w:ascii="AGaramond" w:hAnsi="AGaramond"/>
          <w:b w:val="0"/>
          <w:sz w:val="32"/>
          <w:szCs w:val="32"/>
        </w:rPr>
      </w:pPr>
      <w:r>
        <w:rPr>
          <w:rFonts w:ascii="AGaramond" w:hAnsi="AGaramond"/>
          <w:sz w:val="32"/>
          <w:szCs w:val="32"/>
        </w:rPr>
        <w:t>Indicadores demográficos</w:t>
      </w:r>
      <w:r w:rsidR="00F21EAA">
        <w:rPr>
          <w:rStyle w:val="Refdenotaalpie"/>
          <w:rFonts w:ascii="AGaramond" w:hAnsi="AGaramond"/>
          <w:sz w:val="32"/>
          <w:szCs w:val="32"/>
        </w:rPr>
        <w:footnoteReference w:id="1"/>
      </w:r>
    </w:p>
    <w:p w14:paraId="563D848D" w14:textId="3843F138" w:rsidR="00773D50" w:rsidRDefault="00773D50" w:rsidP="00ED1BAA">
      <w:pPr>
        <w:spacing w:after="240" w:line="360" w:lineRule="auto"/>
        <w:ind w:firstLine="284"/>
        <w:jc w:val="both"/>
        <w:rPr>
          <w:rFonts w:ascii="AGaramond" w:hAnsi="AGaramond" w:cs="Times New Roman"/>
          <w:bCs/>
          <w:sz w:val="22"/>
          <w:szCs w:val="22"/>
        </w:rPr>
      </w:pPr>
    </w:p>
    <w:p w14:paraId="5CEB2A89" w14:textId="4C14B90F" w:rsidR="00D43EE9" w:rsidRPr="00D43EE9" w:rsidRDefault="00D43EE9" w:rsidP="00D43EE9">
      <w:pPr>
        <w:spacing w:after="240" w:line="360" w:lineRule="auto"/>
        <w:jc w:val="both"/>
        <w:rPr>
          <w:rFonts w:ascii="AGaramond" w:hAnsi="AGaramond"/>
          <w:szCs w:val="22"/>
          <w:lang w:val="es-ES"/>
        </w:rPr>
      </w:pPr>
      <w:r w:rsidRPr="00D43EE9">
        <w:rPr>
          <w:rFonts w:ascii="AGaramond" w:hAnsi="AGaramond" w:cs="Times New Roman"/>
          <w:b/>
        </w:rPr>
        <w:t>PRESENTACIÓN</w:t>
      </w:r>
      <w:r w:rsidRPr="00D43EE9">
        <w:rPr>
          <w:rFonts w:ascii="AGaramond" w:hAnsi="AGaramond"/>
          <w:szCs w:val="22"/>
          <w:lang w:val="es-ES"/>
        </w:rPr>
        <w:t xml:space="preserve"> </w:t>
      </w:r>
    </w:p>
    <w:p w14:paraId="556CD108" w14:textId="4A8BA118" w:rsidR="00D43EE9" w:rsidRPr="00D43EE9" w:rsidRDefault="00D43EE9" w:rsidP="00D43EE9">
      <w:pPr>
        <w:spacing w:after="240" w:line="360" w:lineRule="auto"/>
        <w:ind w:firstLine="284"/>
        <w:jc w:val="both"/>
        <w:rPr>
          <w:rFonts w:ascii="AGaramond" w:hAnsi="AGaramond"/>
          <w:sz w:val="22"/>
          <w:szCs w:val="22"/>
          <w:lang w:val="es-ES" w:eastAsia="es-ES"/>
        </w:rPr>
      </w:pPr>
      <w:r w:rsidRPr="00D43EE9">
        <w:rPr>
          <w:rFonts w:ascii="AGaramond" w:hAnsi="AGaramond"/>
          <w:sz w:val="22"/>
          <w:szCs w:val="22"/>
          <w:lang w:val="es-ES" w:eastAsia="es-ES"/>
        </w:rPr>
        <w:t xml:space="preserve">Durante la segunda década de los años 2000 en Venezuela se profundiza la crisis económica, social e institucional, derivando </w:t>
      </w:r>
      <w:r w:rsidRPr="00D43EE9">
        <w:rPr>
          <w:rFonts w:ascii="AGaramond" w:hAnsi="AGaramond" w:cs="Times New Roman"/>
          <w:sz w:val="22"/>
          <w:szCs w:val="22"/>
        </w:rPr>
        <w:t>en</w:t>
      </w:r>
      <w:r w:rsidRPr="00D43EE9">
        <w:rPr>
          <w:rFonts w:ascii="AGaramond" w:hAnsi="AGaramond"/>
          <w:sz w:val="22"/>
          <w:szCs w:val="22"/>
          <w:lang w:val="es-ES" w:eastAsia="es-ES"/>
        </w:rPr>
        <w:t xml:space="preserve"> una situación de crisis humanitaria compleja, cuyas consecuencias se verán igualmente reflejadas en la evolución de los componentes de cambio demográfico con efectos en su tamaño y estructura poblacional, alterando la tendencia anunciada una vez iniciado el presente siglo. </w:t>
      </w:r>
    </w:p>
    <w:p w14:paraId="5B9833C4" w14:textId="0D009197" w:rsidR="00D43EE9" w:rsidRPr="00D43EE9" w:rsidRDefault="00D43EE9" w:rsidP="00D43EE9">
      <w:pPr>
        <w:spacing w:after="240" w:line="360" w:lineRule="auto"/>
        <w:ind w:firstLine="284"/>
        <w:jc w:val="both"/>
        <w:rPr>
          <w:rFonts w:ascii="AGaramond" w:hAnsi="AGaramond"/>
          <w:sz w:val="22"/>
          <w:szCs w:val="22"/>
          <w:lang w:val="es-ES" w:eastAsia="es-ES"/>
        </w:rPr>
      </w:pPr>
      <w:r w:rsidRPr="00D43EE9">
        <w:rPr>
          <w:rFonts w:ascii="AGaramond" w:hAnsi="AGaramond"/>
          <w:sz w:val="22"/>
          <w:szCs w:val="22"/>
          <w:lang w:val="es-ES" w:eastAsia="es-ES"/>
        </w:rPr>
        <w:t>Con el fin de mostrar la magnitud de estos cambios en la población, en este apartado se incluyen un conjunto de</w:t>
      </w:r>
      <w:r w:rsidR="001F3200">
        <w:rPr>
          <w:rFonts w:ascii="AGaramond" w:hAnsi="AGaramond"/>
          <w:sz w:val="22"/>
          <w:szCs w:val="22"/>
          <w:lang w:val="es-ES" w:eastAsia="es-ES"/>
        </w:rPr>
        <w:t xml:space="preserve"> </w:t>
      </w:r>
      <w:r w:rsidRPr="00D43EE9">
        <w:rPr>
          <w:rFonts w:ascii="AGaramond" w:hAnsi="AGaramond"/>
          <w:sz w:val="22"/>
          <w:szCs w:val="22"/>
          <w:lang w:val="es-ES" w:eastAsia="es-ES"/>
        </w:rPr>
        <w:t xml:space="preserve"> indicadores demográficos correspondientes al per</w:t>
      </w:r>
      <w:r>
        <w:rPr>
          <w:rFonts w:ascii="AGaramond" w:hAnsi="AGaramond"/>
          <w:sz w:val="22"/>
          <w:szCs w:val="22"/>
          <w:lang w:val="es-ES" w:eastAsia="es-ES"/>
        </w:rPr>
        <w:t>i</w:t>
      </w:r>
      <w:r w:rsidRPr="00D43EE9">
        <w:rPr>
          <w:rFonts w:ascii="AGaramond" w:hAnsi="AGaramond"/>
          <w:sz w:val="22"/>
          <w:szCs w:val="22"/>
          <w:lang w:val="es-ES" w:eastAsia="es-ES"/>
        </w:rPr>
        <w:t>odo que abarca los quinquenios 2000-2005 a 2020-2025, con base a la última revisión de las estimaciones y proyecciones de población elaboradas por la División de Población de las Naciones Unidas (</w:t>
      </w:r>
      <w:r w:rsidR="00AA7AB3">
        <w:rPr>
          <w:rFonts w:ascii="AGaramond" w:hAnsi="AGaramond"/>
          <w:sz w:val="22"/>
          <w:szCs w:val="22"/>
          <w:lang w:val="es-ES" w:eastAsia="es-ES"/>
        </w:rPr>
        <w:t>ONU</w:t>
      </w:r>
      <w:r w:rsidRPr="00D43EE9">
        <w:rPr>
          <w:rFonts w:ascii="AGaramond" w:hAnsi="AGaramond"/>
          <w:sz w:val="22"/>
          <w:szCs w:val="22"/>
          <w:lang w:val="es-ES" w:eastAsia="es-ES"/>
        </w:rPr>
        <w:t>) junto al</w:t>
      </w:r>
      <w:r w:rsidR="001F3200">
        <w:rPr>
          <w:rFonts w:ascii="AGaramond" w:hAnsi="AGaramond"/>
          <w:sz w:val="22"/>
          <w:szCs w:val="22"/>
          <w:lang w:val="es-ES" w:eastAsia="es-ES"/>
        </w:rPr>
        <w:t xml:space="preserve"> </w:t>
      </w:r>
      <w:r w:rsidRPr="00D43EE9">
        <w:rPr>
          <w:rFonts w:ascii="AGaramond" w:hAnsi="AGaramond"/>
          <w:sz w:val="22"/>
          <w:szCs w:val="22"/>
          <w:lang w:val="es-ES" w:eastAsia="es-ES"/>
        </w:rPr>
        <w:t>Centro Latinoamericano y Caribeño de Demográfica (CELADE)</w:t>
      </w:r>
      <w:r>
        <w:rPr>
          <w:rFonts w:ascii="AGaramond" w:hAnsi="AGaramond"/>
          <w:sz w:val="22"/>
          <w:szCs w:val="22"/>
          <w:lang w:val="es-ES" w:eastAsia="es-ES"/>
        </w:rPr>
        <w:t xml:space="preserve">, </w:t>
      </w:r>
      <w:r w:rsidRPr="00D43EE9">
        <w:rPr>
          <w:rFonts w:ascii="AGaramond" w:hAnsi="AGaramond"/>
          <w:sz w:val="22"/>
          <w:szCs w:val="22"/>
          <w:lang w:val="es-ES" w:eastAsia="es-ES"/>
        </w:rPr>
        <w:t xml:space="preserve">División de Población de la Comisión Económica para América Latina y el Caribe (CEPAL). </w:t>
      </w:r>
    </w:p>
    <w:p w14:paraId="0BEDDFAC" w14:textId="23B56D96" w:rsidR="00D43EE9" w:rsidRPr="00D43EE9" w:rsidRDefault="00D43EE9" w:rsidP="003F6FFE">
      <w:pPr>
        <w:pStyle w:val="Ttulos"/>
      </w:pPr>
      <w:r w:rsidRPr="00D43EE9">
        <w:t>TENDENCIA DE LOS COMPONENTES DE LA DINÁMICA DEMOGRÁFICA Y CRECIMIENTO POBLACIONAL</w:t>
      </w:r>
    </w:p>
    <w:p w14:paraId="0A29DF4F" w14:textId="77777777" w:rsidR="00D43EE9" w:rsidRPr="002B359F" w:rsidRDefault="00D43EE9" w:rsidP="00D43EE9">
      <w:pPr>
        <w:pStyle w:val="NormalWeb"/>
        <w:numPr>
          <w:ilvl w:val="0"/>
          <w:numId w:val="24"/>
        </w:numPr>
        <w:tabs>
          <w:tab w:val="left" w:pos="360"/>
          <w:tab w:val="left" w:pos="624"/>
        </w:tabs>
        <w:spacing w:before="0" w:beforeAutospacing="0" w:after="240" w:afterAutospacing="0" w:line="276" w:lineRule="auto"/>
        <w:ind w:left="714" w:hanging="357"/>
        <w:jc w:val="both"/>
        <w:rPr>
          <w:rFonts w:ascii="AGaramond" w:hAnsi="AGaramond"/>
          <w:sz w:val="22"/>
          <w:szCs w:val="20"/>
          <w:lang w:val="es-ES"/>
        </w:rPr>
      </w:pPr>
      <w:r w:rsidRPr="002B359F">
        <w:rPr>
          <w:rFonts w:ascii="AGaramond" w:hAnsi="AGaramond"/>
          <w:sz w:val="22"/>
          <w:szCs w:val="20"/>
          <w:lang w:val="es-ES"/>
        </w:rPr>
        <w:t>Natalidad y fecundidad</w:t>
      </w:r>
    </w:p>
    <w:p w14:paraId="600D85B6" w14:textId="421838D8" w:rsidR="00D43EE9" w:rsidRPr="00D43EE9" w:rsidRDefault="00D43EE9" w:rsidP="002B359F">
      <w:pPr>
        <w:pStyle w:val="PrrafoTDC"/>
      </w:pPr>
      <w:r w:rsidRPr="00D43EE9">
        <w:t>Al iniciar este siglo</w:t>
      </w:r>
      <w:r>
        <w:t>,</w:t>
      </w:r>
      <w:r w:rsidRPr="00D43EE9">
        <w:t xml:space="preserve"> la tasa bruta de natalidad (TBN) se ubicaba en 23,0 nacimientos por cada mil habitantes y la tasa global de fecundidad (TGF) en 2,7 hijos en promedio por mujer. Este componente de cambio </w:t>
      </w:r>
      <w:r w:rsidRPr="00D43EE9">
        <w:rPr>
          <w:lang w:eastAsia="es-ES"/>
        </w:rPr>
        <w:t>demográfico</w:t>
      </w:r>
      <w:r w:rsidRPr="00D43EE9">
        <w:t xml:space="preserve"> ha proseguido su tendencia descendente: en el quinquenio 2015-</w:t>
      </w:r>
      <w:r w:rsidR="002B359F" w:rsidRPr="00D43EE9">
        <w:t>2020</w:t>
      </w:r>
      <w:r w:rsidR="002B359F">
        <w:t>,</w:t>
      </w:r>
      <w:r w:rsidR="002B359F" w:rsidRPr="00D43EE9">
        <w:t xml:space="preserve"> la</w:t>
      </w:r>
      <w:r w:rsidRPr="00D43EE9">
        <w:t xml:space="preserve"> TBN se ubicó en 18,0 por mil y en 2,3 el valor de la TGF; para el quinquenio siguiente</w:t>
      </w:r>
      <w:r w:rsidR="002B359F">
        <w:t>,</w:t>
      </w:r>
      <w:r w:rsidRPr="00D43EE9">
        <w:t xml:space="preserve"> el nivel de la TBN se reducirá en 7</w:t>
      </w:r>
      <w:r w:rsidR="002B359F">
        <w:rPr>
          <w:rFonts w:ascii="Times New Roman" w:hAnsi="Times New Roman" w:cs="Times New Roman"/>
        </w:rPr>
        <w:t> </w:t>
      </w:r>
      <w:r w:rsidRPr="00D43EE9">
        <w:t xml:space="preserve">% y </w:t>
      </w:r>
      <w:r w:rsidR="002B359F" w:rsidRPr="00D43EE9">
        <w:t>la fecundidad estará</w:t>
      </w:r>
      <w:r w:rsidRPr="00D43EE9">
        <w:t xml:space="preserve"> más próxima al nivel de reemplazo poblacional (2,2 hijos por mujer). Al final de este per</w:t>
      </w:r>
      <w:r w:rsidR="002B359F">
        <w:t>i</w:t>
      </w:r>
      <w:r w:rsidRPr="00D43EE9">
        <w:t>odo se hace patente la disminución del volumen de los nacimientos, a lo que aporta adicionalmente el proceso migratorio observado en el país.</w:t>
      </w:r>
    </w:p>
    <w:p w14:paraId="11FBACD6" w14:textId="431DAC82" w:rsidR="00D43EE9" w:rsidRPr="002B359F" w:rsidRDefault="00D43EE9" w:rsidP="00D43EE9">
      <w:pPr>
        <w:spacing w:after="240" w:line="360" w:lineRule="auto"/>
        <w:ind w:firstLine="284"/>
        <w:jc w:val="both"/>
        <w:rPr>
          <w:rFonts w:ascii="AGaramond" w:hAnsi="AGaramond"/>
          <w:sz w:val="22"/>
          <w:szCs w:val="20"/>
          <w:lang w:val="es-ES"/>
        </w:rPr>
      </w:pPr>
      <w:r w:rsidRPr="002B359F">
        <w:rPr>
          <w:rFonts w:ascii="AGaramond" w:hAnsi="AGaramond"/>
          <w:sz w:val="22"/>
          <w:szCs w:val="20"/>
          <w:lang w:val="es-ES"/>
        </w:rPr>
        <w:t xml:space="preserve">A este descenso de la fecundidad estarían </w:t>
      </w:r>
      <w:r w:rsidRPr="002B359F">
        <w:rPr>
          <w:rFonts w:ascii="AGaramond" w:hAnsi="AGaramond"/>
          <w:sz w:val="20"/>
          <w:szCs w:val="20"/>
          <w:lang w:val="es-ES"/>
        </w:rPr>
        <w:t>contribuyendo</w:t>
      </w:r>
      <w:r w:rsidRPr="002B359F">
        <w:rPr>
          <w:rFonts w:ascii="AGaramond" w:hAnsi="AGaramond"/>
          <w:sz w:val="22"/>
          <w:szCs w:val="20"/>
          <w:lang w:val="es-ES"/>
        </w:rPr>
        <w:t xml:space="preserve"> todos los grupos de mujeres en edad fértil, pero con menor </w:t>
      </w:r>
      <w:r w:rsidR="002B359F" w:rsidRPr="002B359F">
        <w:rPr>
          <w:rFonts w:ascii="AGaramond" w:hAnsi="AGaramond"/>
          <w:sz w:val="22"/>
          <w:szCs w:val="20"/>
          <w:lang w:val="es-ES"/>
        </w:rPr>
        <w:t>intensidad aqu</w:t>
      </w:r>
      <w:r w:rsidR="002B359F">
        <w:rPr>
          <w:rFonts w:ascii="AGaramond" w:hAnsi="AGaramond"/>
          <w:sz w:val="22"/>
          <w:szCs w:val="20"/>
          <w:lang w:val="es-ES"/>
        </w:rPr>
        <w:t>e</w:t>
      </w:r>
      <w:r w:rsidR="002B359F" w:rsidRPr="002B359F">
        <w:rPr>
          <w:rFonts w:ascii="AGaramond" w:hAnsi="AGaramond"/>
          <w:sz w:val="22"/>
          <w:szCs w:val="20"/>
          <w:lang w:val="es-ES"/>
        </w:rPr>
        <w:t>llas</w:t>
      </w:r>
      <w:r w:rsidRPr="002B359F">
        <w:rPr>
          <w:rFonts w:ascii="AGaramond" w:hAnsi="AGaramond"/>
          <w:sz w:val="22"/>
          <w:szCs w:val="20"/>
          <w:lang w:val="es-ES"/>
        </w:rPr>
        <w:t xml:space="preserve"> que se encuentran en la etapa de la adolescencia. Entre los quinquenios 2000-2005 y 2015-2020, las mujeres de más alta fecundidad, de 20 a 24 años y de 25 a 29 años, disminuyen el nivel de su tasa en 13</w:t>
      </w:r>
      <w:r w:rsidR="002B359F">
        <w:rPr>
          <w:rFonts w:ascii="Times New Roman" w:hAnsi="Times New Roman" w:cs="Times New Roman"/>
          <w:sz w:val="22"/>
          <w:szCs w:val="20"/>
          <w:lang w:val="es-ES"/>
        </w:rPr>
        <w:t> </w:t>
      </w:r>
      <w:r w:rsidRPr="002B359F">
        <w:rPr>
          <w:rFonts w:ascii="AGaramond" w:hAnsi="AGaramond"/>
          <w:sz w:val="22"/>
          <w:szCs w:val="20"/>
          <w:lang w:val="es-ES"/>
        </w:rPr>
        <w:t>% y 17</w:t>
      </w:r>
      <w:r w:rsidR="002B359F">
        <w:rPr>
          <w:rFonts w:ascii="Times New Roman" w:hAnsi="Times New Roman" w:cs="Times New Roman"/>
          <w:sz w:val="22"/>
          <w:szCs w:val="20"/>
          <w:lang w:val="es-ES"/>
        </w:rPr>
        <w:t> </w:t>
      </w:r>
      <w:r w:rsidRPr="002B359F">
        <w:rPr>
          <w:rFonts w:ascii="AGaramond" w:hAnsi="AGaramond"/>
          <w:sz w:val="22"/>
          <w:szCs w:val="20"/>
          <w:lang w:val="es-ES"/>
        </w:rPr>
        <w:t>% respectivamente, mientras que las mujeres en edades adolescentes estarían mostrando una reducción de 7</w:t>
      </w:r>
      <w:r w:rsidR="002B359F">
        <w:rPr>
          <w:rFonts w:ascii="Times New Roman" w:hAnsi="Times New Roman" w:cs="Times New Roman"/>
          <w:sz w:val="22"/>
          <w:szCs w:val="20"/>
          <w:lang w:val="es-ES"/>
        </w:rPr>
        <w:t> </w:t>
      </w:r>
      <w:r w:rsidRPr="002B359F">
        <w:rPr>
          <w:rFonts w:ascii="AGaramond" w:hAnsi="AGaramond"/>
          <w:sz w:val="22"/>
          <w:szCs w:val="20"/>
          <w:lang w:val="es-ES"/>
        </w:rPr>
        <w:t xml:space="preserve">% durante este mismo </w:t>
      </w:r>
      <w:r w:rsidR="002B359F" w:rsidRPr="002B359F">
        <w:rPr>
          <w:rFonts w:ascii="AGaramond" w:hAnsi="AGaramond"/>
          <w:sz w:val="22"/>
          <w:szCs w:val="20"/>
          <w:lang w:val="es-ES"/>
        </w:rPr>
        <w:t>lapso</w:t>
      </w:r>
      <w:r w:rsidRPr="002B359F">
        <w:rPr>
          <w:rFonts w:ascii="AGaramond" w:hAnsi="AGaramond"/>
          <w:sz w:val="22"/>
          <w:szCs w:val="20"/>
          <w:lang w:val="es-ES"/>
        </w:rPr>
        <w:t>.</w:t>
      </w:r>
    </w:p>
    <w:p w14:paraId="6CB1C440" w14:textId="77777777" w:rsidR="00D43EE9" w:rsidRPr="002B359F" w:rsidRDefault="00D43EE9" w:rsidP="002B359F">
      <w:pPr>
        <w:pStyle w:val="Puntos"/>
      </w:pPr>
      <w:r w:rsidRPr="002B359F">
        <w:lastRenderedPageBreak/>
        <w:t>Mortalidad</w:t>
      </w:r>
    </w:p>
    <w:p w14:paraId="1DB096B7" w14:textId="75ACDD00" w:rsidR="00D43EE9" w:rsidRPr="00D43EE9" w:rsidRDefault="002B359F" w:rsidP="002B359F">
      <w:pPr>
        <w:pStyle w:val="PrrafoTDC"/>
      </w:pPr>
      <w:r w:rsidRPr="00D43EE9">
        <w:t>Las desmejoras en las condiciones de vida observadas durante la segunda década de los años 2000 han</w:t>
      </w:r>
      <w:r w:rsidR="00D43EE9" w:rsidRPr="00D43EE9">
        <w:t xml:space="preserve"> tenido efectos sobre las posibilidades de sobrevivencia de la población. La notable alteración de la tendencia descendente de la mortalidad infantil es una clara manifestación de la magnitud de la crisis: para el quinquenio 2000-2005</w:t>
      </w:r>
      <w:r>
        <w:t>,</w:t>
      </w:r>
      <w:r w:rsidR="00D43EE9" w:rsidRPr="00D43EE9">
        <w:t xml:space="preserve"> el valor de tasa era del orden de 17,4 defunciones por cada mil nacimientos</w:t>
      </w:r>
      <w:r w:rsidR="001F3200">
        <w:t xml:space="preserve"> </w:t>
      </w:r>
      <w:r w:rsidR="00D43EE9" w:rsidRPr="00D43EE9">
        <w:t>para bajar a</w:t>
      </w:r>
      <w:r w:rsidR="001F3200">
        <w:t xml:space="preserve"> </w:t>
      </w:r>
      <w:r w:rsidR="00D43EE9" w:rsidRPr="00D43EE9">
        <w:t>15,2 por mil</w:t>
      </w:r>
      <w:r w:rsidR="001F3200">
        <w:t xml:space="preserve"> </w:t>
      </w:r>
      <w:r w:rsidR="00D43EE9" w:rsidRPr="00D43EE9">
        <w:t>una década después; en 2015-2020</w:t>
      </w:r>
      <w:r>
        <w:t>,</w:t>
      </w:r>
      <w:r w:rsidR="00D43EE9" w:rsidRPr="00D43EE9">
        <w:t xml:space="preserve"> el nivel de mortalidad de este grupo poblacional</w:t>
      </w:r>
      <w:r w:rsidR="001F3200">
        <w:t xml:space="preserve"> </w:t>
      </w:r>
      <w:r w:rsidR="00D43EE9" w:rsidRPr="00D43EE9">
        <w:t>más vulnerable se estima aumentó en 72</w:t>
      </w:r>
      <w:r>
        <w:rPr>
          <w:rFonts w:ascii="Times New Roman" w:hAnsi="Times New Roman" w:cs="Times New Roman"/>
        </w:rPr>
        <w:t> </w:t>
      </w:r>
      <w:r w:rsidR="00D43EE9" w:rsidRPr="00D43EE9">
        <w:t>%, la tasa llega a 26,3 por mil, para posteriormente disminuir levente su nivel en el quinquenio siguiente (25,5 por mil).</w:t>
      </w:r>
    </w:p>
    <w:p w14:paraId="765EB8FE" w14:textId="40B943C8" w:rsidR="00D43EE9" w:rsidRPr="00D43EE9" w:rsidRDefault="00D43EE9" w:rsidP="002B359F">
      <w:pPr>
        <w:pStyle w:val="PrrafoTDC"/>
      </w:pPr>
      <w:r w:rsidRPr="00D43EE9">
        <w:t xml:space="preserve"> La esperanza de vida estaría registra</w:t>
      </w:r>
      <w:r w:rsidR="002B359F">
        <w:t>n</w:t>
      </w:r>
      <w:r w:rsidRPr="00D43EE9">
        <w:t>do un retroceso durante este per</w:t>
      </w:r>
      <w:r w:rsidR="002B359F">
        <w:t>i</w:t>
      </w:r>
      <w:r w:rsidRPr="00D43EE9">
        <w:t>odo. Las estimaciones señalan la pérdida de un año en la expectativa de vida en el quinquenio 2015-2020 para ubicarse en 72,1 años y variaría levemente a 72,3 años para el siguiente quinquenio 2020-2025, nivel cercano al mostrado por el país al inicio del presente siglo. La diferencia en la sobrevivencia según el sexo se mantendría en 7 años a favor de las mujeres a lo largo de estos 20 años.</w:t>
      </w:r>
      <w:r w:rsidR="001F3200">
        <w:t xml:space="preserve"> </w:t>
      </w:r>
    </w:p>
    <w:p w14:paraId="2AEBEA0D" w14:textId="77777777" w:rsidR="00D43EE9" w:rsidRPr="00D43EE9" w:rsidRDefault="00D43EE9" w:rsidP="002B359F">
      <w:pPr>
        <w:pStyle w:val="Puntos"/>
      </w:pPr>
      <w:r w:rsidRPr="00D43EE9">
        <w:t xml:space="preserve">Migración </w:t>
      </w:r>
    </w:p>
    <w:p w14:paraId="147CD65F" w14:textId="6711FDF9" w:rsidR="00D43EE9" w:rsidRPr="00D43EE9" w:rsidRDefault="00D43EE9" w:rsidP="002B359F">
      <w:pPr>
        <w:pStyle w:val="PrrafoTDC"/>
      </w:pPr>
      <w:r w:rsidRPr="00D43EE9">
        <w:t xml:space="preserve">El incremento del volumen de la población que ha optado por emigrar del país </w:t>
      </w:r>
      <w:r w:rsidR="003F6FFE" w:rsidRPr="00D43EE9">
        <w:t>caracteriza las</w:t>
      </w:r>
      <w:r w:rsidRPr="00D43EE9">
        <w:t xml:space="preserve"> primeras dos décadas del presente siglo. A inicios del </w:t>
      </w:r>
      <w:r w:rsidR="003F6FFE">
        <w:t>lapso</w:t>
      </w:r>
      <w:r w:rsidRPr="00D43EE9">
        <w:t xml:space="preserve"> que se revisa se estimó un saldo migratorio neto negativo sobre los 4 mil </w:t>
      </w:r>
      <w:r w:rsidR="003F6FFE" w:rsidRPr="00D43EE9">
        <w:t>habitantes anuales</w:t>
      </w:r>
      <w:r w:rsidRPr="00D43EE9">
        <w:t>; a partir de este momento</w:t>
      </w:r>
      <w:r w:rsidR="003F6FFE">
        <w:t>,</w:t>
      </w:r>
      <w:r w:rsidRPr="00D43EE9">
        <w:t xml:space="preserve"> el proceso migratorio se intensifica para aumentar la pérdida de población anual a 653 mil en promedio durante el quinquenio 2015-2020, la tasa arriba a -22,3 habitantes por cada mil.</w:t>
      </w:r>
      <w:r w:rsidR="001F3200">
        <w:t xml:space="preserve"> </w:t>
      </w:r>
      <w:r w:rsidRPr="00D43EE9">
        <w:t xml:space="preserve">En la revisión de estas </w:t>
      </w:r>
      <w:r w:rsidR="003F6FFE" w:rsidRPr="00D43EE9">
        <w:t xml:space="preserve">proyecciones </w:t>
      </w:r>
      <w:r w:rsidR="00AA7AB3">
        <w:t>ONU</w:t>
      </w:r>
      <w:r w:rsidRPr="00D43EE9">
        <w:t xml:space="preserve">-CEPAL se plantean entre las hipótesis </w:t>
      </w:r>
      <w:r w:rsidR="003F6FFE" w:rsidRPr="00D43EE9">
        <w:t>el retorno</w:t>
      </w:r>
      <w:r w:rsidRPr="00D43EE9">
        <w:t xml:space="preserve"> de una parte de los emigrantes, por lo que el saldo sería positivo en el quinquenio 2020-2025, se obtendría una ganancia de 325 mil habitantes anuales en promedio por lo que el valor de la tasa de migración neta se ubicaría en 10,9 por cada mil.</w:t>
      </w:r>
    </w:p>
    <w:p w14:paraId="5CE7DB0C" w14:textId="77777777" w:rsidR="00D43EE9" w:rsidRPr="00D43EE9" w:rsidRDefault="00D43EE9" w:rsidP="002B359F">
      <w:pPr>
        <w:pStyle w:val="Puntos"/>
      </w:pPr>
      <w:r w:rsidRPr="00D43EE9">
        <w:t>Crecimiento de la población</w:t>
      </w:r>
    </w:p>
    <w:p w14:paraId="21D59F68" w14:textId="365E26A6" w:rsidR="00D43EE9" w:rsidRPr="00D43EE9" w:rsidRDefault="00D43EE9" w:rsidP="003F6FFE">
      <w:pPr>
        <w:pStyle w:val="PrrafoTDC"/>
      </w:pPr>
      <w:r w:rsidRPr="00D43EE9">
        <w:t xml:space="preserve">Venezuela ha venido experimentando desde la década de los setenta del pasado siglo descensos sostenidos en el ritmo de crecimiento de su población. Para el quinquenio 2000-2005, la tasa media anual de </w:t>
      </w:r>
      <w:r w:rsidR="003F6FFE" w:rsidRPr="00D43EE9">
        <w:t>crecimiento se</w:t>
      </w:r>
      <w:r w:rsidRPr="00D43EE9">
        <w:t xml:space="preserve"> estimó en 17,7 por cada mil habitantes, para continuar ralentizándose el incremento demográfico al caer a 11,2 por mil habitantes en 2010-</w:t>
      </w:r>
      <w:r w:rsidR="00AA7AB3" w:rsidRPr="00D43EE9">
        <w:t>2015, ahora</w:t>
      </w:r>
      <w:r w:rsidRPr="00D43EE9">
        <w:t xml:space="preserve"> también </w:t>
      </w:r>
      <w:r w:rsidR="001F3200" w:rsidRPr="00D43EE9">
        <w:t>debido a</w:t>
      </w:r>
      <w:r w:rsidRPr="00D43EE9">
        <w:t xml:space="preserve"> la relevancia de la emigración internacional. Para el quinquenio 2015-2020 el saldo negativo de la migración supera el crecimiento natural, por lo que la población </w:t>
      </w:r>
      <w:r w:rsidR="003F6FFE" w:rsidRPr="00D43EE9">
        <w:t>decrece a</w:t>
      </w:r>
      <w:r w:rsidRPr="00D43EE9">
        <w:t xml:space="preserve"> una tasa media anual de -11,3 por mil habitantes. En términos absolutos, el volumen poblacional pasa de 30.0 millones a 28.4 </w:t>
      </w:r>
      <w:r w:rsidR="003F6FFE" w:rsidRPr="00D43EE9">
        <w:t>millones entre</w:t>
      </w:r>
      <w:r w:rsidRPr="00D43EE9">
        <w:t xml:space="preserve"> 2015 y 2020 y arribará a 31.5 millones </w:t>
      </w:r>
      <w:r w:rsidR="00AA7AB3" w:rsidRPr="00D43EE9">
        <w:t>en 2025</w:t>
      </w:r>
      <w:r w:rsidRPr="00D43EE9">
        <w:t>, si se cumplen los supuestos de la proyección.</w:t>
      </w:r>
    </w:p>
    <w:p w14:paraId="291D0E3B" w14:textId="033E01F0" w:rsidR="00D43EE9" w:rsidRPr="00D43EE9" w:rsidRDefault="003F6FFE" w:rsidP="003F6FFE">
      <w:pPr>
        <w:pStyle w:val="Ttulos"/>
        <w:rPr>
          <w:lang w:val="es-ES"/>
        </w:rPr>
      </w:pPr>
      <w:r w:rsidRPr="00D43EE9">
        <w:rPr>
          <w:lang w:val="es-ES"/>
        </w:rPr>
        <w:t xml:space="preserve">LOS CAMBIOS EN LA ESTRUCTURA POR EDAD </w:t>
      </w:r>
    </w:p>
    <w:p w14:paraId="564DC6A5" w14:textId="6B30543C" w:rsidR="00D43EE9" w:rsidRPr="00D43EE9" w:rsidRDefault="00D43EE9" w:rsidP="003F6FFE">
      <w:pPr>
        <w:pStyle w:val="PrrafoTDC"/>
      </w:pPr>
      <w:r w:rsidRPr="00D43EE9">
        <w:lastRenderedPageBreak/>
        <w:t>Las tendencias registradas por los componentes de la dinámica demográfica en Venezuela han remodelado paulatinamente la estructura por edad de su población: ha decrecido el peso relativo del grupo más joven con el paralelo incremento de la proporción de aqu</w:t>
      </w:r>
      <w:r w:rsidR="001F3200">
        <w:t>e</w:t>
      </w:r>
      <w:r w:rsidRPr="00D43EE9">
        <w:t>llos en edad de trabajar y de los que tienen 65 años o más.</w:t>
      </w:r>
    </w:p>
    <w:p w14:paraId="763A6C4C" w14:textId="7917D2C5" w:rsidR="00D43EE9" w:rsidRPr="00D43EE9" w:rsidRDefault="00D43EE9" w:rsidP="003F6FFE">
      <w:pPr>
        <w:pStyle w:val="PrrafoTDC"/>
      </w:pPr>
      <w:r w:rsidRPr="00D43EE9">
        <w:t>En el año 2000, el 34</w:t>
      </w:r>
      <w:r w:rsidR="003F6FFE">
        <w:rPr>
          <w:rFonts w:ascii="Times New Roman" w:hAnsi="Times New Roman" w:cs="Times New Roman"/>
        </w:rPr>
        <w:t> </w:t>
      </w:r>
      <w:r w:rsidRPr="00D43EE9">
        <w:t>% de los habitantes del país no cumplían los 15 años, los jóvenes entre esta edad y los 24 años constituían el 19</w:t>
      </w:r>
      <w:r w:rsidR="003F6FFE">
        <w:rPr>
          <w:rFonts w:ascii="Times New Roman" w:hAnsi="Times New Roman" w:cs="Times New Roman"/>
        </w:rPr>
        <w:t> </w:t>
      </w:r>
      <w:r w:rsidRPr="00D43EE9">
        <w:t>% y llegaban a 42</w:t>
      </w:r>
      <w:r w:rsidR="003F6FFE">
        <w:rPr>
          <w:rFonts w:ascii="Times New Roman" w:hAnsi="Times New Roman" w:cs="Times New Roman"/>
        </w:rPr>
        <w:t> </w:t>
      </w:r>
      <w:r w:rsidRPr="00D43EE9">
        <w:t xml:space="preserve">% los potencialmente </w:t>
      </w:r>
      <w:r w:rsidR="003F6FFE" w:rsidRPr="00D43EE9">
        <w:t>activos entre</w:t>
      </w:r>
      <w:r w:rsidRPr="00D43EE9">
        <w:t xml:space="preserve"> los 25 y 64 </w:t>
      </w:r>
      <w:r w:rsidR="00AA7AB3" w:rsidRPr="00D43EE9">
        <w:t>años</w:t>
      </w:r>
      <w:r w:rsidRPr="00D43EE9">
        <w:t>, en tanto que el grupo poblacional de los mayores representaban el 5</w:t>
      </w:r>
      <w:r w:rsidR="008E68E0">
        <w:rPr>
          <w:rFonts w:ascii="Times New Roman" w:hAnsi="Times New Roman" w:cs="Times New Roman"/>
        </w:rPr>
        <w:t> </w:t>
      </w:r>
      <w:r w:rsidRPr="00D43EE9">
        <w:t>% del total, por lo que la relación de dependencia demográfica baja a 62,5 por cien y la edad mediana de la población sube a 23,2 años.</w:t>
      </w:r>
    </w:p>
    <w:p w14:paraId="18AB8A6D" w14:textId="752BAAB4" w:rsidR="00D43EE9" w:rsidRPr="00D43EE9" w:rsidRDefault="00D43EE9" w:rsidP="008E68E0">
      <w:pPr>
        <w:pStyle w:val="PrrafoTDC"/>
      </w:pPr>
      <w:r w:rsidRPr="00D43EE9">
        <w:t xml:space="preserve">Al llegar el año 2020 el perfil de la población se ha transformado notablemente. Se estimó que la participación del grupo de niños y </w:t>
      </w:r>
      <w:r w:rsidR="008E68E0" w:rsidRPr="00D43EE9">
        <w:t>jóvenes baja</w:t>
      </w:r>
      <w:r w:rsidRPr="00D43EE9">
        <w:t xml:space="preserve"> a 27</w:t>
      </w:r>
      <w:r w:rsidR="008E68E0">
        <w:rPr>
          <w:rFonts w:ascii="Times New Roman" w:hAnsi="Times New Roman" w:cs="Times New Roman"/>
        </w:rPr>
        <w:t> </w:t>
      </w:r>
      <w:r w:rsidRPr="00D43EE9">
        <w:t>% y a 16</w:t>
      </w:r>
      <w:r w:rsidR="008E68E0">
        <w:rPr>
          <w:rFonts w:ascii="Times New Roman" w:hAnsi="Times New Roman" w:cs="Times New Roman"/>
        </w:rPr>
        <w:t> </w:t>
      </w:r>
      <w:r w:rsidRPr="00D43EE9">
        <w:t xml:space="preserve">% respectivamente, mientras </w:t>
      </w:r>
      <w:r w:rsidR="008E68E0" w:rsidRPr="00D43EE9">
        <w:t>que el</w:t>
      </w:r>
      <w:r w:rsidRPr="00D43EE9">
        <w:t xml:space="preserve"> peso de los potencialmente activos sube a 49</w:t>
      </w:r>
      <w:r w:rsidR="008E68E0">
        <w:rPr>
          <w:rFonts w:ascii="Times New Roman" w:hAnsi="Times New Roman" w:cs="Times New Roman"/>
        </w:rPr>
        <w:t> </w:t>
      </w:r>
      <w:r w:rsidRPr="00D43EE9">
        <w:t>% y a 8</w:t>
      </w:r>
      <w:r w:rsidR="008E68E0">
        <w:rPr>
          <w:rFonts w:ascii="Times New Roman" w:hAnsi="Times New Roman" w:cs="Times New Roman"/>
        </w:rPr>
        <w:t> </w:t>
      </w:r>
      <w:r w:rsidRPr="00D43EE9">
        <w:t>% la representación de las personas mayores. Estos cambios en la estructura por edad se expresan en un incremento de 6,4 años en la edad mediana de la población durante estos veinte años y en el descenso de la relación de dependencia demográfica a 54,4 por cien. El índice de envejecimiento, que señala la capacidad de renovación de una población, varía de 13,2 personas mayores por cada cien niños a 29,2 en el transcurso de este per</w:t>
      </w:r>
      <w:r w:rsidR="008E68E0">
        <w:t>i</w:t>
      </w:r>
      <w:r w:rsidRPr="00D43EE9">
        <w:t>odo.</w:t>
      </w:r>
    </w:p>
    <w:p w14:paraId="3FED4DC5" w14:textId="380881A3" w:rsidR="008E68E0" w:rsidRDefault="00D43EE9" w:rsidP="008E68E0">
      <w:pPr>
        <w:pStyle w:val="PrrafoTDC"/>
      </w:pPr>
      <w:r w:rsidRPr="00D43EE9">
        <w:t xml:space="preserve">Durante estas dos décadas la figura de la pirámide poblacional evidenciará los importantes cambios que han tenido lugar. La pirámide correspondiente al año 2020 muestra una mayor reducción de su base por la baja de la fecundidad, el efecto de la mayor mortalidad infantil y la emigración, así como se hace patente la importante pérdida de población correspondiente a </w:t>
      </w:r>
      <w:r w:rsidR="008E68E0" w:rsidRPr="00D43EE9">
        <w:t>las cohortes</w:t>
      </w:r>
      <w:r w:rsidRPr="00D43EE9">
        <w:t xml:space="preserve"> de los jóvenes y adultos jóvenes, mientras que se hacen mucho más visible </w:t>
      </w:r>
      <w:r w:rsidR="008E68E0" w:rsidRPr="00D43EE9">
        <w:t>el grupo</w:t>
      </w:r>
      <w:r w:rsidRPr="00D43EE9">
        <w:t xml:space="preserve"> de los adultos mayores en el conjunto de la población.</w:t>
      </w:r>
    </w:p>
    <w:p w14:paraId="396215E5" w14:textId="77777777" w:rsidR="008E68E0" w:rsidRDefault="008E68E0">
      <w:pPr>
        <w:rPr>
          <w:rFonts w:ascii="AGaramond" w:hAnsi="AGaramond"/>
          <w:sz w:val="22"/>
          <w:szCs w:val="22"/>
          <w:lang w:val="es-ES"/>
        </w:rPr>
      </w:pPr>
      <w:r>
        <w:br w:type="page"/>
      </w:r>
    </w:p>
    <w:p w14:paraId="60561CA3" w14:textId="02EEB734" w:rsidR="00D43EE9" w:rsidRPr="003B68AB" w:rsidRDefault="00D43EE9" w:rsidP="008E68E0">
      <w:pPr>
        <w:pStyle w:val="NormalWeb"/>
        <w:spacing w:before="0" w:beforeAutospacing="0" w:after="0" w:afterAutospacing="0" w:line="276" w:lineRule="auto"/>
        <w:ind w:left="426"/>
        <w:jc w:val="both"/>
        <w:rPr>
          <w:rFonts w:ascii="AGaramond" w:hAnsi="AGaramond"/>
          <w:b/>
          <w:bCs/>
          <w:sz w:val="22"/>
          <w:szCs w:val="20"/>
          <w:lang w:val="es-ES"/>
        </w:rPr>
      </w:pPr>
      <w:r w:rsidRPr="003B68AB">
        <w:rPr>
          <w:rFonts w:ascii="AGaramond" w:hAnsi="AGaramond"/>
          <w:b/>
          <w:bCs/>
          <w:sz w:val="22"/>
          <w:szCs w:val="20"/>
          <w:lang w:val="es-ES"/>
        </w:rPr>
        <w:lastRenderedPageBreak/>
        <w:t xml:space="preserve">Cuadro 1 </w:t>
      </w:r>
      <w:r w:rsidRPr="003B68AB">
        <w:rPr>
          <w:rFonts w:ascii="AGaramond" w:hAnsi="AGaramond"/>
          <w:b/>
          <w:bCs/>
          <w:sz w:val="22"/>
          <w:szCs w:val="20"/>
          <w:lang w:val="es-ES"/>
        </w:rPr>
        <w:tab/>
      </w:r>
      <w:r w:rsidRPr="003B68AB">
        <w:rPr>
          <w:rFonts w:ascii="AGaramond" w:hAnsi="AGaramond"/>
          <w:b/>
          <w:bCs/>
          <w:sz w:val="22"/>
          <w:szCs w:val="20"/>
          <w:lang w:val="es-ES"/>
        </w:rPr>
        <w:tab/>
      </w:r>
      <w:r w:rsidRPr="003B68AB">
        <w:rPr>
          <w:rFonts w:ascii="AGaramond" w:hAnsi="AGaramond"/>
          <w:b/>
          <w:bCs/>
          <w:sz w:val="22"/>
          <w:szCs w:val="20"/>
          <w:lang w:val="es-ES"/>
        </w:rPr>
        <w:tab/>
      </w:r>
      <w:r w:rsidRPr="003B68AB">
        <w:rPr>
          <w:rFonts w:ascii="AGaramond" w:hAnsi="AGaramond"/>
          <w:b/>
          <w:bCs/>
          <w:sz w:val="22"/>
          <w:szCs w:val="20"/>
          <w:lang w:val="es-ES"/>
        </w:rPr>
        <w:tab/>
      </w:r>
      <w:r w:rsidRPr="003B68AB">
        <w:rPr>
          <w:rFonts w:ascii="AGaramond" w:hAnsi="AGaramond"/>
          <w:b/>
          <w:bCs/>
          <w:sz w:val="22"/>
          <w:szCs w:val="20"/>
          <w:lang w:val="es-ES"/>
        </w:rPr>
        <w:tab/>
      </w:r>
    </w:p>
    <w:p w14:paraId="62958AE1" w14:textId="0ACF0D53" w:rsidR="00D43EE9" w:rsidRPr="00D43EE9" w:rsidRDefault="00D43EE9" w:rsidP="00AA7AB3">
      <w:pPr>
        <w:pStyle w:val="NormalWeb"/>
        <w:spacing w:before="0" w:beforeAutospacing="0" w:after="240" w:afterAutospacing="0" w:line="276" w:lineRule="auto"/>
        <w:ind w:left="426" w:right="993"/>
        <w:jc w:val="both"/>
        <w:rPr>
          <w:rFonts w:ascii="AGaramond" w:hAnsi="AGaramond"/>
          <w:lang w:val="es-ES"/>
        </w:rPr>
      </w:pPr>
      <w:r w:rsidRPr="008E68E0">
        <w:rPr>
          <w:rFonts w:ascii="AGaramond" w:hAnsi="AGaramond"/>
          <w:sz w:val="22"/>
          <w:szCs w:val="20"/>
          <w:lang w:val="es-ES"/>
        </w:rPr>
        <w:t>Venezuela.</w:t>
      </w:r>
      <w:r w:rsidR="008E68E0">
        <w:rPr>
          <w:rFonts w:ascii="AGaramond" w:hAnsi="AGaramond"/>
          <w:sz w:val="22"/>
          <w:szCs w:val="20"/>
          <w:lang w:val="es-ES"/>
        </w:rPr>
        <w:t xml:space="preserve"> </w:t>
      </w:r>
      <w:r w:rsidRPr="008E68E0">
        <w:rPr>
          <w:rFonts w:ascii="AGaramond" w:hAnsi="AGaramond"/>
          <w:sz w:val="22"/>
          <w:szCs w:val="20"/>
          <w:lang w:val="es-ES"/>
        </w:rPr>
        <w:t>Dinámica de la población. Indicadores estimados y proyectados para los quinquenios 2000-2005/2020-2025</w:t>
      </w:r>
      <w:r w:rsidRPr="008E68E0">
        <w:rPr>
          <w:rFonts w:ascii="AGaramond" w:hAnsi="AGaramond"/>
          <w:sz w:val="22"/>
          <w:szCs w:val="20"/>
          <w:lang w:val="es-ES"/>
        </w:rPr>
        <w:tab/>
      </w:r>
      <w:r w:rsidRPr="00D43EE9">
        <w:rPr>
          <w:rFonts w:ascii="AGaramond" w:hAnsi="AGaramond"/>
          <w:lang w:val="es-ES"/>
        </w:rPr>
        <w:tab/>
      </w:r>
      <w:r w:rsidRPr="00D43EE9">
        <w:rPr>
          <w:rFonts w:ascii="AGaramond" w:hAnsi="AGaramond"/>
          <w:lang w:val="es-ES"/>
        </w:rPr>
        <w:tab/>
      </w:r>
      <w:r w:rsidRPr="00D43EE9">
        <w:rPr>
          <w:rFonts w:ascii="AGaramond" w:hAnsi="AGaramond"/>
          <w:lang w:val="es-ES"/>
        </w:rPr>
        <w:tab/>
      </w:r>
      <w:r w:rsidRPr="00D43EE9">
        <w:rPr>
          <w:rFonts w:ascii="AGaramond" w:hAnsi="AGaramond"/>
          <w:lang w:val="es-ES"/>
        </w:rPr>
        <w:tab/>
      </w:r>
    </w:p>
    <w:p w14:paraId="1DFDC8A2" w14:textId="299F3044" w:rsidR="00D43EE9" w:rsidRPr="00D43EE9" w:rsidRDefault="00D43EE9" w:rsidP="00AA7AB3">
      <w:pPr>
        <w:pStyle w:val="NormalWeb"/>
        <w:spacing w:before="0" w:beforeAutospacing="0"/>
        <w:ind w:firstLine="360"/>
        <w:jc w:val="both"/>
        <w:rPr>
          <w:rFonts w:ascii="AGaramond" w:hAnsi="AGaramond"/>
          <w:lang w:val="es-ES"/>
        </w:rPr>
      </w:pPr>
      <w:r w:rsidRPr="00D43EE9">
        <w:rPr>
          <w:rFonts w:ascii="AGaramond" w:hAnsi="AGaramond"/>
          <w:noProof/>
          <w:lang w:val="es-ES"/>
        </w:rPr>
        <w:drawing>
          <wp:inline distT="0" distB="0" distL="0" distR="0" wp14:anchorId="3C2C658D" wp14:editId="5E4F7743">
            <wp:extent cx="5486400" cy="4130040"/>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130040"/>
                    </a:xfrm>
                    <a:prstGeom prst="rect">
                      <a:avLst/>
                    </a:prstGeom>
                    <a:noFill/>
                    <a:ln>
                      <a:noFill/>
                    </a:ln>
                  </pic:spPr>
                </pic:pic>
              </a:graphicData>
            </a:graphic>
          </wp:inline>
        </w:drawing>
      </w:r>
    </w:p>
    <w:p w14:paraId="1A26DFA0" w14:textId="77777777" w:rsidR="00AA7AB3" w:rsidRDefault="00AA7AB3">
      <w:pPr>
        <w:rPr>
          <w:rFonts w:ascii="AGaramond" w:eastAsia="Times New Roman" w:hAnsi="AGaramond" w:cs="Times New Roman"/>
          <w:szCs w:val="22"/>
          <w:lang w:val="es-ES" w:eastAsia="es-VE"/>
        </w:rPr>
      </w:pPr>
      <w:r>
        <w:rPr>
          <w:rFonts w:ascii="AGaramond" w:hAnsi="AGaramond"/>
          <w:szCs w:val="22"/>
          <w:lang w:val="es-ES"/>
        </w:rPr>
        <w:br w:type="page"/>
      </w:r>
    </w:p>
    <w:p w14:paraId="21A9752E" w14:textId="063AD5C0" w:rsidR="00D43EE9" w:rsidRPr="003B68AB" w:rsidRDefault="00D43EE9" w:rsidP="00AA7AB3">
      <w:pPr>
        <w:pStyle w:val="NormalWeb"/>
        <w:spacing w:before="0" w:beforeAutospacing="0" w:after="0" w:afterAutospacing="0" w:line="276" w:lineRule="auto"/>
        <w:ind w:left="426"/>
        <w:jc w:val="both"/>
        <w:rPr>
          <w:rFonts w:ascii="AGaramond" w:hAnsi="AGaramond"/>
          <w:b/>
          <w:bCs/>
          <w:sz w:val="22"/>
          <w:szCs w:val="20"/>
          <w:lang w:val="es-ES"/>
        </w:rPr>
      </w:pPr>
      <w:r w:rsidRPr="003B68AB">
        <w:rPr>
          <w:rFonts w:ascii="AGaramond" w:hAnsi="AGaramond"/>
          <w:b/>
          <w:bCs/>
          <w:sz w:val="22"/>
          <w:szCs w:val="20"/>
          <w:lang w:val="es-ES"/>
        </w:rPr>
        <w:lastRenderedPageBreak/>
        <w:t>Cuadro 2</w:t>
      </w:r>
      <w:r w:rsidRPr="003B68AB">
        <w:rPr>
          <w:rFonts w:ascii="AGaramond" w:hAnsi="AGaramond"/>
          <w:b/>
          <w:bCs/>
          <w:sz w:val="22"/>
          <w:szCs w:val="20"/>
          <w:lang w:val="es-ES"/>
        </w:rPr>
        <w:tab/>
      </w:r>
      <w:r w:rsidRPr="003B68AB">
        <w:rPr>
          <w:rFonts w:ascii="AGaramond" w:hAnsi="AGaramond"/>
          <w:b/>
          <w:bCs/>
          <w:sz w:val="22"/>
          <w:szCs w:val="20"/>
          <w:lang w:val="es-ES"/>
        </w:rPr>
        <w:tab/>
      </w:r>
      <w:r w:rsidRPr="003B68AB">
        <w:rPr>
          <w:rFonts w:ascii="AGaramond" w:hAnsi="AGaramond"/>
          <w:b/>
          <w:bCs/>
          <w:sz w:val="22"/>
          <w:szCs w:val="20"/>
          <w:lang w:val="es-ES"/>
        </w:rPr>
        <w:tab/>
      </w:r>
      <w:r w:rsidRPr="003B68AB">
        <w:rPr>
          <w:rFonts w:ascii="AGaramond" w:hAnsi="AGaramond"/>
          <w:b/>
          <w:bCs/>
          <w:sz w:val="22"/>
          <w:szCs w:val="20"/>
          <w:lang w:val="es-ES"/>
        </w:rPr>
        <w:tab/>
      </w:r>
      <w:r w:rsidRPr="003B68AB">
        <w:rPr>
          <w:rFonts w:ascii="AGaramond" w:hAnsi="AGaramond"/>
          <w:b/>
          <w:bCs/>
          <w:sz w:val="22"/>
          <w:szCs w:val="20"/>
          <w:lang w:val="es-ES"/>
        </w:rPr>
        <w:tab/>
      </w:r>
    </w:p>
    <w:p w14:paraId="30D67997" w14:textId="6B80C236" w:rsidR="00D43EE9" w:rsidRPr="00D43EE9" w:rsidRDefault="00D43EE9" w:rsidP="00AA7AB3">
      <w:pPr>
        <w:pStyle w:val="NormalWeb"/>
        <w:spacing w:before="0" w:beforeAutospacing="0" w:after="240" w:afterAutospacing="0" w:line="276" w:lineRule="auto"/>
        <w:ind w:left="426" w:right="2411"/>
        <w:jc w:val="both"/>
        <w:rPr>
          <w:rFonts w:ascii="AGaramond" w:hAnsi="AGaramond"/>
          <w:lang w:val="es-ES"/>
        </w:rPr>
      </w:pPr>
      <w:r w:rsidRPr="00AA7AB3">
        <w:rPr>
          <w:rFonts w:ascii="AGaramond" w:hAnsi="AGaramond"/>
          <w:sz w:val="22"/>
          <w:szCs w:val="20"/>
          <w:lang w:val="es-ES"/>
        </w:rPr>
        <w:t>Venezuela.</w:t>
      </w:r>
      <w:r w:rsidR="001F3200">
        <w:rPr>
          <w:rFonts w:ascii="AGaramond" w:hAnsi="AGaramond"/>
          <w:sz w:val="22"/>
          <w:szCs w:val="20"/>
          <w:lang w:val="es-ES"/>
        </w:rPr>
        <w:t xml:space="preserve"> </w:t>
      </w:r>
      <w:r w:rsidRPr="00AA7AB3">
        <w:rPr>
          <w:rFonts w:ascii="AGaramond" w:hAnsi="AGaramond"/>
          <w:sz w:val="22"/>
          <w:szCs w:val="20"/>
          <w:lang w:val="es-ES"/>
        </w:rPr>
        <w:t>Indicadores de fecundidad estimados y proyectados</w:t>
      </w:r>
      <w:r w:rsidR="00AA7AB3">
        <w:rPr>
          <w:rFonts w:ascii="AGaramond" w:hAnsi="AGaramond"/>
          <w:sz w:val="22"/>
          <w:szCs w:val="20"/>
          <w:lang w:val="es-ES"/>
        </w:rPr>
        <w:t xml:space="preserve"> </w:t>
      </w:r>
      <w:r w:rsidRPr="00AA7AB3">
        <w:rPr>
          <w:rFonts w:ascii="AGaramond" w:hAnsi="AGaramond"/>
          <w:sz w:val="22"/>
          <w:szCs w:val="20"/>
          <w:lang w:val="es-ES"/>
        </w:rPr>
        <w:t>para los quinquenios 2000-2005/2020-2025</w:t>
      </w:r>
      <w:r w:rsidRPr="00D43EE9">
        <w:rPr>
          <w:rFonts w:ascii="AGaramond" w:hAnsi="AGaramond"/>
          <w:lang w:val="es-ES"/>
        </w:rPr>
        <w:tab/>
      </w:r>
      <w:r w:rsidRPr="00D43EE9">
        <w:rPr>
          <w:rFonts w:ascii="AGaramond" w:hAnsi="AGaramond"/>
          <w:lang w:val="es-ES"/>
        </w:rPr>
        <w:tab/>
      </w:r>
      <w:r w:rsidRPr="00D43EE9">
        <w:rPr>
          <w:rFonts w:ascii="AGaramond" w:hAnsi="AGaramond"/>
          <w:lang w:val="es-ES"/>
        </w:rPr>
        <w:tab/>
      </w:r>
      <w:r w:rsidRPr="00D43EE9">
        <w:rPr>
          <w:rFonts w:ascii="AGaramond" w:hAnsi="AGaramond"/>
          <w:lang w:val="es-ES"/>
        </w:rPr>
        <w:tab/>
      </w:r>
      <w:r w:rsidRPr="00D43EE9">
        <w:rPr>
          <w:rFonts w:ascii="AGaramond" w:hAnsi="AGaramond"/>
          <w:lang w:val="es-ES"/>
        </w:rPr>
        <w:tab/>
      </w:r>
    </w:p>
    <w:p w14:paraId="2F0361E9" w14:textId="69E9808D" w:rsidR="00D43EE9" w:rsidRPr="00D43EE9" w:rsidRDefault="00D43EE9" w:rsidP="00AA7AB3">
      <w:pPr>
        <w:pStyle w:val="NormalWeb"/>
        <w:spacing w:before="0" w:beforeAutospacing="0" w:line="360" w:lineRule="auto"/>
        <w:ind w:firstLine="360"/>
        <w:jc w:val="both"/>
        <w:rPr>
          <w:rFonts w:ascii="AGaramond" w:hAnsi="AGaramond"/>
          <w:lang w:val="es-ES"/>
        </w:rPr>
      </w:pPr>
      <w:r w:rsidRPr="00D43EE9">
        <w:rPr>
          <w:rFonts w:ascii="AGaramond" w:hAnsi="AGaramond"/>
          <w:noProof/>
          <w:lang w:val="es-ES"/>
        </w:rPr>
        <w:drawing>
          <wp:inline distT="0" distB="0" distL="0" distR="0" wp14:anchorId="0E409C7B" wp14:editId="719CC29A">
            <wp:extent cx="4556760" cy="1897047"/>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6760" cy="1897047"/>
                    </a:xfrm>
                    <a:prstGeom prst="rect">
                      <a:avLst/>
                    </a:prstGeom>
                    <a:noFill/>
                    <a:ln>
                      <a:noFill/>
                    </a:ln>
                  </pic:spPr>
                </pic:pic>
              </a:graphicData>
            </a:graphic>
          </wp:inline>
        </w:drawing>
      </w:r>
    </w:p>
    <w:p w14:paraId="562F8DC0" w14:textId="30E5A008" w:rsidR="00D43EE9" w:rsidRPr="003B68AB" w:rsidRDefault="00AA7AB3" w:rsidP="00AA7AB3">
      <w:pPr>
        <w:pStyle w:val="NormalWeb"/>
        <w:spacing w:before="0" w:beforeAutospacing="0" w:after="0" w:afterAutospacing="0" w:line="276" w:lineRule="auto"/>
        <w:ind w:left="426"/>
        <w:jc w:val="both"/>
        <w:rPr>
          <w:rFonts w:ascii="AGaramond" w:hAnsi="AGaramond"/>
          <w:b/>
          <w:bCs/>
          <w:sz w:val="22"/>
          <w:szCs w:val="20"/>
          <w:lang w:val="es-ES"/>
        </w:rPr>
      </w:pPr>
      <w:r w:rsidRPr="003B68AB">
        <w:rPr>
          <w:rFonts w:ascii="AGaramond" w:hAnsi="AGaramond"/>
          <w:b/>
          <w:bCs/>
          <w:sz w:val="22"/>
          <w:szCs w:val="20"/>
          <w:lang w:val="es-ES"/>
        </w:rPr>
        <w:t>Gráfico</w:t>
      </w:r>
      <w:r w:rsidR="00D43EE9" w:rsidRPr="003B68AB">
        <w:rPr>
          <w:rFonts w:ascii="AGaramond" w:hAnsi="AGaramond"/>
          <w:b/>
          <w:bCs/>
          <w:sz w:val="22"/>
          <w:szCs w:val="20"/>
          <w:lang w:val="es-ES"/>
        </w:rPr>
        <w:t xml:space="preserve"> 1</w:t>
      </w:r>
    </w:p>
    <w:p w14:paraId="795DD4C4" w14:textId="1BA94978" w:rsidR="00D43EE9" w:rsidRPr="00D43EE9" w:rsidRDefault="00D43EE9" w:rsidP="00AA7AB3">
      <w:pPr>
        <w:pStyle w:val="NormalWeb"/>
        <w:spacing w:before="0" w:beforeAutospacing="0" w:after="0" w:afterAutospacing="0" w:line="276" w:lineRule="auto"/>
        <w:ind w:left="426" w:right="1844"/>
        <w:jc w:val="both"/>
        <w:rPr>
          <w:rFonts w:ascii="AGaramond" w:hAnsi="AGaramond"/>
          <w:lang w:val="es-ES"/>
        </w:rPr>
      </w:pPr>
      <w:r w:rsidRPr="00AA7AB3">
        <w:rPr>
          <w:rFonts w:ascii="AGaramond" w:hAnsi="AGaramond"/>
          <w:sz w:val="22"/>
          <w:szCs w:val="20"/>
          <w:lang w:val="es-ES"/>
        </w:rPr>
        <w:t xml:space="preserve">Venezuela. Tasa de fecundidad por edad. Quinquenios 2000-2005 y 2015-2020 </w:t>
      </w:r>
      <w:r w:rsidRPr="00D43EE9">
        <w:rPr>
          <w:rFonts w:ascii="AGaramond" w:hAnsi="AGaramond"/>
          <w:noProof/>
          <w:lang w:val="es-ES"/>
        </w:rPr>
        <w:drawing>
          <wp:inline distT="0" distB="0" distL="0" distR="0" wp14:anchorId="5FBFCE62" wp14:editId="72947BAA">
            <wp:extent cx="4960620" cy="309372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0620" cy="3093720"/>
                    </a:xfrm>
                    <a:prstGeom prst="rect">
                      <a:avLst/>
                    </a:prstGeom>
                    <a:noFill/>
                    <a:ln>
                      <a:noFill/>
                    </a:ln>
                  </pic:spPr>
                </pic:pic>
              </a:graphicData>
            </a:graphic>
          </wp:inline>
        </w:drawing>
      </w:r>
    </w:p>
    <w:p w14:paraId="4E73FB36" w14:textId="77777777" w:rsidR="00AA7AB3" w:rsidRDefault="00AA7AB3">
      <w:pPr>
        <w:rPr>
          <w:rFonts w:ascii="AGaramond" w:eastAsia="Times New Roman" w:hAnsi="AGaramond" w:cs="Times New Roman"/>
          <w:szCs w:val="22"/>
          <w:lang w:val="es-ES" w:eastAsia="es-VE"/>
        </w:rPr>
      </w:pPr>
      <w:r>
        <w:rPr>
          <w:rFonts w:ascii="AGaramond" w:hAnsi="AGaramond"/>
          <w:szCs w:val="22"/>
          <w:lang w:val="es-ES"/>
        </w:rPr>
        <w:br w:type="page"/>
      </w:r>
    </w:p>
    <w:p w14:paraId="1ECB29AD" w14:textId="74391F55" w:rsidR="00D43EE9" w:rsidRPr="003B68AB" w:rsidRDefault="00D43EE9" w:rsidP="00AA7AB3">
      <w:pPr>
        <w:pStyle w:val="NormalWeb"/>
        <w:spacing w:before="0" w:beforeAutospacing="0" w:after="0" w:afterAutospacing="0" w:line="276" w:lineRule="auto"/>
        <w:ind w:left="426" w:right="2411"/>
        <w:jc w:val="both"/>
        <w:rPr>
          <w:rFonts w:ascii="AGaramond" w:hAnsi="AGaramond"/>
          <w:b/>
          <w:bCs/>
          <w:sz w:val="22"/>
          <w:szCs w:val="20"/>
          <w:lang w:val="es-ES"/>
        </w:rPr>
      </w:pPr>
      <w:r w:rsidRPr="003B68AB">
        <w:rPr>
          <w:rFonts w:ascii="AGaramond" w:hAnsi="AGaramond"/>
          <w:b/>
          <w:bCs/>
          <w:sz w:val="22"/>
          <w:szCs w:val="20"/>
          <w:lang w:val="es-ES"/>
        </w:rPr>
        <w:lastRenderedPageBreak/>
        <w:t>Cuadro 3</w:t>
      </w:r>
      <w:r w:rsidRPr="003B68AB">
        <w:rPr>
          <w:rFonts w:ascii="AGaramond" w:hAnsi="AGaramond"/>
          <w:b/>
          <w:bCs/>
          <w:sz w:val="22"/>
          <w:szCs w:val="20"/>
          <w:lang w:val="es-ES"/>
        </w:rPr>
        <w:tab/>
      </w:r>
      <w:r w:rsidRPr="003B68AB">
        <w:rPr>
          <w:rFonts w:ascii="AGaramond" w:hAnsi="AGaramond"/>
          <w:b/>
          <w:bCs/>
          <w:sz w:val="22"/>
          <w:szCs w:val="20"/>
          <w:lang w:val="es-ES"/>
        </w:rPr>
        <w:tab/>
      </w:r>
      <w:r w:rsidRPr="003B68AB">
        <w:rPr>
          <w:rFonts w:ascii="AGaramond" w:hAnsi="AGaramond"/>
          <w:b/>
          <w:bCs/>
          <w:sz w:val="22"/>
          <w:szCs w:val="20"/>
          <w:lang w:val="es-ES"/>
        </w:rPr>
        <w:tab/>
      </w:r>
      <w:r w:rsidRPr="003B68AB">
        <w:rPr>
          <w:rFonts w:ascii="AGaramond" w:hAnsi="AGaramond"/>
          <w:b/>
          <w:bCs/>
          <w:sz w:val="22"/>
          <w:szCs w:val="20"/>
          <w:lang w:val="es-ES"/>
        </w:rPr>
        <w:tab/>
      </w:r>
      <w:r w:rsidRPr="003B68AB">
        <w:rPr>
          <w:rFonts w:ascii="AGaramond" w:hAnsi="AGaramond"/>
          <w:b/>
          <w:bCs/>
          <w:sz w:val="22"/>
          <w:szCs w:val="20"/>
          <w:lang w:val="es-ES"/>
        </w:rPr>
        <w:tab/>
      </w:r>
    </w:p>
    <w:p w14:paraId="77643EE8" w14:textId="472AA747" w:rsidR="00D43EE9" w:rsidRPr="00D43EE9" w:rsidRDefault="00D43EE9" w:rsidP="00AA7AB3">
      <w:pPr>
        <w:pStyle w:val="NormalWeb"/>
        <w:spacing w:before="0" w:beforeAutospacing="0" w:after="240" w:afterAutospacing="0" w:line="276" w:lineRule="auto"/>
        <w:ind w:left="426" w:right="2411"/>
        <w:jc w:val="both"/>
        <w:rPr>
          <w:rFonts w:ascii="AGaramond" w:hAnsi="AGaramond"/>
          <w:lang w:val="es-ES"/>
        </w:rPr>
      </w:pPr>
      <w:r w:rsidRPr="00AA7AB3">
        <w:rPr>
          <w:rFonts w:ascii="AGaramond" w:hAnsi="AGaramond"/>
          <w:sz w:val="22"/>
          <w:szCs w:val="20"/>
          <w:lang w:val="es-ES"/>
        </w:rPr>
        <w:t>Venezuela.</w:t>
      </w:r>
      <w:r w:rsidR="001F3200">
        <w:rPr>
          <w:rFonts w:ascii="AGaramond" w:hAnsi="AGaramond"/>
          <w:sz w:val="22"/>
          <w:szCs w:val="20"/>
          <w:lang w:val="es-ES"/>
        </w:rPr>
        <w:t xml:space="preserve"> </w:t>
      </w:r>
      <w:r w:rsidRPr="00AA7AB3">
        <w:rPr>
          <w:rFonts w:ascii="AGaramond" w:hAnsi="AGaramond"/>
          <w:sz w:val="22"/>
          <w:szCs w:val="20"/>
          <w:lang w:val="es-ES"/>
        </w:rPr>
        <w:t>Tasa de mortalidad por sexo y grupos de edad estimadas y proyectadas</w:t>
      </w:r>
      <w:r w:rsidR="00AA7AB3">
        <w:rPr>
          <w:rFonts w:ascii="AGaramond" w:hAnsi="AGaramond"/>
          <w:sz w:val="22"/>
          <w:szCs w:val="20"/>
          <w:lang w:val="es-ES"/>
        </w:rPr>
        <w:t xml:space="preserve"> </w:t>
      </w:r>
      <w:r w:rsidRPr="00AA7AB3">
        <w:rPr>
          <w:rFonts w:ascii="AGaramond" w:hAnsi="AGaramond"/>
          <w:sz w:val="22"/>
          <w:szCs w:val="20"/>
          <w:lang w:val="es-ES"/>
        </w:rPr>
        <w:t>para los quinquenios 2000-2005/2020-2025</w:t>
      </w:r>
      <w:r w:rsidRPr="00AA7AB3">
        <w:rPr>
          <w:rFonts w:ascii="AGaramond" w:hAnsi="AGaramond"/>
          <w:sz w:val="22"/>
          <w:szCs w:val="20"/>
          <w:lang w:val="es-ES"/>
        </w:rPr>
        <w:tab/>
      </w:r>
      <w:r w:rsidRPr="00D43EE9">
        <w:rPr>
          <w:rFonts w:ascii="AGaramond" w:hAnsi="AGaramond"/>
          <w:szCs w:val="22"/>
          <w:lang w:val="es-ES"/>
        </w:rPr>
        <w:tab/>
      </w:r>
      <w:r w:rsidRPr="00D43EE9">
        <w:rPr>
          <w:rFonts w:ascii="AGaramond" w:hAnsi="AGaramond"/>
          <w:lang w:val="es-ES"/>
        </w:rPr>
        <w:tab/>
      </w:r>
      <w:r w:rsidRPr="00D43EE9">
        <w:rPr>
          <w:rFonts w:ascii="AGaramond" w:hAnsi="AGaramond"/>
          <w:lang w:val="es-ES"/>
        </w:rPr>
        <w:tab/>
      </w:r>
      <w:r w:rsidRPr="00D43EE9">
        <w:rPr>
          <w:rFonts w:ascii="AGaramond" w:hAnsi="AGaramond"/>
          <w:lang w:val="es-ES"/>
        </w:rPr>
        <w:tab/>
      </w:r>
    </w:p>
    <w:p w14:paraId="5BCE3534" w14:textId="49994F77" w:rsidR="00D43EE9" w:rsidRPr="00D43EE9" w:rsidRDefault="00D43EE9" w:rsidP="00AA7AB3">
      <w:pPr>
        <w:spacing w:after="240" w:line="360" w:lineRule="auto"/>
        <w:ind w:left="426"/>
        <w:jc w:val="both"/>
        <w:rPr>
          <w:rFonts w:ascii="AGaramond" w:hAnsi="AGaramond"/>
          <w:lang w:val="es-ES"/>
        </w:rPr>
      </w:pPr>
      <w:r w:rsidRPr="00D43EE9">
        <w:rPr>
          <w:rFonts w:ascii="AGaramond" w:hAnsi="AGaramond"/>
          <w:noProof/>
        </w:rPr>
        <w:drawing>
          <wp:inline distT="0" distB="0" distL="0" distR="0" wp14:anchorId="5C5D6C2D" wp14:editId="4511B89F">
            <wp:extent cx="4747260" cy="54483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7260" cy="5448300"/>
                    </a:xfrm>
                    <a:prstGeom prst="rect">
                      <a:avLst/>
                    </a:prstGeom>
                    <a:noFill/>
                    <a:ln>
                      <a:noFill/>
                    </a:ln>
                  </pic:spPr>
                </pic:pic>
              </a:graphicData>
            </a:graphic>
          </wp:inline>
        </w:drawing>
      </w:r>
    </w:p>
    <w:p w14:paraId="449D1C1E" w14:textId="77777777" w:rsidR="003B68AB" w:rsidRDefault="003B68AB">
      <w:pPr>
        <w:rPr>
          <w:rFonts w:ascii="AGaramond" w:eastAsia="Times New Roman" w:hAnsi="AGaramond" w:cs="Times New Roman"/>
          <w:sz w:val="22"/>
          <w:szCs w:val="20"/>
          <w:lang w:val="es-ES" w:eastAsia="es-VE"/>
        </w:rPr>
      </w:pPr>
      <w:r>
        <w:rPr>
          <w:rFonts w:ascii="AGaramond" w:hAnsi="AGaramond"/>
          <w:sz w:val="22"/>
          <w:szCs w:val="20"/>
          <w:lang w:val="es-ES"/>
        </w:rPr>
        <w:br w:type="page"/>
      </w:r>
    </w:p>
    <w:p w14:paraId="717C3FA8" w14:textId="08EE9A2B" w:rsidR="00D43EE9" w:rsidRPr="003B68AB" w:rsidRDefault="00D43EE9" w:rsidP="00AA7AB3">
      <w:pPr>
        <w:pStyle w:val="NormalWeb"/>
        <w:spacing w:before="0" w:beforeAutospacing="0" w:after="0" w:afterAutospacing="0" w:line="276" w:lineRule="auto"/>
        <w:ind w:left="426" w:right="2411"/>
        <w:jc w:val="both"/>
        <w:rPr>
          <w:rFonts w:ascii="AGaramond" w:hAnsi="AGaramond"/>
          <w:b/>
          <w:bCs/>
          <w:sz w:val="22"/>
          <w:szCs w:val="20"/>
          <w:lang w:val="es-ES"/>
        </w:rPr>
      </w:pPr>
      <w:r w:rsidRPr="003B68AB">
        <w:rPr>
          <w:rFonts w:ascii="AGaramond" w:hAnsi="AGaramond"/>
          <w:b/>
          <w:bCs/>
          <w:sz w:val="22"/>
          <w:szCs w:val="20"/>
          <w:lang w:val="es-ES"/>
        </w:rPr>
        <w:lastRenderedPageBreak/>
        <w:t xml:space="preserve">Gráfico 2 </w:t>
      </w:r>
      <w:r w:rsidRPr="003B68AB">
        <w:rPr>
          <w:rFonts w:ascii="AGaramond" w:hAnsi="AGaramond"/>
          <w:b/>
          <w:bCs/>
          <w:sz w:val="22"/>
          <w:szCs w:val="20"/>
          <w:lang w:val="es-ES"/>
        </w:rPr>
        <w:tab/>
      </w:r>
      <w:r w:rsidRPr="003B68AB">
        <w:rPr>
          <w:rFonts w:ascii="AGaramond" w:hAnsi="AGaramond"/>
          <w:b/>
          <w:bCs/>
          <w:sz w:val="22"/>
          <w:szCs w:val="20"/>
          <w:lang w:val="es-ES"/>
        </w:rPr>
        <w:tab/>
      </w:r>
      <w:r w:rsidRPr="003B68AB">
        <w:rPr>
          <w:rFonts w:ascii="AGaramond" w:hAnsi="AGaramond"/>
          <w:b/>
          <w:bCs/>
          <w:sz w:val="22"/>
          <w:szCs w:val="20"/>
          <w:lang w:val="es-ES"/>
        </w:rPr>
        <w:tab/>
      </w:r>
      <w:r w:rsidRPr="003B68AB">
        <w:rPr>
          <w:rFonts w:ascii="AGaramond" w:hAnsi="AGaramond"/>
          <w:b/>
          <w:bCs/>
          <w:sz w:val="22"/>
          <w:szCs w:val="20"/>
          <w:lang w:val="es-ES"/>
        </w:rPr>
        <w:tab/>
      </w:r>
      <w:r w:rsidRPr="003B68AB">
        <w:rPr>
          <w:rFonts w:ascii="AGaramond" w:hAnsi="AGaramond"/>
          <w:b/>
          <w:bCs/>
          <w:sz w:val="22"/>
          <w:szCs w:val="20"/>
          <w:lang w:val="es-ES"/>
        </w:rPr>
        <w:tab/>
      </w:r>
    </w:p>
    <w:p w14:paraId="280F4741" w14:textId="77777777" w:rsidR="00DE5A4B" w:rsidRDefault="00D43EE9" w:rsidP="003B68AB">
      <w:pPr>
        <w:pStyle w:val="NormalWeb"/>
        <w:spacing w:before="0" w:beforeAutospacing="0" w:after="240" w:afterAutospacing="0" w:line="276" w:lineRule="auto"/>
        <w:ind w:left="426" w:right="1"/>
        <w:rPr>
          <w:rFonts w:ascii="AGaramond" w:hAnsi="AGaramond"/>
          <w:sz w:val="22"/>
          <w:szCs w:val="20"/>
          <w:lang w:val="es-ES"/>
        </w:rPr>
      </w:pPr>
      <w:r w:rsidRPr="00AA7AB3">
        <w:rPr>
          <w:rFonts w:ascii="AGaramond" w:hAnsi="AGaramond"/>
          <w:sz w:val="22"/>
          <w:szCs w:val="20"/>
          <w:lang w:val="es-ES"/>
        </w:rPr>
        <w:t>Venezuela.</w:t>
      </w:r>
      <w:r w:rsidR="003B68AB">
        <w:rPr>
          <w:rFonts w:ascii="AGaramond" w:hAnsi="AGaramond"/>
          <w:sz w:val="22"/>
          <w:szCs w:val="20"/>
          <w:lang w:val="es-ES"/>
        </w:rPr>
        <w:t xml:space="preserve"> </w:t>
      </w:r>
      <w:r w:rsidRPr="00AA7AB3">
        <w:rPr>
          <w:rFonts w:ascii="AGaramond" w:hAnsi="AGaramond"/>
          <w:sz w:val="22"/>
          <w:szCs w:val="20"/>
          <w:lang w:val="es-ES"/>
        </w:rPr>
        <w:t xml:space="preserve">Tasa </w:t>
      </w:r>
      <w:r w:rsidR="003B68AB" w:rsidRPr="00AA7AB3">
        <w:rPr>
          <w:rFonts w:ascii="AGaramond" w:hAnsi="AGaramond"/>
          <w:sz w:val="22"/>
          <w:szCs w:val="20"/>
          <w:lang w:val="es-ES"/>
        </w:rPr>
        <w:t>de mortalidad</w:t>
      </w:r>
      <w:r w:rsidRPr="00AA7AB3">
        <w:rPr>
          <w:rFonts w:ascii="AGaramond" w:hAnsi="AGaramond"/>
          <w:sz w:val="22"/>
          <w:szCs w:val="20"/>
          <w:lang w:val="es-ES"/>
        </w:rPr>
        <w:t xml:space="preserve"> </w:t>
      </w:r>
      <w:r w:rsidR="003B68AB" w:rsidRPr="00AA7AB3">
        <w:rPr>
          <w:rFonts w:ascii="AGaramond" w:hAnsi="AGaramond"/>
          <w:sz w:val="22"/>
          <w:szCs w:val="20"/>
          <w:lang w:val="es-ES"/>
        </w:rPr>
        <w:t>infantil por</w:t>
      </w:r>
      <w:r w:rsidRPr="00AA7AB3">
        <w:rPr>
          <w:rFonts w:ascii="AGaramond" w:hAnsi="AGaramond"/>
          <w:sz w:val="22"/>
          <w:szCs w:val="20"/>
          <w:lang w:val="es-ES"/>
        </w:rPr>
        <w:t xml:space="preserve"> sexo.</w:t>
      </w:r>
      <w:r w:rsidR="003B68AB">
        <w:rPr>
          <w:rFonts w:ascii="AGaramond" w:hAnsi="AGaramond"/>
          <w:sz w:val="22"/>
          <w:szCs w:val="20"/>
          <w:lang w:val="es-ES"/>
        </w:rPr>
        <w:t xml:space="preserve"> </w:t>
      </w:r>
      <w:r w:rsidR="003B68AB" w:rsidRPr="00AA7AB3">
        <w:rPr>
          <w:rFonts w:ascii="AGaramond" w:hAnsi="AGaramond"/>
          <w:sz w:val="22"/>
          <w:szCs w:val="20"/>
          <w:lang w:val="es-ES"/>
        </w:rPr>
        <w:t>Quinquenios</w:t>
      </w:r>
      <w:r w:rsidR="003B68AB">
        <w:rPr>
          <w:rFonts w:ascii="AGaramond" w:hAnsi="AGaramond"/>
          <w:sz w:val="22"/>
          <w:szCs w:val="20"/>
          <w:lang w:val="es-ES"/>
        </w:rPr>
        <w:t xml:space="preserve"> </w:t>
      </w:r>
      <w:r w:rsidR="003B68AB" w:rsidRPr="00AA7AB3">
        <w:rPr>
          <w:rFonts w:ascii="AGaramond" w:hAnsi="AGaramond"/>
          <w:sz w:val="22"/>
          <w:szCs w:val="20"/>
          <w:lang w:val="es-ES"/>
        </w:rPr>
        <w:t>2000</w:t>
      </w:r>
      <w:r w:rsidRPr="00AA7AB3">
        <w:rPr>
          <w:rFonts w:ascii="AGaramond" w:hAnsi="AGaramond"/>
          <w:sz w:val="22"/>
          <w:szCs w:val="20"/>
          <w:lang w:val="es-ES"/>
        </w:rPr>
        <w:t>-2005/2020-2025</w:t>
      </w:r>
    </w:p>
    <w:p w14:paraId="147AC01A" w14:textId="09FF73EF" w:rsidR="003B68AB" w:rsidRDefault="003B68AB" w:rsidP="003B68AB">
      <w:pPr>
        <w:pStyle w:val="NormalWeb"/>
        <w:spacing w:before="0" w:beforeAutospacing="0" w:after="240" w:afterAutospacing="0" w:line="276" w:lineRule="auto"/>
        <w:ind w:left="426" w:right="1"/>
        <w:rPr>
          <w:rFonts w:ascii="AGaramond" w:hAnsi="AGaramond"/>
          <w:sz w:val="22"/>
          <w:szCs w:val="20"/>
          <w:lang w:val="es-ES"/>
        </w:rPr>
      </w:pPr>
      <w:r w:rsidRPr="00D43EE9">
        <w:rPr>
          <w:rFonts w:ascii="AGaramond" w:hAnsi="AGaramond"/>
          <w:noProof/>
          <w:lang w:val="es-ES"/>
        </w:rPr>
        <w:drawing>
          <wp:inline distT="0" distB="0" distL="0" distR="0" wp14:anchorId="45A56608" wp14:editId="75482B3A">
            <wp:extent cx="5486400" cy="291846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918460"/>
                    </a:xfrm>
                    <a:prstGeom prst="rect">
                      <a:avLst/>
                    </a:prstGeom>
                    <a:noFill/>
                    <a:ln>
                      <a:noFill/>
                    </a:ln>
                  </pic:spPr>
                </pic:pic>
              </a:graphicData>
            </a:graphic>
          </wp:inline>
        </w:drawing>
      </w:r>
    </w:p>
    <w:p w14:paraId="0F9BF1C1" w14:textId="6DB69CB3" w:rsidR="00D43EE9" w:rsidRPr="00DE5A4B" w:rsidRDefault="00D43EE9" w:rsidP="003B68AB">
      <w:pPr>
        <w:pStyle w:val="NormalWeb"/>
        <w:spacing w:before="0" w:beforeAutospacing="0" w:after="0" w:afterAutospacing="0" w:line="276" w:lineRule="auto"/>
        <w:ind w:left="426" w:right="2411"/>
        <w:jc w:val="both"/>
        <w:rPr>
          <w:rFonts w:ascii="AGaramond" w:hAnsi="AGaramond"/>
          <w:b/>
          <w:bCs/>
          <w:sz w:val="22"/>
          <w:szCs w:val="20"/>
          <w:lang w:val="es-ES"/>
        </w:rPr>
      </w:pPr>
      <w:r w:rsidRPr="00DE5A4B">
        <w:rPr>
          <w:rFonts w:ascii="AGaramond" w:hAnsi="AGaramond"/>
          <w:b/>
          <w:bCs/>
          <w:sz w:val="22"/>
          <w:szCs w:val="20"/>
          <w:lang w:val="es-ES"/>
        </w:rPr>
        <w:t>Gráfico 3</w:t>
      </w:r>
    </w:p>
    <w:p w14:paraId="4F13BEEC" w14:textId="6B43256B" w:rsidR="00D43EE9" w:rsidRPr="00D43EE9" w:rsidRDefault="00D43EE9" w:rsidP="00DE5A4B">
      <w:pPr>
        <w:pStyle w:val="NormalWeb"/>
        <w:spacing w:before="0" w:beforeAutospacing="0" w:after="0" w:afterAutospacing="0" w:line="276" w:lineRule="auto"/>
        <w:ind w:left="426" w:right="2411"/>
        <w:jc w:val="both"/>
        <w:rPr>
          <w:rFonts w:ascii="AGaramond" w:hAnsi="AGaramond"/>
        </w:rPr>
      </w:pPr>
      <w:r w:rsidRPr="003B68AB">
        <w:rPr>
          <w:rFonts w:ascii="AGaramond" w:hAnsi="AGaramond"/>
          <w:sz w:val="22"/>
          <w:szCs w:val="20"/>
          <w:lang w:val="es-ES"/>
        </w:rPr>
        <w:t>Venezuela.</w:t>
      </w:r>
      <w:r w:rsidR="003B68AB">
        <w:rPr>
          <w:rFonts w:ascii="AGaramond" w:hAnsi="AGaramond"/>
          <w:sz w:val="22"/>
          <w:szCs w:val="20"/>
          <w:lang w:val="es-ES"/>
        </w:rPr>
        <w:t xml:space="preserve"> T</w:t>
      </w:r>
      <w:r w:rsidRPr="003B68AB">
        <w:rPr>
          <w:rFonts w:ascii="AGaramond" w:hAnsi="AGaramond"/>
          <w:sz w:val="22"/>
          <w:szCs w:val="20"/>
          <w:lang w:val="es-ES"/>
        </w:rPr>
        <w:t>asa de crecimiento de la población, de natalidad, mortalidad y migración.</w:t>
      </w:r>
      <w:r w:rsidRPr="003B68AB">
        <w:rPr>
          <w:rFonts w:ascii="AGaramond" w:hAnsi="AGaramond"/>
          <w:sz w:val="22"/>
          <w:szCs w:val="20"/>
          <w:lang w:val="es-ES"/>
        </w:rPr>
        <w:tab/>
        <w:t>Quinquenios 2000-2005/2020-2025</w:t>
      </w:r>
      <w:r w:rsidRPr="00D43EE9">
        <w:rPr>
          <w:rFonts w:ascii="AGaramond" w:hAnsi="AGaramond"/>
          <w:szCs w:val="22"/>
          <w:lang w:val="es-ES"/>
        </w:rPr>
        <w:tab/>
      </w:r>
      <w:r w:rsidRPr="00D43EE9">
        <w:rPr>
          <w:rFonts w:ascii="AGaramond" w:hAnsi="AGaramond"/>
          <w:lang w:val="es-ES"/>
        </w:rPr>
        <w:tab/>
      </w:r>
      <w:r w:rsidRPr="00D43EE9">
        <w:rPr>
          <w:rFonts w:ascii="AGaramond" w:hAnsi="AGaramond"/>
          <w:lang w:val="es-ES"/>
        </w:rPr>
        <w:tab/>
      </w:r>
      <w:r w:rsidRPr="00D43EE9">
        <w:rPr>
          <w:rFonts w:ascii="AGaramond" w:hAnsi="AGaramond"/>
          <w:lang w:val="es-ES"/>
        </w:rPr>
        <w:tab/>
      </w:r>
      <w:r w:rsidRPr="00D43EE9">
        <w:rPr>
          <w:rFonts w:ascii="AGaramond" w:hAnsi="AGaramond"/>
          <w:lang w:val="es-ES"/>
        </w:rPr>
        <w:tab/>
      </w:r>
      <w:r w:rsidRPr="00D43EE9">
        <w:rPr>
          <w:rFonts w:ascii="AGaramond" w:hAnsi="AGaramond"/>
          <w:noProof/>
        </w:rPr>
        <w:drawing>
          <wp:inline distT="0" distB="0" distL="0" distR="0" wp14:anchorId="6FAC3B02" wp14:editId="3B355CEA">
            <wp:extent cx="5120640" cy="2956560"/>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0640" cy="2956560"/>
                    </a:xfrm>
                    <a:prstGeom prst="rect">
                      <a:avLst/>
                    </a:prstGeom>
                    <a:noFill/>
                    <a:ln>
                      <a:noFill/>
                    </a:ln>
                  </pic:spPr>
                </pic:pic>
              </a:graphicData>
            </a:graphic>
          </wp:inline>
        </w:drawing>
      </w:r>
    </w:p>
    <w:p w14:paraId="69315D5F" w14:textId="77777777" w:rsidR="003B68AB" w:rsidRDefault="003B68AB">
      <w:pPr>
        <w:rPr>
          <w:rFonts w:ascii="AGaramond" w:eastAsia="Times New Roman" w:hAnsi="AGaramond" w:cs="Times New Roman"/>
          <w:szCs w:val="22"/>
          <w:lang w:val="es-ES" w:eastAsia="es-VE"/>
        </w:rPr>
      </w:pPr>
      <w:r>
        <w:rPr>
          <w:rFonts w:ascii="AGaramond" w:hAnsi="AGaramond"/>
          <w:szCs w:val="22"/>
          <w:lang w:val="es-ES"/>
        </w:rPr>
        <w:br w:type="page"/>
      </w:r>
    </w:p>
    <w:p w14:paraId="43904B10" w14:textId="5AC8ECCD" w:rsidR="00D43EE9" w:rsidRPr="003B68AB" w:rsidRDefault="00D43EE9" w:rsidP="003B68AB">
      <w:pPr>
        <w:pStyle w:val="NormalWeb"/>
        <w:spacing w:before="0" w:beforeAutospacing="0" w:after="0" w:afterAutospacing="0" w:line="276" w:lineRule="auto"/>
        <w:ind w:left="426" w:right="2411"/>
        <w:jc w:val="both"/>
        <w:rPr>
          <w:rFonts w:ascii="AGaramond" w:hAnsi="AGaramond"/>
          <w:b/>
          <w:bCs/>
          <w:sz w:val="22"/>
          <w:szCs w:val="20"/>
          <w:lang w:val="es-ES"/>
        </w:rPr>
      </w:pPr>
      <w:r w:rsidRPr="003B68AB">
        <w:rPr>
          <w:rFonts w:ascii="AGaramond" w:hAnsi="AGaramond"/>
          <w:b/>
          <w:bCs/>
          <w:sz w:val="22"/>
          <w:szCs w:val="20"/>
          <w:lang w:val="es-ES"/>
        </w:rPr>
        <w:lastRenderedPageBreak/>
        <w:t>Cuadro 4</w:t>
      </w:r>
      <w:r w:rsidRPr="003B68AB">
        <w:rPr>
          <w:rFonts w:ascii="AGaramond" w:hAnsi="AGaramond"/>
          <w:b/>
          <w:bCs/>
          <w:sz w:val="22"/>
          <w:szCs w:val="20"/>
          <w:lang w:val="es-ES"/>
        </w:rPr>
        <w:tab/>
      </w:r>
      <w:r w:rsidRPr="003B68AB">
        <w:rPr>
          <w:rFonts w:ascii="AGaramond" w:hAnsi="AGaramond"/>
          <w:b/>
          <w:bCs/>
          <w:sz w:val="22"/>
          <w:szCs w:val="20"/>
          <w:lang w:val="es-ES"/>
        </w:rPr>
        <w:tab/>
      </w:r>
      <w:r w:rsidRPr="003B68AB">
        <w:rPr>
          <w:rFonts w:ascii="AGaramond" w:hAnsi="AGaramond"/>
          <w:b/>
          <w:bCs/>
          <w:sz w:val="22"/>
          <w:szCs w:val="20"/>
          <w:lang w:val="es-ES"/>
        </w:rPr>
        <w:tab/>
      </w:r>
      <w:r w:rsidRPr="003B68AB">
        <w:rPr>
          <w:rFonts w:ascii="AGaramond" w:hAnsi="AGaramond"/>
          <w:b/>
          <w:bCs/>
          <w:sz w:val="22"/>
          <w:szCs w:val="20"/>
          <w:lang w:val="es-ES"/>
        </w:rPr>
        <w:tab/>
      </w:r>
      <w:r w:rsidRPr="003B68AB">
        <w:rPr>
          <w:rFonts w:ascii="AGaramond" w:hAnsi="AGaramond"/>
          <w:b/>
          <w:bCs/>
          <w:sz w:val="22"/>
          <w:szCs w:val="20"/>
          <w:lang w:val="es-ES"/>
        </w:rPr>
        <w:tab/>
      </w:r>
      <w:r w:rsidRPr="003B68AB">
        <w:rPr>
          <w:rFonts w:ascii="AGaramond" w:hAnsi="AGaramond"/>
          <w:b/>
          <w:bCs/>
          <w:sz w:val="22"/>
          <w:szCs w:val="20"/>
          <w:lang w:val="es-ES"/>
        </w:rPr>
        <w:tab/>
      </w:r>
    </w:p>
    <w:p w14:paraId="119C6ACC" w14:textId="64BECF23" w:rsidR="00D43EE9" w:rsidRPr="003B68AB" w:rsidRDefault="00D43EE9" w:rsidP="00DE5A4B">
      <w:pPr>
        <w:pStyle w:val="NormalWeb"/>
        <w:spacing w:before="0" w:beforeAutospacing="0" w:after="240" w:afterAutospacing="0" w:line="276" w:lineRule="auto"/>
        <w:ind w:left="426" w:right="1560"/>
        <w:rPr>
          <w:rFonts w:ascii="AGaramond" w:hAnsi="AGaramond"/>
          <w:sz w:val="22"/>
          <w:szCs w:val="20"/>
          <w:lang w:val="es-ES"/>
        </w:rPr>
      </w:pPr>
      <w:r w:rsidRPr="003B68AB">
        <w:rPr>
          <w:rFonts w:ascii="AGaramond" w:hAnsi="AGaramond"/>
          <w:sz w:val="22"/>
          <w:szCs w:val="20"/>
          <w:lang w:val="es-ES"/>
        </w:rPr>
        <w:t>Venezuela.</w:t>
      </w:r>
      <w:r w:rsidR="001F3200">
        <w:rPr>
          <w:rFonts w:ascii="AGaramond" w:hAnsi="AGaramond"/>
          <w:sz w:val="22"/>
          <w:szCs w:val="20"/>
          <w:lang w:val="es-ES"/>
        </w:rPr>
        <w:t xml:space="preserve"> </w:t>
      </w:r>
      <w:r w:rsidRPr="003B68AB">
        <w:rPr>
          <w:rFonts w:ascii="AGaramond" w:hAnsi="AGaramond"/>
          <w:sz w:val="22"/>
          <w:szCs w:val="20"/>
          <w:lang w:val="es-ES"/>
        </w:rPr>
        <w:t>Estructura de la población. Indicadores estimados y proyectados para los años 2000-2025</w:t>
      </w:r>
    </w:p>
    <w:p w14:paraId="38B9E09D" w14:textId="20EB6DF9" w:rsidR="00D43EE9" w:rsidRPr="00D43EE9" w:rsidRDefault="00D43EE9" w:rsidP="00DE5A4B">
      <w:pPr>
        <w:pStyle w:val="NormalWeb"/>
        <w:spacing w:before="0" w:beforeAutospacing="0" w:line="240" w:lineRule="atLeast"/>
        <w:ind w:left="284"/>
        <w:rPr>
          <w:rFonts w:ascii="AGaramond" w:hAnsi="AGaramond"/>
          <w:szCs w:val="22"/>
          <w:lang w:val="es-ES"/>
        </w:rPr>
      </w:pPr>
      <w:r w:rsidRPr="00D43EE9">
        <w:rPr>
          <w:rFonts w:ascii="AGaramond" w:hAnsi="AGaramond"/>
          <w:noProof/>
          <w:szCs w:val="22"/>
          <w:lang w:val="es-ES"/>
        </w:rPr>
        <w:drawing>
          <wp:inline distT="0" distB="0" distL="0" distR="0" wp14:anchorId="3D60A347" wp14:editId="1401B78E">
            <wp:extent cx="5486400" cy="47701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770120"/>
                    </a:xfrm>
                    <a:prstGeom prst="rect">
                      <a:avLst/>
                    </a:prstGeom>
                    <a:noFill/>
                    <a:ln>
                      <a:noFill/>
                    </a:ln>
                  </pic:spPr>
                </pic:pic>
              </a:graphicData>
            </a:graphic>
          </wp:inline>
        </w:drawing>
      </w:r>
    </w:p>
    <w:p w14:paraId="4DEAABF8" w14:textId="77777777" w:rsidR="00D43EE9" w:rsidRPr="00D43EE9" w:rsidRDefault="00D43EE9" w:rsidP="00D43EE9">
      <w:pPr>
        <w:pStyle w:val="NormalWeb"/>
        <w:rPr>
          <w:rFonts w:ascii="AGaramond" w:hAnsi="AGaramond"/>
          <w:sz w:val="20"/>
          <w:szCs w:val="20"/>
          <w:lang w:val="es-ES"/>
        </w:rPr>
      </w:pPr>
    </w:p>
    <w:p w14:paraId="3ED42721" w14:textId="77777777" w:rsidR="00D43EE9" w:rsidRPr="00D43EE9" w:rsidRDefault="00D43EE9" w:rsidP="00D43EE9">
      <w:pPr>
        <w:pStyle w:val="NormalWeb"/>
        <w:rPr>
          <w:rFonts w:ascii="AGaramond" w:hAnsi="AGaramond"/>
          <w:sz w:val="20"/>
          <w:szCs w:val="20"/>
          <w:lang w:val="es-ES"/>
        </w:rPr>
      </w:pPr>
    </w:p>
    <w:p w14:paraId="6BEDF540" w14:textId="77777777" w:rsidR="00D43EE9" w:rsidRPr="00D43EE9" w:rsidRDefault="00D43EE9" w:rsidP="00D43EE9">
      <w:pPr>
        <w:pStyle w:val="NormalWeb"/>
        <w:rPr>
          <w:rFonts w:ascii="AGaramond" w:hAnsi="AGaramond"/>
          <w:sz w:val="20"/>
          <w:szCs w:val="20"/>
          <w:lang w:val="es-ES"/>
        </w:rPr>
      </w:pPr>
    </w:p>
    <w:p w14:paraId="22E69768" w14:textId="77777777" w:rsidR="00D43EE9" w:rsidRPr="00D43EE9" w:rsidRDefault="00D43EE9" w:rsidP="00D43EE9">
      <w:pPr>
        <w:pStyle w:val="NormalWeb"/>
        <w:rPr>
          <w:rFonts w:ascii="AGaramond" w:hAnsi="AGaramond"/>
          <w:sz w:val="20"/>
          <w:szCs w:val="20"/>
          <w:lang w:val="es-ES"/>
        </w:rPr>
      </w:pPr>
    </w:p>
    <w:p w14:paraId="034B2DB4" w14:textId="77777777" w:rsidR="00D43EE9" w:rsidRPr="00D43EE9" w:rsidRDefault="00D43EE9" w:rsidP="00D43EE9">
      <w:pPr>
        <w:pStyle w:val="NormalWeb"/>
        <w:rPr>
          <w:rFonts w:ascii="AGaramond" w:hAnsi="AGaramond"/>
          <w:sz w:val="20"/>
          <w:szCs w:val="20"/>
          <w:lang w:val="es-ES"/>
        </w:rPr>
      </w:pPr>
    </w:p>
    <w:p w14:paraId="7624F95A" w14:textId="77777777" w:rsidR="00D43EE9" w:rsidRPr="00D43EE9" w:rsidRDefault="00D43EE9" w:rsidP="00D43EE9">
      <w:pPr>
        <w:pStyle w:val="NormalWeb"/>
        <w:rPr>
          <w:rFonts w:ascii="AGaramond" w:hAnsi="AGaramond"/>
          <w:sz w:val="20"/>
          <w:szCs w:val="20"/>
          <w:lang w:val="es-ES"/>
        </w:rPr>
      </w:pPr>
    </w:p>
    <w:p w14:paraId="037EDCED" w14:textId="77777777" w:rsidR="00D43EE9" w:rsidRPr="00D43EE9" w:rsidRDefault="00D43EE9" w:rsidP="00D43EE9">
      <w:pPr>
        <w:pStyle w:val="NormalWeb"/>
        <w:rPr>
          <w:rFonts w:ascii="AGaramond" w:hAnsi="AGaramond"/>
          <w:sz w:val="20"/>
          <w:szCs w:val="20"/>
          <w:lang w:val="es-ES"/>
        </w:rPr>
      </w:pPr>
    </w:p>
    <w:p w14:paraId="1B1ED5DD" w14:textId="517A8392" w:rsidR="00D43EE9" w:rsidRPr="00DE5A4B" w:rsidRDefault="00DE5A4B" w:rsidP="00DE5A4B">
      <w:pPr>
        <w:pStyle w:val="NormalWeb"/>
        <w:spacing w:before="0" w:beforeAutospacing="0" w:after="0" w:afterAutospacing="0" w:line="276" w:lineRule="auto"/>
        <w:ind w:left="426" w:right="1560"/>
        <w:rPr>
          <w:rFonts w:ascii="AGaramond" w:hAnsi="AGaramond"/>
          <w:b/>
          <w:bCs/>
          <w:sz w:val="22"/>
          <w:szCs w:val="20"/>
          <w:lang w:val="es-ES"/>
        </w:rPr>
      </w:pPr>
      <w:r w:rsidRPr="00DE5A4B">
        <w:rPr>
          <w:rFonts w:ascii="AGaramond" w:hAnsi="AGaramond"/>
          <w:b/>
          <w:bCs/>
          <w:sz w:val="22"/>
          <w:szCs w:val="20"/>
          <w:lang w:val="es-ES"/>
        </w:rPr>
        <w:lastRenderedPageBreak/>
        <w:t>Gráfico</w:t>
      </w:r>
      <w:r w:rsidR="00D43EE9" w:rsidRPr="00DE5A4B">
        <w:rPr>
          <w:rFonts w:ascii="AGaramond" w:hAnsi="AGaramond"/>
          <w:b/>
          <w:bCs/>
          <w:sz w:val="22"/>
          <w:szCs w:val="20"/>
          <w:lang w:val="es-ES"/>
        </w:rPr>
        <w:t xml:space="preserve"> 4</w:t>
      </w:r>
      <w:r w:rsidR="00D43EE9" w:rsidRPr="00DE5A4B">
        <w:rPr>
          <w:rFonts w:ascii="AGaramond" w:hAnsi="AGaramond"/>
          <w:b/>
          <w:bCs/>
          <w:sz w:val="22"/>
          <w:szCs w:val="20"/>
          <w:lang w:val="es-ES"/>
        </w:rPr>
        <w:tab/>
      </w:r>
      <w:r w:rsidR="00D43EE9" w:rsidRPr="00DE5A4B">
        <w:rPr>
          <w:rFonts w:ascii="AGaramond" w:hAnsi="AGaramond"/>
          <w:b/>
          <w:bCs/>
          <w:sz w:val="22"/>
          <w:szCs w:val="20"/>
          <w:lang w:val="es-ES"/>
        </w:rPr>
        <w:tab/>
      </w:r>
      <w:r w:rsidR="00D43EE9" w:rsidRPr="00DE5A4B">
        <w:rPr>
          <w:rFonts w:ascii="AGaramond" w:hAnsi="AGaramond"/>
          <w:b/>
          <w:bCs/>
          <w:sz w:val="22"/>
          <w:szCs w:val="20"/>
          <w:lang w:val="es-ES"/>
        </w:rPr>
        <w:tab/>
      </w:r>
      <w:r w:rsidR="00D43EE9" w:rsidRPr="00DE5A4B">
        <w:rPr>
          <w:rFonts w:ascii="AGaramond" w:hAnsi="AGaramond"/>
          <w:b/>
          <w:bCs/>
          <w:sz w:val="22"/>
          <w:szCs w:val="20"/>
          <w:lang w:val="es-ES"/>
        </w:rPr>
        <w:tab/>
      </w:r>
      <w:r w:rsidR="00D43EE9" w:rsidRPr="00DE5A4B">
        <w:rPr>
          <w:rFonts w:ascii="AGaramond" w:hAnsi="AGaramond"/>
          <w:b/>
          <w:bCs/>
          <w:sz w:val="22"/>
          <w:szCs w:val="20"/>
          <w:lang w:val="es-ES"/>
        </w:rPr>
        <w:tab/>
      </w:r>
      <w:r w:rsidR="00D43EE9" w:rsidRPr="00DE5A4B">
        <w:rPr>
          <w:rFonts w:ascii="AGaramond" w:hAnsi="AGaramond"/>
          <w:b/>
          <w:bCs/>
          <w:sz w:val="22"/>
          <w:szCs w:val="20"/>
          <w:lang w:val="es-ES"/>
        </w:rPr>
        <w:tab/>
      </w:r>
    </w:p>
    <w:p w14:paraId="4784E035" w14:textId="179D7903" w:rsidR="00DE5A4B" w:rsidRDefault="00D43EE9" w:rsidP="00DE5A4B">
      <w:pPr>
        <w:pStyle w:val="NormalWeb"/>
        <w:spacing w:before="0" w:beforeAutospacing="0" w:after="0" w:afterAutospacing="0" w:line="276" w:lineRule="auto"/>
        <w:ind w:left="426" w:right="1560"/>
        <w:rPr>
          <w:rFonts w:ascii="AGaramond" w:hAnsi="AGaramond"/>
          <w:sz w:val="22"/>
          <w:szCs w:val="20"/>
          <w:lang w:val="es-ES"/>
        </w:rPr>
      </w:pPr>
      <w:r w:rsidRPr="00DE5A4B">
        <w:rPr>
          <w:rFonts w:ascii="AGaramond" w:hAnsi="AGaramond"/>
          <w:sz w:val="22"/>
          <w:szCs w:val="20"/>
          <w:lang w:val="es-ES"/>
        </w:rPr>
        <w:t>Venezuela. Distribución de la población según grandes grupos de eda</w:t>
      </w:r>
      <w:r w:rsidR="00DE5A4B">
        <w:rPr>
          <w:rFonts w:ascii="AGaramond" w:hAnsi="AGaramond"/>
          <w:sz w:val="22"/>
          <w:szCs w:val="20"/>
          <w:lang w:val="es-ES"/>
        </w:rPr>
        <w:t xml:space="preserve">d. </w:t>
      </w:r>
    </w:p>
    <w:p w14:paraId="43E056C4" w14:textId="24252009" w:rsidR="00D43EE9" w:rsidRPr="00D43EE9" w:rsidRDefault="00D43EE9" w:rsidP="00DE5A4B">
      <w:pPr>
        <w:pStyle w:val="NormalWeb"/>
        <w:spacing w:before="0" w:beforeAutospacing="0" w:after="240" w:afterAutospacing="0" w:line="276" w:lineRule="auto"/>
        <w:ind w:left="426" w:right="1560"/>
        <w:rPr>
          <w:rFonts w:ascii="AGaramond" w:hAnsi="AGaramond"/>
          <w:sz w:val="20"/>
          <w:szCs w:val="20"/>
          <w:lang w:val="es-ES"/>
        </w:rPr>
      </w:pPr>
      <w:r w:rsidRPr="00DE5A4B">
        <w:rPr>
          <w:rFonts w:ascii="AGaramond" w:hAnsi="AGaramond"/>
          <w:sz w:val="22"/>
          <w:szCs w:val="20"/>
          <w:lang w:val="es-ES"/>
        </w:rPr>
        <w:t>Años 2000-2025</w:t>
      </w:r>
      <w:r w:rsidRPr="00D43EE9">
        <w:rPr>
          <w:rFonts w:ascii="AGaramond" w:hAnsi="AGaramond"/>
          <w:szCs w:val="22"/>
          <w:lang w:val="es-ES"/>
        </w:rPr>
        <w:tab/>
      </w:r>
      <w:r w:rsidRPr="00D43EE9">
        <w:rPr>
          <w:rFonts w:ascii="AGaramond" w:hAnsi="AGaramond"/>
          <w:sz w:val="20"/>
          <w:szCs w:val="20"/>
          <w:lang w:val="es-ES"/>
        </w:rPr>
        <w:tab/>
      </w:r>
      <w:r w:rsidRPr="00D43EE9">
        <w:rPr>
          <w:rFonts w:ascii="AGaramond" w:hAnsi="AGaramond"/>
          <w:sz w:val="20"/>
          <w:szCs w:val="20"/>
          <w:lang w:val="es-ES"/>
        </w:rPr>
        <w:tab/>
      </w:r>
      <w:r w:rsidRPr="00D43EE9">
        <w:rPr>
          <w:rFonts w:ascii="AGaramond" w:hAnsi="AGaramond"/>
          <w:sz w:val="20"/>
          <w:szCs w:val="20"/>
          <w:lang w:val="es-ES"/>
        </w:rPr>
        <w:tab/>
      </w:r>
      <w:r w:rsidRPr="00D43EE9">
        <w:rPr>
          <w:rFonts w:ascii="AGaramond" w:hAnsi="AGaramond"/>
          <w:sz w:val="20"/>
          <w:szCs w:val="20"/>
          <w:lang w:val="es-ES"/>
        </w:rPr>
        <w:tab/>
      </w:r>
    </w:p>
    <w:p w14:paraId="106D81D6" w14:textId="39930B70" w:rsidR="00D43EE9" w:rsidRPr="00D43EE9" w:rsidRDefault="00D43EE9" w:rsidP="00DE5A4B">
      <w:pPr>
        <w:pStyle w:val="NormalWeb"/>
        <w:spacing w:before="0" w:beforeAutospacing="0"/>
        <w:ind w:left="284"/>
        <w:rPr>
          <w:rFonts w:ascii="AGaramond" w:hAnsi="AGaramond"/>
          <w:sz w:val="20"/>
          <w:szCs w:val="20"/>
          <w:lang w:val="es-ES"/>
        </w:rPr>
      </w:pPr>
      <w:r w:rsidRPr="00D43EE9">
        <w:rPr>
          <w:rFonts w:ascii="AGaramond" w:hAnsi="AGaramond"/>
          <w:noProof/>
          <w:lang w:val="es-ES"/>
        </w:rPr>
        <w:drawing>
          <wp:inline distT="0" distB="0" distL="0" distR="0" wp14:anchorId="3F64B5D5" wp14:editId="0DBD7DE2">
            <wp:extent cx="4968240" cy="2804160"/>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8240" cy="2804160"/>
                    </a:xfrm>
                    <a:prstGeom prst="rect">
                      <a:avLst/>
                    </a:prstGeom>
                    <a:noFill/>
                    <a:ln>
                      <a:noFill/>
                    </a:ln>
                  </pic:spPr>
                </pic:pic>
              </a:graphicData>
            </a:graphic>
          </wp:inline>
        </w:drawing>
      </w:r>
    </w:p>
    <w:p w14:paraId="641EE0B7" w14:textId="0B25D763" w:rsidR="00D43EE9" w:rsidRPr="00D43EE9" w:rsidRDefault="00DE5A4B" w:rsidP="00DE5A4B">
      <w:pPr>
        <w:pStyle w:val="NormalWeb"/>
        <w:spacing w:before="0" w:beforeAutospacing="0" w:after="0" w:afterAutospacing="0" w:line="276" w:lineRule="auto"/>
        <w:ind w:left="426" w:right="1560"/>
        <w:rPr>
          <w:rFonts w:ascii="AGaramond" w:hAnsi="AGaramond"/>
          <w:szCs w:val="22"/>
          <w:lang w:val="es-ES"/>
        </w:rPr>
      </w:pPr>
      <w:r w:rsidRPr="00DE5A4B">
        <w:rPr>
          <w:rFonts w:ascii="AGaramond" w:hAnsi="AGaramond"/>
          <w:b/>
          <w:bCs/>
          <w:sz w:val="22"/>
          <w:szCs w:val="20"/>
          <w:lang w:val="es-ES"/>
        </w:rPr>
        <w:t>Gráfico</w:t>
      </w:r>
      <w:r w:rsidR="00D43EE9" w:rsidRPr="00DE5A4B">
        <w:rPr>
          <w:rFonts w:ascii="AGaramond" w:hAnsi="AGaramond"/>
          <w:b/>
          <w:bCs/>
          <w:sz w:val="22"/>
          <w:szCs w:val="20"/>
          <w:lang w:val="es-ES"/>
        </w:rPr>
        <w:t xml:space="preserve"> 5</w:t>
      </w:r>
      <w:r w:rsidR="00D43EE9" w:rsidRPr="00D43EE9">
        <w:rPr>
          <w:rFonts w:ascii="AGaramond" w:hAnsi="AGaramond"/>
          <w:szCs w:val="22"/>
          <w:lang w:val="es-ES"/>
        </w:rPr>
        <w:tab/>
      </w:r>
      <w:r w:rsidR="00D43EE9" w:rsidRPr="00D43EE9">
        <w:rPr>
          <w:rFonts w:ascii="AGaramond" w:hAnsi="AGaramond"/>
          <w:szCs w:val="22"/>
          <w:lang w:val="es-ES"/>
        </w:rPr>
        <w:tab/>
      </w:r>
      <w:r w:rsidR="00D43EE9" w:rsidRPr="00D43EE9">
        <w:rPr>
          <w:rFonts w:ascii="AGaramond" w:hAnsi="AGaramond"/>
          <w:szCs w:val="22"/>
          <w:lang w:val="es-ES"/>
        </w:rPr>
        <w:tab/>
      </w:r>
      <w:r w:rsidR="00D43EE9" w:rsidRPr="00D43EE9">
        <w:rPr>
          <w:rFonts w:ascii="AGaramond" w:hAnsi="AGaramond"/>
          <w:szCs w:val="22"/>
          <w:lang w:val="es-ES"/>
        </w:rPr>
        <w:tab/>
      </w:r>
      <w:r w:rsidR="00D43EE9" w:rsidRPr="00D43EE9">
        <w:rPr>
          <w:rFonts w:ascii="AGaramond" w:hAnsi="AGaramond"/>
          <w:szCs w:val="22"/>
          <w:lang w:val="es-ES"/>
        </w:rPr>
        <w:tab/>
      </w:r>
      <w:r w:rsidR="00D43EE9" w:rsidRPr="00D43EE9">
        <w:rPr>
          <w:rFonts w:ascii="AGaramond" w:hAnsi="AGaramond"/>
          <w:szCs w:val="22"/>
          <w:lang w:val="es-ES"/>
        </w:rPr>
        <w:tab/>
      </w:r>
    </w:p>
    <w:p w14:paraId="0F9FAE91" w14:textId="77777777" w:rsidR="00D43EE9" w:rsidRPr="00DE5A4B" w:rsidRDefault="00D43EE9" w:rsidP="00DE5A4B">
      <w:pPr>
        <w:pStyle w:val="NormalWeb"/>
        <w:spacing w:before="0" w:beforeAutospacing="0" w:after="0" w:afterAutospacing="0" w:line="276" w:lineRule="auto"/>
        <w:ind w:left="426" w:right="1560"/>
        <w:rPr>
          <w:rFonts w:ascii="AGaramond" w:hAnsi="AGaramond"/>
          <w:sz w:val="22"/>
          <w:szCs w:val="20"/>
          <w:lang w:val="es-ES"/>
        </w:rPr>
      </w:pPr>
      <w:r w:rsidRPr="00DE5A4B">
        <w:rPr>
          <w:rFonts w:ascii="AGaramond" w:hAnsi="AGaramond"/>
          <w:sz w:val="22"/>
          <w:szCs w:val="20"/>
          <w:lang w:val="es-ES"/>
        </w:rPr>
        <w:t>Venezuela. Relación de dependencia demográfica y sus componentes</w:t>
      </w:r>
      <w:r w:rsidRPr="00DE5A4B">
        <w:rPr>
          <w:rFonts w:ascii="AGaramond" w:hAnsi="AGaramond"/>
          <w:sz w:val="22"/>
          <w:szCs w:val="20"/>
          <w:lang w:val="es-ES"/>
        </w:rPr>
        <w:tab/>
      </w:r>
      <w:r w:rsidRPr="00DE5A4B">
        <w:rPr>
          <w:rFonts w:ascii="AGaramond" w:hAnsi="AGaramond"/>
          <w:sz w:val="22"/>
          <w:szCs w:val="20"/>
          <w:lang w:val="es-ES"/>
        </w:rPr>
        <w:tab/>
      </w:r>
    </w:p>
    <w:p w14:paraId="7BF89B3B" w14:textId="77777777" w:rsidR="00D43EE9" w:rsidRPr="00D43EE9" w:rsidRDefault="00D43EE9" w:rsidP="00DE5A4B">
      <w:pPr>
        <w:pStyle w:val="NormalWeb"/>
        <w:spacing w:before="0" w:beforeAutospacing="0" w:after="240" w:afterAutospacing="0" w:line="276" w:lineRule="auto"/>
        <w:ind w:left="426" w:right="1560"/>
        <w:rPr>
          <w:rFonts w:ascii="AGaramond" w:hAnsi="AGaramond"/>
          <w:sz w:val="20"/>
          <w:szCs w:val="20"/>
          <w:lang w:val="es-ES"/>
        </w:rPr>
      </w:pPr>
      <w:r w:rsidRPr="00DE5A4B">
        <w:rPr>
          <w:rFonts w:ascii="AGaramond" w:hAnsi="AGaramond"/>
          <w:sz w:val="22"/>
          <w:szCs w:val="20"/>
          <w:lang w:val="es-ES"/>
        </w:rPr>
        <w:t>Años 2000-2025</w:t>
      </w:r>
      <w:r w:rsidRPr="00D43EE9">
        <w:rPr>
          <w:rFonts w:ascii="AGaramond" w:hAnsi="AGaramond"/>
          <w:szCs w:val="22"/>
          <w:lang w:val="es-ES"/>
        </w:rPr>
        <w:tab/>
      </w:r>
      <w:r w:rsidRPr="00D43EE9">
        <w:rPr>
          <w:rFonts w:ascii="AGaramond" w:hAnsi="AGaramond"/>
          <w:szCs w:val="22"/>
          <w:lang w:val="es-ES"/>
        </w:rPr>
        <w:tab/>
      </w:r>
      <w:r w:rsidRPr="00D43EE9">
        <w:rPr>
          <w:rFonts w:ascii="AGaramond" w:hAnsi="AGaramond"/>
          <w:sz w:val="20"/>
          <w:szCs w:val="20"/>
          <w:lang w:val="es-ES"/>
        </w:rPr>
        <w:tab/>
      </w:r>
      <w:r w:rsidRPr="00D43EE9">
        <w:rPr>
          <w:rFonts w:ascii="AGaramond" w:hAnsi="AGaramond"/>
          <w:sz w:val="20"/>
          <w:szCs w:val="20"/>
          <w:lang w:val="es-ES"/>
        </w:rPr>
        <w:tab/>
      </w:r>
      <w:r w:rsidRPr="00D43EE9">
        <w:rPr>
          <w:rFonts w:ascii="AGaramond" w:hAnsi="AGaramond"/>
          <w:sz w:val="20"/>
          <w:szCs w:val="20"/>
          <w:lang w:val="es-ES"/>
        </w:rPr>
        <w:tab/>
      </w:r>
      <w:r w:rsidRPr="00D43EE9">
        <w:rPr>
          <w:rFonts w:ascii="AGaramond" w:hAnsi="AGaramond"/>
          <w:sz w:val="20"/>
          <w:szCs w:val="20"/>
          <w:lang w:val="es-ES"/>
        </w:rPr>
        <w:tab/>
      </w:r>
    </w:p>
    <w:p w14:paraId="0B682D3C" w14:textId="3C7B1CF0" w:rsidR="00D43EE9" w:rsidRPr="00D43EE9" w:rsidRDefault="00D43EE9" w:rsidP="00DE5A4B">
      <w:pPr>
        <w:pStyle w:val="NormalWeb"/>
        <w:spacing w:before="0" w:beforeAutospacing="0"/>
        <w:ind w:left="284"/>
        <w:rPr>
          <w:rFonts w:ascii="AGaramond" w:hAnsi="AGaramond"/>
          <w:lang w:val="es-ES"/>
        </w:rPr>
      </w:pPr>
      <w:r w:rsidRPr="00D43EE9">
        <w:rPr>
          <w:rFonts w:ascii="AGaramond" w:hAnsi="AGaramond"/>
          <w:noProof/>
          <w:lang w:val="es-ES"/>
        </w:rPr>
        <w:drawing>
          <wp:inline distT="0" distB="0" distL="0" distR="0" wp14:anchorId="15A07A75" wp14:editId="5BD2AE71">
            <wp:extent cx="4884420" cy="29794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4420" cy="2979420"/>
                    </a:xfrm>
                    <a:prstGeom prst="rect">
                      <a:avLst/>
                    </a:prstGeom>
                    <a:noFill/>
                    <a:ln>
                      <a:noFill/>
                    </a:ln>
                  </pic:spPr>
                </pic:pic>
              </a:graphicData>
            </a:graphic>
          </wp:inline>
        </w:drawing>
      </w:r>
    </w:p>
    <w:p w14:paraId="369C0195" w14:textId="77777777" w:rsidR="00D43EE9" w:rsidRPr="00D43EE9" w:rsidRDefault="00D43EE9" w:rsidP="00D43EE9">
      <w:pPr>
        <w:pStyle w:val="NormalWeb"/>
        <w:rPr>
          <w:rFonts w:ascii="AGaramond" w:hAnsi="AGaramond"/>
          <w:lang w:val="es-ES"/>
        </w:rPr>
      </w:pPr>
    </w:p>
    <w:p w14:paraId="225FD751" w14:textId="239919F3" w:rsidR="00D43EE9" w:rsidRPr="00DE5A4B" w:rsidRDefault="00DE5A4B" w:rsidP="00DE5A4B">
      <w:pPr>
        <w:pStyle w:val="NormalWeb"/>
        <w:spacing w:before="0" w:beforeAutospacing="0" w:after="0" w:afterAutospacing="0" w:line="276" w:lineRule="auto"/>
        <w:ind w:left="426" w:right="1560"/>
        <w:rPr>
          <w:rFonts w:ascii="AGaramond" w:hAnsi="AGaramond"/>
          <w:b/>
          <w:bCs/>
          <w:sz w:val="22"/>
          <w:szCs w:val="20"/>
          <w:lang w:val="es-ES"/>
        </w:rPr>
      </w:pPr>
      <w:r w:rsidRPr="00DE5A4B">
        <w:rPr>
          <w:rFonts w:ascii="AGaramond" w:hAnsi="AGaramond"/>
          <w:b/>
          <w:bCs/>
          <w:sz w:val="22"/>
          <w:szCs w:val="20"/>
          <w:lang w:val="es-ES"/>
        </w:rPr>
        <w:lastRenderedPageBreak/>
        <w:t>Gráfico</w:t>
      </w:r>
      <w:r w:rsidR="00D43EE9" w:rsidRPr="00DE5A4B">
        <w:rPr>
          <w:rFonts w:ascii="AGaramond" w:hAnsi="AGaramond"/>
          <w:b/>
          <w:bCs/>
          <w:sz w:val="22"/>
          <w:szCs w:val="20"/>
          <w:lang w:val="es-ES"/>
        </w:rPr>
        <w:t xml:space="preserve"> 6</w:t>
      </w:r>
      <w:r w:rsidR="00D43EE9" w:rsidRPr="00DE5A4B">
        <w:rPr>
          <w:rFonts w:ascii="AGaramond" w:hAnsi="AGaramond"/>
          <w:b/>
          <w:bCs/>
          <w:sz w:val="22"/>
          <w:szCs w:val="20"/>
          <w:lang w:val="es-ES"/>
        </w:rPr>
        <w:tab/>
      </w:r>
      <w:r w:rsidR="00D43EE9" w:rsidRPr="00DE5A4B">
        <w:rPr>
          <w:rFonts w:ascii="AGaramond" w:hAnsi="AGaramond"/>
          <w:b/>
          <w:bCs/>
          <w:sz w:val="22"/>
          <w:szCs w:val="20"/>
          <w:lang w:val="es-ES"/>
        </w:rPr>
        <w:tab/>
      </w:r>
      <w:r w:rsidR="00D43EE9" w:rsidRPr="00DE5A4B">
        <w:rPr>
          <w:rFonts w:ascii="AGaramond" w:hAnsi="AGaramond"/>
          <w:b/>
          <w:bCs/>
          <w:sz w:val="22"/>
          <w:szCs w:val="20"/>
          <w:lang w:val="es-ES"/>
        </w:rPr>
        <w:tab/>
      </w:r>
      <w:r w:rsidR="00D43EE9" w:rsidRPr="00DE5A4B">
        <w:rPr>
          <w:rFonts w:ascii="AGaramond" w:hAnsi="AGaramond"/>
          <w:b/>
          <w:bCs/>
          <w:sz w:val="22"/>
          <w:szCs w:val="20"/>
          <w:lang w:val="es-ES"/>
        </w:rPr>
        <w:tab/>
      </w:r>
      <w:r w:rsidR="00D43EE9" w:rsidRPr="00DE5A4B">
        <w:rPr>
          <w:rFonts w:ascii="AGaramond" w:hAnsi="AGaramond"/>
          <w:b/>
          <w:bCs/>
          <w:sz w:val="22"/>
          <w:szCs w:val="20"/>
          <w:lang w:val="es-ES"/>
        </w:rPr>
        <w:tab/>
      </w:r>
    </w:p>
    <w:p w14:paraId="6606FAAD" w14:textId="14AE9EA6" w:rsidR="00DE5A4B" w:rsidRDefault="00D43EE9" w:rsidP="00DE5A4B">
      <w:pPr>
        <w:pStyle w:val="NormalWeb"/>
        <w:spacing w:before="0" w:beforeAutospacing="0" w:after="0" w:afterAutospacing="0" w:line="276" w:lineRule="auto"/>
        <w:ind w:left="426" w:right="1560"/>
        <w:rPr>
          <w:rFonts w:ascii="AGaramond" w:hAnsi="AGaramond"/>
          <w:sz w:val="22"/>
          <w:szCs w:val="20"/>
          <w:lang w:val="es-ES"/>
        </w:rPr>
      </w:pPr>
      <w:r w:rsidRPr="00DE5A4B">
        <w:rPr>
          <w:rFonts w:ascii="AGaramond" w:hAnsi="AGaramond"/>
          <w:sz w:val="22"/>
          <w:szCs w:val="20"/>
          <w:lang w:val="es-ES"/>
        </w:rPr>
        <w:t xml:space="preserve">Venezuela. Pirámides </w:t>
      </w:r>
      <w:r w:rsidR="00DE5A4B">
        <w:rPr>
          <w:rFonts w:ascii="AGaramond" w:hAnsi="AGaramond"/>
          <w:sz w:val="22"/>
          <w:szCs w:val="20"/>
          <w:lang w:val="es-ES"/>
        </w:rPr>
        <w:t>p</w:t>
      </w:r>
      <w:r w:rsidRPr="00DE5A4B">
        <w:rPr>
          <w:rFonts w:ascii="AGaramond" w:hAnsi="AGaramond"/>
          <w:sz w:val="22"/>
          <w:szCs w:val="20"/>
          <w:lang w:val="es-ES"/>
        </w:rPr>
        <w:t>oblacionales. Años 2000 y 2020</w:t>
      </w:r>
      <w:r w:rsidRPr="00DE5A4B">
        <w:rPr>
          <w:rFonts w:ascii="AGaramond" w:hAnsi="AGaramond"/>
          <w:sz w:val="22"/>
          <w:szCs w:val="20"/>
          <w:lang w:val="es-ES"/>
        </w:rPr>
        <w:tab/>
      </w:r>
    </w:p>
    <w:p w14:paraId="4DA5DD8D" w14:textId="29BD80E8" w:rsidR="00D43EE9" w:rsidRPr="00D43EE9" w:rsidRDefault="00D43EE9" w:rsidP="00DE5A4B">
      <w:pPr>
        <w:pStyle w:val="NormalWeb"/>
        <w:spacing w:before="0" w:beforeAutospacing="0" w:after="240" w:afterAutospacing="0" w:line="276" w:lineRule="auto"/>
        <w:ind w:left="284" w:right="1560"/>
        <w:rPr>
          <w:rFonts w:ascii="AGaramond" w:hAnsi="AGaramond"/>
          <w:lang w:val="es-ES"/>
        </w:rPr>
      </w:pPr>
      <w:r w:rsidRPr="00D43EE9">
        <w:rPr>
          <w:rFonts w:ascii="AGaramond" w:hAnsi="AGaramond"/>
          <w:lang w:val="es-ES"/>
        </w:rPr>
        <w:tab/>
      </w:r>
      <w:r w:rsidRPr="00D43EE9">
        <w:rPr>
          <w:rFonts w:ascii="AGaramond" w:hAnsi="AGaramond"/>
          <w:lang w:val="es-ES"/>
        </w:rPr>
        <w:tab/>
      </w:r>
      <w:r w:rsidRPr="00D43EE9">
        <w:rPr>
          <w:rFonts w:ascii="AGaramond" w:hAnsi="AGaramond"/>
          <w:lang w:val="es-ES"/>
        </w:rPr>
        <w:tab/>
      </w:r>
      <w:r w:rsidRPr="00D43EE9">
        <w:rPr>
          <w:rFonts w:ascii="AGaramond" w:hAnsi="AGaramond"/>
          <w:lang w:val="es-ES"/>
        </w:rPr>
        <w:tab/>
      </w:r>
      <w:r w:rsidRPr="00D43EE9">
        <w:rPr>
          <w:rFonts w:ascii="AGaramond" w:hAnsi="AGaramond"/>
          <w:noProof/>
          <w:lang w:val="es-ES"/>
        </w:rPr>
        <w:drawing>
          <wp:inline distT="0" distB="0" distL="0" distR="0" wp14:anchorId="48869852" wp14:editId="6014D939">
            <wp:extent cx="4411980" cy="6850380"/>
            <wp:effectExtent l="0" t="0" r="762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1980" cy="6850380"/>
                    </a:xfrm>
                    <a:prstGeom prst="rect">
                      <a:avLst/>
                    </a:prstGeom>
                    <a:noFill/>
                    <a:ln>
                      <a:noFill/>
                    </a:ln>
                  </pic:spPr>
                </pic:pic>
              </a:graphicData>
            </a:graphic>
          </wp:inline>
        </w:drawing>
      </w:r>
    </w:p>
    <w:p w14:paraId="6F314C00" w14:textId="77777777" w:rsidR="00D43EE9" w:rsidRPr="00D43EE9" w:rsidRDefault="00D43EE9" w:rsidP="00D43EE9">
      <w:pPr>
        <w:pStyle w:val="NormalWeb"/>
        <w:rPr>
          <w:rFonts w:ascii="AGaramond" w:hAnsi="AGaramond"/>
          <w:sz w:val="20"/>
          <w:szCs w:val="20"/>
          <w:lang w:val="es-ES"/>
        </w:rPr>
      </w:pPr>
    </w:p>
    <w:p w14:paraId="492B6BE6" w14:textId="5DFEC71E" w:rsidR="00D43EE9" w:rsidRPr="00D43EE9" w:rsidRDefault="00DE5A4B" w:rsidP="00DE5A4B">
      <w:pPr>
        <w:pStyle w:val="Ttulos"/>
        <w:rPr>
          <w:lang w:val="es-ES"/>
        </w:rPr>
      </w:pPr>
      <w:r w:rsidRPr="00D43EE9">
        <w:rPr>
          <w:lang w:val="es-ES"/>
        </w:rPr>
        <w:lastRenderedPageBreak/>
        <w:t>FUENTES DE DATOS</w:t>
      </w:r>
    </w:p>
    <w:p w14:paraId="59796392" w14:textId="0AA32FDB" w:rsidR="00D43EE9" w:rsidRPr="00D43EE9" w:rsidRDefault="00D43EE9" w:rsidP="00E752DA">
      <w:pPr>
        <w:pStyle w:val="PrrafoTDC"/>
        <w:ind w:left="284" w:hanging="284"/>
        <w:rPr>
          <w:lang w:eastAsia="es-VE"/>
        </w:rPr>
      </w:pPr>
      <w:r w:rsidRPr="00D43EE9">
        <w:rPr>
          <w:lang w:eastAsia="es-VE"/>
        </w:rPr>
        <w:t>CEPAL-CELADE. (Comisión Económica para América Latina y el Caribe</w:t>
      </w:r>
      <w:r w:rsidR="00E752DA">
        <w:rPr>
          <w:lang w:eastAsia="es-VE"/>
        </w:rPr>
        <w:t xml:space="preserve">, </w:t>
      </w:r>
      <w:r w:rsidRPr="00D43EE9">
        <w:rPr>
          <w:lang w:eastAsia="es-VE"/>
        </w:rPr>
        <w:t>Centro Latinoamericano y Caribeño de Demografía)</w:t>
      </w:r>
      <w:r w:rsidR="00E752DA">
        <w:rPr>
          <w:lang w:eastAsia="es-VE"/>
        </w:rPr>
        <w:t>.</w:t>
      </w:r>
      <w:r w:rsidRPr="00D43EE9">
        <w:rPr>
          <w:lang w:eastAsia="es-VE"/>
        </w:rPr>
        <w:t xml:space="preserve"> </w:t>
      </w:r>
      <w:r w:rsidRPr="00D43EE9">
        <w:rPr>
          <w:i/>
          <w:lang w:eastAsia="es-VE"/>
        </w:rPr>
        <w:t xml:space="preserve">Estimaciones y </w:t>
      </w:r>
      <w:r w:rsidR="00E752DA" w:rsidRPr="00D43EE9">
        <w:rPr>
          <w:i/>
          <w:lang w:eastAsia="es-VE"/>
        </w:rPr>
        <w:t>proyecciones de población a largo plazo</w:t>
      </w:r>
      <w:r w:rsidRPr="00D43EE9">
        <w:rPr>
          <w:i/>
          <w:lang w:eastAsia="es-VE"/>
        </w:rPr>
        <w:t>.</w:t>
      </w:r>
      <w:r w:rsidR="001F3200">
        <w:rPr>
          <w:i/>
          <w:lang w:eastAsia="es-VE"/>
        </w:rPr>
        <w:t xml:space="preserve"> </w:t>
      </w:r>
      <w:r w:rsidRPr="00D43EE9">
        <w:rPr>
          <w:i/>
          <w:lang w:eastAsia="es-VE"/>
        </w:rPr>
        <w:t xml:space="preserve">1950-2100. Revisión 2019. </w:t>
      </w:r>
      <w:hyperlink r:id="rId18" w:history="1">
        <w:r w:rsidR="00E752DA" w:rsidRPr="00B96434">
          <w:rPr>
            <w:rStyle w:val="Hipervnculo"/>
            <w:lang w:eastAsia="es-VE"/>
          </w:rPr>
          <w:t>https://www.cepal.org/es/temas/proyecciones-demograficas/america-latina-caribe-estimaciones-proyecciones-poblacion</w:t>
        </w:r>
      </w:hyperlink>
      <w:r w:rsidR="00E752DA">
        <w:rPr>
          <w:lang w:eastAsia="es-VE"/>
        </w:rPr>
        <w:t>.</w:t>
      </w:r>
    </w:p>
    <w:p w14:paraId="59B9B750" w14:textId="731264D1" w:rsidR="00D43EE9" w:rsidRPr="00D43EE9" w:rsidRDefault="00E752DA" w:rsidP="00E752DA">
      <w:pPr>
        <w:pStyle w:val="PrrafoTDC"/>
        <w:ind w:left="284" w:hanging="284"/>
        <w:rPr>
          <w:lang w:val="en-US" w:eastAsia="es-VE"/>
        </w:rPr>
      </w:pPr>
      <w:r w:rsidRPr="00D43EE9">
        <w:rPr>
          <w:lang w:val="en-US" w:eastAsia="es-VE"/>
        </w:rPr>
        <w:t>UN</w:t>
      </w:r>
      <w:r w:rsidR="00F21EAA">
        <w:rPr>
          <w:lang w:val="en-US" w:eastAsia="es-VE"/>
        </w:rPr>
        <w:t>.</w:t>
      </w:r>
      <w:r w:rsidRPr="00D43EE9">
        <w:rPr>
          <w:lang w:val="en-US" w:eastAsia="es-VE"/>
        </w:rPr>
        <w:t xml:space="preserve"> United</w:t>
      </w:r>
      <w:r w:rsidR="00D43EE9" w:rsidRPr="00D43EE9">
        <w:rPr>
          <w:lang w:val="en-US" w:eastAsia="es-VE"/>
        </w:rPr>
        <w:t xml:space="preserve"> Nations, Department of Economic and Social Affairs, Population Division</w:t>
      </w:r>
      <w:r>
        <w:rPr>
          <w:lang w:val="en-US" w:eastAsia="es-VE"/>
        </w:rPr>
        <w:t>.</w:t>
      </w:r>
    </w:p>
    <w:p w14:paraId="44BA6E4D" w14:textId="23B29B91" w:rsidR="00D43EE9" w:rsidRPr="00D43EE9" w:rsidRDefault="00D43EE9" w:rsidP="00E752DA">
      <w:pPr>
        <w:pStyle w:val="PrrafoTDC"/>
        <w:ind w:left="284" w:hanging="284"/>
        <w:rPr>
          <w:sz w:val="24"/>
          <w:lang w:val="en-US"/>
        </w:rPr>
      </w:pPr>
      <w:r w:rsidRPr="00D43EE9">
        <w:rPr>
          <w:lang w:val="en-US" w:eastAsia="es-VE"/>
        </w:rPr>
        <w:t>World Population Prospects 2019, Online Edition. Rev. 1.</w:t>
      </w:r>
      <w:r w:rsidRPr="00D43EE9">
        <w:rPr>
          <w:lang w:val="en-US"/>
        </w:rPr>
        <w:t xml:space="preserve"> </w:t>
      </w:r>
      <w:r w:rsidR="00CF0CC5">
        <w:fldChar w:fldCharType="begin"/>
      </w:r>
      <w:r w:rsidR="00CF0CC5" w:rsidRPr="00345013">
        <w:rPr>
          <w:lang w:val="en-US"/>
        </w:rPr>
        <w:instrText xml:space="preserve"> HYPERLINK "https://population.un.org/wpp/" </w:instrText>
      </w:r>
      <w:r w:rsidR="00CF0CC5">
        <w:fldChar w:fldCharType="separate"/>
      </w:r>
      <w:r w:rsidR="00E752DA" w:rsidRPr="00B96434">
        <w:rPr>
          <w:rStyle w:val="Hipervnculo"/>
          <w:lang w:val="en-US" w:eastAsia="es-VE"/>
        </w:rPr>
        <w:t>https://population.un.org/wpp/</w:t>
      </w:r>
      <w:r w:rsidR="00CF0CC5">
        <w:rPr>
          <w:rStyle w:val="Hipervnculo"/>
          <w:lang w:val="en-US" w:eastAsia="es-VE"/>
        </w:rPr>
        <w:fldChar w:fldCharType="end"/>
      </w:r>
      <w:r w:rsidR="00E752DA">
        <w:rPr>
          <w:lang w:val="en-US" w:eastAsia="es-VE"/>
        </w:rPr>
        <w:t>.</w:t>
      </w:r>
      <w:r w:rsidRPr="00D43EE9">
        <w:rPr>
          <w:lang w:val="en-US"/>
        </w:rPr>
        <w:tab/>
      </w:r>
    </w:p>
    <w:p w14:paraId="1C39D07D" w14:textId="77777777" w:rsidR="00F21EAA" w:rsidRPr="00FA7142" w:rsidRDefault="00F21EAA">
      <w:pPr>
        <w:rPr>
          <w:rFonts w:ascii="AGaramond" w:hAnsi="AGaramond" w:cs="Times New Roman"/>
          <w:b/>
          <w:lang w:val="en-US"/>
        </w:rPr>
      </w:pPr>
      <w:r w:rsidRPr="00FA7142">
        <w:rPr>
          <w:lang w:val="en-US"/>
        </w:rPr>
        <w:br w:type="page"/>
      </w:r>
    </w:p>
    <w:p w14:paraId="3B2E2ACF" w14:textId="6796B8BB" w:rsidR="00D43EE9" w:rsidRPr="00D43EE9" w:rsidRDefault="00E752DA" w:rsidP="00E752DA">
      <w:pPr>
        <w:pStyle w:val="Ttulos"/>
        <w:rPr>
          <w:lang w:val="es-ES"/>
        </w:rPr>
      </w:pPr>
      <w:r w:rsidRPr="00D43EE9">
        <w:rPr>
          <w:lang w:val="es-ES"/>
        </w:rPr>
        <w:lastRenderedPageBreak/>
        <w:t>GLOSARIO</w:t>
      </w:r>
    </w:p>
    <w:p w14:paraId="5366798D" w14:textId="7818BFB0" w:rsidR="00D43EE9" w:rsidRPr="00D43EE9" w:rsidRDefault="00D43EE9" w:rsidP="00E752DA">
      <w:pPr>
        <w:pStyle w:val="PrrafoTDC"/>
      </w:pPr>
      <w:r w:rsidRPr="00D43EE9">
        <w:rPr>
          <w:b/>
        </w:rPr>
        <w:t>Edad media de la fecundidad</w:t>
      </w:r>
      <w:r w:rsidRPr="00D43EE9">
        <w:t xml:space="preserve">: </w:t>
      </w:r>
      <w:r w:rsidR="00E752DA" w:rsidRPr="00D43EE9">
        <w:t>representa la</w:t>
      </w:r>
      <w:r w:rsidRPr="00D43EE9">
        <w:t xml:space="preserve"> edad promedio en que las mujeres tienen sus hijos. </w:t>
      </w:r>
    </w:p>
    <w:p w14:paraId="1D51F216" w14:textId="2BDB15D7" w:rsidR="00D43EE9" w:rsidRPr="00D43EE9" w:rsidRDefault="00D43EE9" w:rsidP="00E752DA">
      <w:pPr>
        <w:pStyle w:val="PrrafoTDC"/>
      </w:pPr>
      <w:r w:rsidRPr="00D43EE9">
        <w:rPr>
          <w:b/>
        </w:rPr>
        <w:t>Edad mediana de la población</w:t>
      </w:r>
      <w:r w:rsidRPr="00D43EE9">
        <w:t xml:space="preserve">: representa la edad que </w:t>
      </w:r>
      <w:r w:rsidR="00E752DA">
        <w:t xml:space="preserve">se </w:t>
      </w:r>
      <w:r w:rsidRPr="00D43EE9">
        <w:t>divide a la población en dos grupos numéricamente iguales.</w:t>
      </w:r>
    </w:p>
    <w:p w14:paraId="6BC103FD" w14:textId="77777777" w:rsidR="00D43EE9" w:rsidRPr="00D43EE9" w:rsidRDefault="00D43EE9" w:rsidP="00E752DA">
      <w:pPr>
        <w:pStyle w:val="PrrafoTDC"/>
      </w:pPr>
      <w:r w:rsidRPr="00D43EE9">
        <w:rPr>
          <w:b/>
        </w:rPr>
        <w:t>Esperanza de vida al nacer</w:t>
      </w:r>
      <w:r w:rsidRPr="00D43EE9">
        <w:t xml:space="preserve">: representa el número de años que en promedio vivirían los integrantes de una cohorte hipotética sujeta a la mortalidad imperante en la población en estudio desde su nacimiento hasta su extinción. </w:t>
      </w:r>
    </w:p>
    <w:p w14:paraId="66C3047B" w14:textId="1A910551" w:rsidR="00D43EE9" w:rsidRPr="00D43EE9" w:rsidRDefault="00D43EE9" w:rsidP="00E752DA">
      <w:pPr>
        <w:pStyle w:val="PrrafoTDC"/>
        <w:rPr>
          <w:lang w:eastAsia="es-VE"/>
        </w:rPr>
      </w:pPr>
      <w:r w:rsidRPr="00D43EE9">
        <w:rPr>
          <w:b/>
        </w:rPr>
        <w:t>El índice de envejecimiento</w:t>
      </w:r>
      <w:r w:rsidR="001F3200">
        <w:rPr>
          <w:b/>
        </w:rPr>
        <w:t>:</w:t>
      </w:r>
      <w:r w:rsidRPr="00D43EE9">
        <w:rPr>
          <w:b/>
        </w:rPr>
        <w:t xml:space="preserve"> </w:t>
      </w:r>
      <w:r w:rsidR="00E752DA" w:rsidRPr="00D43EE9">
        <w:rPr>
          <w:lang w:eastAsia="es-VE"/>
        </w:rPr>
        <w:t>número</w:t>
      </w:r>
      <w:r w:rsidRPr="00D43EE9">
        <w:rPr>
          <w:lang w:eastAsia="es-VE"/>
        </w:rPr>
        <w:t xml:space="preserve"> de personas de 65 años y más por cada cien personas menores de 15 años. </w:t>
      </w:r>
    </w:p>
    <w:p w14:paraId="628FE163" w14:textId="77777777" w:rsidR="00D43EE9" w:rsidRPr="00D43EE9" w:rsidRDefault="00D43EE9" w:rsidP="00E752DA">
      <w:pPr>
        <w:pStyle w:val="PrrafoTDC"/>
        <w:rPr>
          <w:rFonts w:cs="Times New Roman"/>
        </w:rPr>
      </w:pPr>
      <w:r w:rsidRPr="00D43EE9">
        <w:rPr>
          <w:b/>
        </w:rPr>
        <w:t>Porcentaje de población menor de 15 años</w:t>
      </w:r>
      <w:r w:rsidRPr="00D43EE9">
        <w:t>: relación porcentual entre la población menor de 15 años y la población total.</w:t>
      </w:r>
    </w:p>
    <w:p w14:paraId="44C672B9" w14:textId="35BF1658" w:rsidR="00D43EE9" w:rsidRPr="00D43EE9" w:rsidRDefault="00D43EE9" w:rsidP="00E752DA">
      <w:pPr>
        <w:pStyle w:val="PrrafoTDC"/>
      </w:pPr>
      <w:r w:rsidRPr="00D43EE9">
        <w:rPr>
          <w:b/>
        </w:rPr>
        <w:t>Porcentaje de población de 15 a 24 años</w:t>
      </w:r>
      <w:r w:rsidRPr="00D43EE9">
        <w:t>: relación porcentual entre la población de 15 a 24 años y la población total</w:t>
      </w:r>
      <w:r w:rsidR="00E752DA">
        <w:t>.</w:t>
      </w:r>
    </w:p>
    <w:p w14:paraId="0C2C024B" w14:textId="77777777" w:rsidR="00D43EE9" w:rsidRPr="00D43EE9" w:rsidRDefault="00D43EE9" w:rsidP="00E752DA">
      <w:pPr>
        <w:pStyle w:val="PrrafoTDC"/>
      </w:pPr>
      <w:r w:rsidRPr="00D43EE9">
        <w:rPr>
          <w:b/>
        </w:rPr>
        <w:t>Porcentaje de población de 25 a 64 años</w:t>
      </w:r>
      <w:r w:rsidRPr="00D43EE9">
        <w:t>: relación porcentual entre la población de 25 a 64 años y la población total.</w:t>
      </w:r>
    </w:p>
    <w:p w14:paraId="0F60BDFB" w14:textId="77777777" w:rsidR="00D43EE9" w:rsidRPr="00D43EE9" w:rsidRDefault="00D43EE9" w:rsidP="00E752DA">
      <w:pPr>
        <w:pStyle w:val="PrrafoTDC"/>
        <w:rPr>
          <w:b/>
        </w:rPr>
      </w:pPr>
      <w:r w:rsidRPr="00D43EE9">
        <w:rPr>
          <w:b/>
        </w:rPr>
        <w:t>Porcentaje de población de 65 años y más</w:t>
      </w:r>
      <w:r w:rsidRPr="00D43EE9">
        <w:t>: relación porcentual entre la población de 65 años y más y la población total.</w:t>
      </w:r>
    </w:p>
    <w:p w14:paraId="0D650BA5" w14:textId="77777777" w:rsidR="00D43EE9" w:rsidRPr="00D43EE9" w:rsidRDefault="00D43EE9" w:rsidP="00E752DA">
      <w:pPr>
        <w:pStyle w:val="PrrafoTDC"/>
      </w:pPr>
      <w:r w:rsidRPr="00D43EE9">
        <w:rPr>
          <w:b/>
        </w:rPr>
        <w:t>Relación de dependencia demográfica</w:t>
      </w:r>
      <w:r w:rsidRPr="00D43EE9">
        <w:t>: número de personas que se definen como dependientes (menores de 15 años y mayores de 64 años) por cada cien personas en edades potencialmente activas (15-64 años).</w:t>
      </w:r>
    </w:p>
    <w:p w14:paraId="787C7B06" w14:textId="0101100E" w:rsidR="00D43EE9" w:rsidRPr="00D43EE9" w:rsidRDefault="00D43EE9" w:rsidP="00E752DA">
      <w:pPr>
        <w:pStyle w:val="PrrafoTDC"/>
      </w:pPr>
      <w:r w:rsidRPr="00D43EE9">
        <w:rPr>
          <w:b/>
        </w:rPr>
        <w:t>Relación de dependencia-menores de 15 años:</w:t>
      </w:r>
      <w:r w:rsidRPr="00D43EE9">
        <w:t xml:space="preserve"> número de personas que se definen como dependientes menores de 15 </w:t>
      </w:r>
      <w:r w:rsidR="00E752DA" w:rsidRPr="00D43EE9">
        <w:t>años por</w:t>
      </w:r>
      <w:r w:rsidRPr="00D43EE9">
        <w:t xml:space="preserve"> cada cien personas en edades potencialmente activas (15-64 años).</w:t>
      </w:r>
    </w:p>
    <w:p w14:paraId="5A889D53" w14:textId="24A98F67" w:rsidR="00D43EE9" w:rsidRPr="00D43EE9" w:rsidRDefault="00D43EE9" w:rsidP="00E752DA">
      <w:pPr>
        <w:pStyle w:val="PrrafoTDC"/>
      </w:pPr>
      <w:r w:rsidRPr="00D43EE9">
        <w:rPr>
          <w:b/>
        </w:rPr>
        <w:t>Relación de dependencia-de 65 años y más:</w:t>
      </w:r>
      <w:r w:rsidRPr="00D43EE9">
        <w:t xml:space="preserve"> número de personas que se definen como dependientes de 65 años o </w:t>
      </w:r>
      <w:r w:rsidR="00E752DA" w:rsidRPr="00D43EE9">
        <w:t>más por</w:t>
      </w:r>
      <w:r w:rsidRPr="00D43EE9">
        <w:t xml:space="preserve"> cada cien personas en edades potencialmente activas (15-64 años).</w:t>
      </w:r>
    </w:p>
    <w:p w14:paraId="460854A4" w14:textId="77777777" w:rsidR="00D43EE9" w:rsidRPr="00D43EE9" w:rsidRDefault="00D43EE9" w:rsidP="00E752DA">
      <w:pPr>
        <w:pStyle w:val="PrrafoTDC"/>
      </w:pPr>
      <w:r w:rsidRPr="00D43EE9">
        <w:rPr>
          <w:b/>
        </w:rPr>
        <w:t>Relación de masculinidad</w:t>
      </w:r>
      <w:r w:rsidRPr="00D43EE9">
        <w:t>: número de hombres por cien mujeres en una población.</w:t>
      </w:r>
    </w:p>
    <w:p w14:paraId="48A3E91A" w14:textId="77777777" w:rsidR="00D43EE9" w:rsidRPr="00D43EE9" w:rsidRDefault="00D43EE9" w:rsidP="00E752DA">
      <w:pPr>
        <w:pStyle w:val="PrrafoTDC"/>
      </w:pPr>
      <w:r w:rsidRPr="00D43EE9">
        <w:rPr>
          <w:b/>
        </w:rPr>
        <w:t>Tasa bruta de mortalidad</w:t>
      </w:r>
      <w:r w:rsidRPr="00D43EE9">
        <w:t>: relación entre el número de defunciones registradas en un año determinado por cada mil habitantes.</w:t>
      </w:r>
    </w:p>
    <w:p w14:paraId="533255E6" w14:textId="77777777" w:rsidR="00D43EE9" w:rsidRPr="00D43EE9" w:rsidRDefault="00D43EE9" w:rsidP="00E752DA">
      <w:pPr>
        <w:pStyle w:val="PrrafoTDC"/>
      </w:pPr>
      <w:r w:rsidRPr="00D43EE9">
        <w:rPr>
          <w:b/>
        </w:rPr>
        <w:lastRenderedPageBreak/>
        <w:t>Tasa bruta de natalidad</w:t>
      </w:r>
      <w:r w:rsidRPr="00D43EE9">
        <w:t>: relación entre el número de nacimientos registrados en un año determinado por cada mil habitantes.</w:t>
      </w:r>
    </w:p>
    <w:p w14:paraId="4D162F05" w14:textId="306BF56B" w:rsidR="00D43EE9" w:rsidRPr="00D43EE9" w:rsidRDefault="00D43EE9" w:rsidP="00E752DA">
      <w:pPr>
        <w:pStyle w:val="PrrafoTDC"/>
      </w:pPr>
      <w:r w:rsidRPr="00D43EE9">
        <w:rPr>
          <w:b/>
        </w:rPr>
        <w:t>Tasa de crecimiento natural</w:t>
      </w:r>
      <w:r w:rsidRPr="00D43EE9">
        <w:t>: cociente entre el crecimiento natural anual de un determinado per</w:t>
      </w:r>
      <w:r w:rsidR="00E752DA">
        <w:t>i</w:t>
      </w:r>
      <w:r w:rsidRPr="00D43EE9">
        <w:t xml:space="preserve">odo y la población media del mismo </w:t>
      </w:r>
      <w:r w:rsidR="00E752DA">
        <w:t>periodo</w:t>
      </w:r>
      <w:r w:rsidRPr="00D43EE9">
        <w:t>.</w:t>
      </w:r>
    </w:p>
    <w:p w14:paraId="6716C42E" w14:textId="416953B4" w:rsidR="00D43EE9" w:rsidRPr="00D43EE9" w:rsidRDefault="00D43EE9" w:rsidP="00E752DA">
      <w:pPr>
        <w:pStyle w:val="PrrafoTDC"/>
      </w:pPr>
      <w:r w:rsidRPr="00D43EE9">
        <w:rPr>
          <w:b/>
        </w:rPr>
        <w:t>Tasa de crecimiento total</w:t>
      </w:r>
      <w:r w:rsidRPr="00D43EE9">
        <w:t xml:space="preserve">: cociente entre el incremento medio anual total ocurrido durante un determinado </w:t>
      </w:r>
      <w:r w:rsidR="00E752DA">
        <w:t>periodo</w:t>
      </w:r>
      <w:r w:rsidRPr="00D43EE9">
        <w:t xml:space="preserve"> y la población media del mismo per</w:t>
      </w:r>
      <w:r w:rsidR="00E752DA">
        <w:t>i</w:t>
      </w:r>
      <w:r w:rsidRPr="00D43EE9">
        <w:t>odo.</w:t>
      </w:r>
    </w:p>
    <w:p w14:paraId="6F711218" w14:textId="77777777" w:rsidR="00D43EE9" w:rsidRPr="00D43EE9" w:rsidRDefault="00D43EE9" w:rsidP="00E752DA">
      <w:pPr>
        <w:pStyle w:val="PrrafoTDC"/>
      </w:pPr>
      <w:r w:rsidRPr="00D43EE9">
        <w:rPr>
          <w:b/>
        </w:rPr>
        <w:t>Tasa de fecundidad por edad</w:t>
      </w:r>
      <w:r w:rsidRPr="00D43EE9">
        <w:t>: relación entre el número de nacimientos registrados entre las mujeres de una edad específica y en un año determinado por cada mil mujeres de esa edad.</w:t>
      </w:r>
    </w:p>
    <w:p w14:paraId="5FD00672" w14:textId="6D3FF673" w:rsidR="00D43EE9" w:rsidRPr="00D43EE9" w:rsidRDefault="00D43EE9" w:rsidP="00E752DA">
      <w:pPr>
        <w:pStyle w:val="PrrafoTDC"/>
      </w:pPr>
      <w:r w:rsidRPr="00D43EE9">
        <w:rPr>
          <w:b/>
        </w:rPr>
        <w:t xml:space="preserve">Tasa de migración: </w:t>
      </w:r>
      <w:r w:rsidRPr="00D43EE9">
        <w:t xml:space="preserve">cociente entre el saldo neto migratorio </w:t>
      </w:r>
      <w:r w:rsidR="00E752DA" w:rsidRPr="00D43EE9">
        <w:t>anual correspondiente</w:t>
      </w:r>
      <w:r w:rsidRPr="00D43EE9">
        <w:t xml:space="preserve"> a un </w:t>
      </w:r>
      <w:r w:rsidR="00E752DA">
        <w:t>periodo</w:t>
      </w:r>
      <w:r w:rsidRPr="00D43EE9">
        <w:t xml:space="preserve"> y la población media del mismo per</w:t>
      </w:r>
      <w:r w:rsidR="00E752DA">
        <w:t>i</w:t>
      </w:r>
      <w:r w:rsidRPr="00D43EE9">
        <w:t>odo</w:t>
      </w:r>
    </w:p>
    <w:p w14:paraId="4A943AA0" w14:textId="394C7474" w:rsidR="00D43EE9" w:rsidRPr="00D43EE9" w:rsidRDefault="00D43EE9" w:rsidP="00E752DA">
      <w:pPr>
        <w:pStyle w:val="PrrafoTDC"/>
      </w:pPr>
      <w:r w:rsidRPr="00D43EE9">
        <w:rPr>
          <w:b/>
        </w:rPr>
        <w:t>Tasa global de fecundidad</w:t>
      </w:r>
      <w:r w:rsidRPr="00D43EE9">
        <w:t xml:space="preserve">: representa el número de hijos que en promedio tendría una mujer a lo largo del </w:t>
      </w:r>
      <w:r w:rsidR="00E752DA">
        <w:t>periodo</w:t>
      </w:r>
      <w:r w:rsidRPr="00D43EE9">
        <w:t xml:space="preserve"> reproductivo, </w:t>
      </w:r>
      <w:r w:rsidR="00E752DA" w:rsidRPr="00D43EE9">
        <w:t>de acuerdo con</w:t>
      </w:r>
      <w:r w:rsidRPr="00D43EE9">
        <w:t xml:space="preserve"> las tasas de fecundidad por edad del </w:t>
      </w:r>
      <w:r w:rsidR="00E752DA">
        <w:t>periodo</w:t>
      </w:r>
      <w:r w:rsidRPr="00D43EE9">
        <w:t xml:space="preserve"> en estudio y no estando expuestas a riesgos de mortalidad desde el nacimiento hasta el término del </w:t>
      </w:r>
      <w:r w:rsidR="00E752DA">
        <w:t>periodo</w:t>
      </w:r>
      <w:r w:rsidRPr="00D43EE9">
        <w:t xml:space="preserve"> fértil.</w:t>
      </w:r>
    </w:p>
    <w:p w14:paraId="3209A70D" w14:textId="3319264D" w:rsidR="00D43EE9" w:rsidRPr="00D43EE9" w:rsidRDefault="00D43EE9" w:rsidP="00E752DA">
      <w:pPr>
        <w:pStyle w:val="PrrafoTDC"/>
      </w:pPr>
      <w:r w:rsidRPr="00D43EE9">
        <w:rPr>
          <w:b/>
        </w:rPr>
        <w:t>Tasa de mortalidad infantil</w:t>
      </w:r>
      <w:r w:rsidRPr="00D43EE9">
        <w:t xml:space="preserve">: </w:t>
      </w:r>
      <w:r w:rsidR="00E752DA" w:rsidRPr="00D43EE9">
        <w:t>relación entre</w:t>
      </w:r>
      <w:r w:rsidRPr="00D43EE9">
        <w:t xml:space="preserve"> el número anual de defunciones de menores de 1 </w:t>
      </w:r>
      <w:proofErr w:type="gramStart"/>
      <w:r w:rsidRPr="00D43EE9">
        <w:t>año de edad</w:t>
      </w:r>
      <w:proofErr w:type="gramEnd"/>
      <w:r w:rsidRPr="00D43EE9">
        <w:t xml:space="preserve"> por </w:t>
      </w:r>
      <w:r w:rsidR="00E752DA" w:rsidRPr="00D43EE9">
        <w:t>cada mil</w:t>
      </w:r>
      <w:r w:rsidRPr="00D43EE9">
        <w:t xml:space="preserve"> nacidos vivos registrados en dicho año.</w:t>
      </w:r>
    </w:p>
    <w:p w14:paraId="0A498AF1" w14:textId="102B62E0" w:rsidR="00D16E3F" w:rsidRPr="00D43EE9" w:rsidRDefault="00D16E3F" w:rsidP="0003652B">
      <w:pPr>
        <w:widowControl w:val="0"/>
        <w:autoSpaceDE w:val="0"/>
        <w:autoSpaceDN w:val="0"/>
        <w:spacing w:after="240" w:line="360" w:lineRule="auto"/>
        <w:ind w:firstLine="284"/>
        <w:jc w:val="both"/>
        <w:rPr>
          <w:rFonts w:ascii="AGaramond" w:hAnsi="AGaramond" w:cstheme="minorHAnsi"/>
          <w:sz w:val="22"/>
          <w:szCs w:val="22"/>
          <w:lang w:val="es-VE"/>
        </w:rPr>
      </w:pPr>
    </w:p>
    <w:sectPr w:rsidR="00D16E3F" w:rsidRPr="00D43EE9" w:rsidSect="00FA7142">
      <w:headerReference w:type="default" r:id="rId19"/>
      <w:footerReference w:type="even" r:id="rId20"/>
      <w:footerReference w:type="default" r:id="rId21"/>
      <w:headerReference w:type="first" r:id="rId22"/>
      <w:footerReference w:type="first" r:id="rId23"/>
      <w:footnotePr>
        <w:numFmt w:val="chicago"/>
      </w:footnotePr>
      <w:pgSz w:w="12240" w:h="15840"/>
      <w:pgMar w:top="713" w:right="1183" w:bottom="1417" w:left="1275" w:header="713" w:footer="708" w:gutter="0"/>
      <w:pgNumType w:start="16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CA15F" w14:textId="77777777" w:rsidR="00CF0CC5" w:rsidRDefault="00CF0CC5" w:rsidP="00DD28DE">
      <w:r>
        <w:separator/>
      </w:r>
    </w:p>
  </w:endnote>
  <w:endnote w:type="continuationSeparator" w:id="0">
    <w:p w14:paraId="3A59DBA6" w14:textId="77777777" w:rsidR="00CF0CC5" w:rsidRDefault="00CF0CC5" w:rsidP="00DD2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1" w:fontKey="{B6606043-3599-4771-A2A3-D22A6AEC3436}"/>
    <w:embedBold r:id="rId2" w:fontKey="{B96CA92E-3F46-4B23-A5A3-2DCD0F833C60}"/>
    <w:embedItalic r:id="rId3" w:fontKey="{17702C2A-B51E-41CF-BB73-749736F42A48}"/>
    <w:embedBoldItalic r:id="rId4" w:fontKey="{FB31A317-B213-44F0-9D24-3CC546F7CA43}"/>
  </w:font>
  <w:font w:name="Tahoma">
    <w:panose1 w:val="020B0604030504040204"/>
    <w:charset w:val="00"/>
    <w:family w:val="swiss"/>
    <w:pitch w:val="variable"/>
    <w:sig w:usb0="E1002EFF" w:usb1="C000605B" w:usb2="00000029" w:usb3="00000000" w:csb0="000101FF" w:csb1="00000000"/>
    <w:embedRegular r:id="rId5" w:fontKey="{A88C8D49-B3D3-4CE8-A091-279D60D7D5D8}"/>
  </w:font>
  <w:font w:name="Arial MT">
    <w:altName w:val="Arial"/>
    <w:charset w:val="01"/>
    <w:family w:val="swiss"/>
    <w:pitch w:val="variable"/>
  </w:font>
  <w:font w:name="AGaramond">
    <w:panose1 w:val="02020500000000000000"/>
    <w:charset w:val="00"/>
    <w:family w:val="roman"/>
    <w:notTrueType/>
    <w:pitch w:val="variable"/>
    <w:sig w:usb0="800000AF" w:usb1="4000004A" w:usb2="00000000" w:usb3="00000000" w:csb0="00000001" w:csb1="00000000"/>
  </w:font>
  <w:font w:name="Times">
    <w:panose1 w:val="02020603050405020304"/>
    <w:charset w:val="00"/>
    <w:family w:val="auto"/>
    <w:pitch w:val="variable"/>
    <w:sig w:usb0="E00002FF" w:usb1="5000205A" w:usb2="00000000" w:usb3="00000000" w:csb0="0000019F" w:csb1="00000000"/>
    <w:embedItalic r:id="rId6" w:fontKey="{7A3BA9B2-A26E-4FD3-BE7B-A3D767CEB6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019438407"/>
      <w:docPartObj>
        <w:docPartGallery w:val="Page Numbers (Bottom of Page)"/>
        <w:docPartUnique/>
      </w:docPartObj>
    </w:sdtPr>
    <w:sdtEndPr>
      <w:rPr>
        <w:rStyle w:val="Nmerodepgina"/>
      </w:rPr>
    </w:sdtEndPr>
    <w:sdtContent>
      <w:p w14:paraId="52DE739E" w14:textId="77777777" w:rsidR="00DD28DE" w:rsidRDefault="00A418C7" w:rsidP="00B042F8">
        <w:pPr>
          <w:pStyle w:val="Piedepgina"/>
          <w:framePr w:wrap="none" w:vAnchor="text" w:hAnchor="margin" w:xAlign="right" w:y="1"/>
          <w:rPr>
            <w:rStyle w:val="Nmerodepgina"/>
          </w:rPr>
        </w:pPr>
        <w:r>
          <w:rPr>
            <w:rStyle w:val="Nmerodepgina"/>
          </w:rPr>
          <w:fldChar w:fldCharType="begin"/>
        </w:r>
        <w:r w:rsidR="00DD28DE">
          <w:rPr>
            <w:rStyle w:val="Nmerodepgina"/>
          </w:rPr>
          <w:instrText xml:space="preserve"> PAGE </w:instrText>
        </w:r>
        <w:r>
          <w:rPr>
            <w:rStyle w:val="Nmerodepgina"/>
          </w:rPr>
          <w:fldChar w:fldCharType="end"/>
        </w:r>
      </w:p>
    </w:sdtContent>
  </w:sdt>
  <w:p w14:paraId="3B066205" w14:textId="77777777" w:rsidR="00DD28DE" w:rsidRDefault="00DD28DE" w:rsidP="00DD28DE">
    <w:pPr>
      <w:pStyle w:val="Piedepgina"/>
      <w:ind w:right="360"/>
    </w:pPr>
  </w:p>
  <w:p w14:paraId="261F7C06" w14:textId="77777777" w:rsidR="00AE1EC3" w:rsidRDefault="00AE1EC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AGaramond" w:hAnsi="AGaramond"/>
      </w:rPr>
      <w:id w:val="1317304555"/>
      <w:docPartObj>
        <w:docPartGallery w:val="Page Numbers (Bottom of Page)"/>
        <w:docPartUnique/>
      </w:docPartObj>
    </w:sdtPr>
    <w:sdtEndPr>
      <w:rPr>
        <w:rStyle w:val="Nmerodepgina"/>
      </w:rPr>
    </w:sdtEndPr>
    <w:sdtContent>
      <w:p w14:paraId="1EAB36E8" w14:textId="303CFE34" w:rsidR="00DD28DE" w:rsidRPr="00B7573F" w:rsidRDefault="00A418C7" w:rsidP="00DD28DE">
        <w:pPr>
          <w:pStyle w:val="Piedepgina"/>
          <w:framePr w:wrap="none" w:vAnchor="text" w:hAnchor="page" w:x="10991" w:y="161"/>
          <w:rPr>
            <w:rStyle w:val="Nmerodepgina"/>
            <w:rFonts w:ascii="AGaramond" w:hAnsi="AGaramond"/>
          </w:rPr>
        </w:pPr>
        <w:r w:rsidRPr="00B7573F">
          <w:rPr>
            <w:rStyle w:val="Nmerodepgina"/>
            <w:rFonts w:ascii="AGaramond" w:hAnsi="AGaramond"/>
          </w:rPr>
          <w:fldChar w:fldCharType="begin"/>
        </w:r>
        <w:r w:rsidR="00DD28DE" w:rsidRPr="00B7573F">
          <w:rPr>
            <w:rStyle w:val="Nmerodepgina"/>
            <w:rFonts w:ascii="AGaramond" w:hAnsi="AGaramond"/>
          </w:rPr>
          <w:instrText xml:space="preserve"> PAGE </w:instrText>
        </w:r>
        <w:r w:rsidRPr="00B7573F">
          <w:rPr>
            <w:rStyle w:val="Nmerodepgina"/>
            <w:rFonts w:ascii="AGaramond" w:hAnsi="AGaramond"/>
          </w:rPr>
          <w:fldChar w:fldCharType="separate"/>
        </w:r>
        <w:r w:rsidR="00232888" w:rsidRPr="00B7573F">
          <w:rPr>
            <w:rStyle w:val="Nmerodepgina"/>
            <w:rFonts w:ascii="AGaramond" w:hAnsi="AGaramond"/>
            <w:noProof/>
          </w:rPr>
          <w:t>1</w:t>
        </w:r>
        <w:r w:rsidRPr="00B7573F">
          <w:rPr>
            <w:rStyle w:val="Nmerodepgina"/>
            <w:rFonts w:ascii="AGaramond" w:hAnsi="AGaramond"/>
          </w:rPr>
          <w:fldChar w:fldCharType="end"/>
        </w:r>
      </w:p>
    </w:sdtContent>
  </w:sdt>
  <w:p w14:paraId="29662066" w14:textId="77595DD4" w:rsidR="00DD28DE" w:rsidRPr="00B7573F" w:rsidRDefault="00F16B86" w:rsidP="001E793C">
    <w:pPr>
      <w:pStyle w:val="Ningnestilodeprrafo"/>
      <w:spacing w:line="240" w:lineRule="auto"/>
      <w:ind w:right="710"/>
      <w:jc w:val="right"/>
      <w:rPr>
        <w:rFonts w:ascii="AGaramond" w:hAnsi="AGaramond" w:cs="Times"/>
        <w:iCs/>
        <w:sz w:val="16"/>
        <w:szCs w:val="16"/>
        <w:lang w:val="es-VE"/>
      </w:rPr>
    </w:pPr>
    <w:r w:rsidRPr="00B7573F">
      <w:rPr>
        <w:rFonts w:ascii="AGaramond" w:hAnsi="AGaramond" w:cs="Times"/>
        <w:iCs/>
        <w:noProof/>
        <w:sz w:val="16"/>
        <w:szCs w:val="16"/>
        <w:lang w:val="es-VE" w:eastAsia="es-VE"/>
      </w:rPr>
      <mc:AlternateContent>
        <mc:Choice Requires="wps">
          <w:drawing>
            <wp:anchor distT="0" distB="0" distL="114300" distR="114300" simplePos="0" relativeHeight="251652096" behindDoc="0" locked="0" layoutInCell="1" allowOverlap="1" wp14:anchorId="0B49BD65" wp14:editId="64989018">
              <wp:simplePos x="0" y="0"/>
              <wp:positionH relativeFrom="column">
                <wp:posOffset>6033770</wp:posOffset>
              </wp:positionH>
              <wp:positionV relativeFrom="paragraph">
                <wp:posOffset>14605</wp:posOffset>
              </wp:positionV>
              <wp:extent cx="0" cy="796290"/>
              <wp:effectExtent l="0" t="0" r="38100" b="22860"/>
              <wp:wrapNone/>
              <wp:docPr id="5"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96290"/>
                      </a:xfrm>
                      <a:prstGeom prst="line">
                        <a:avLst/>
                      </a:prstGeom>
                      <a:noFill/>
                      <a:ln w="952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AFB2D" id="Conector recto 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1pt,1.15pt" to="475.1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" strokecolor="black [3200]">
              <v:stroke joinstyle="miter"/>
              <o:lock v:ext="edit" shapetype="f"/>
            </v:line>
          </w:pict>
        </mc:Fallback>
      </mc:AlternateContent>
    </w:r>
    <w:r w:rsidR="00575408" w:rsidRPr="00B7573F">
      <w:rPr>
        <w:rFonts w:ascii="AGaramond" w:hAnsi="AGaramond" w:cs="Times"/>
        <w:iCs/>
        <w:sz w:val="16"/>
        <w:szCs w:val="16"/>
        <w:lang w:val="es-VE"/>
      </w:rPr>
      <w:t xml:space="preserve"> Temas de Coyuntura </w:t>
    </w:r>
    <w:r w:rsidR="00DD28DE" w:rsidRPr="00B7573F">
      <w:rPr>
        <w:rFonts w:ascii="AGaramond" w:hAnsi="AGaramond" w:cs="Times"/>
        <w:iCs/>
        <w:sz w:val="16"/>
        <w:szCs w:val="16"/>
        <w:lang w:val="es-VE"/>
      </w:rPr>
      <w:t>N</w:t>
    </w:r>
    <w:r w:rsidR="0022144A">
      <w:rPr>
        <w:rFonts w:ascii="AGaramond" w:hAnsi="AGaramond" w:cs="Times"/>
        <w:iCs/>
        <w:sz w:val="16"/>
        <w:szCs w:val="16"/>
        <w:lang w:val="es-VE"/>
      </w:rPr>
      <w:t>.</w:t>
    </w:r>
    <w:r w:rsidR="00DD28DE" w:rsidRPr="00B7573F">
      <w:rPr>
        <w:rFonts w:ascii="AGaramond" w:hAnsi="AGaramond" w:cs="Times"/>
        <w:iCs/>
        <w:sz w:val="16"/>
        <w:szCs w:val="16"/>
        <w:lang w:val="es-VE"/>
      </w:rPr>
      <w:t xml:space="preserve">º </w:t>
    </w:r>
    <w:r w:rsidR="001755B8">
      <w:rPr>
        <w:rFonts w:ascii="AGaramond" w:hAnsi="AGaramond" w:cs="Times"/>
        <w:iCs/>
        <w:sz w:val="16"/>
        <w:szCs w:val="16"/>
        <w:lang w:val="es-VE"/>
      </w:rPr>
      <w:t>82</w:t>
    </w:r>
    <w:r w:rsidR="005B0CCF">
      <w:rPr>
        <w:rFonts w:ascii="AGaramond" w:hAnsi="AGaramond" w:cs="Times"/>
        <w:iCs/>
        <w:sz w:val="16"/>
        <w:szCs w:val="16"/>
        <w:lang w:val="es-VE"/>
      </w:rPr>
      <w:t>-</w:t>
    </w:r>
    <w:r w:rsidR="00E27708">
      <w:rPr>
        <w:rFonts w:ascii="AGaramond" w:hAnsi="AGaramond" w:cs="Times"/>
        <w:iCs/>
        <w:sz w:val="16"/>
        <w:szCs w:val="16"/>
        <w:lang w:val="es-VE"/>
      </w:rPr>
      <w:t>8</w:t>
    </w:r>
    <w:r w:rsidR="001755B8">
      <w:rPr>
        <w:rFonts w:ascii="AGaramond" w:hAnsi="AGaramond" w:cs="Times"/>
        <w:iCs/>
        <w:sz w:val="16"/>
        <w:szCs w:val="16"/>
        <w:lang w:val="es-VE"/>
      </w:rPr>
      <w:t>3</w:t>
    </w:r>
  </w:p>
  <w:p w14:paraId="4DF5B2C9" w14:textId="2128CC08" w:rsidR="00DD28DE" w:rsidRPr="00B7573F" w:rsidRDefault="00DD28DE" w:rsidP="001E793C">
    <w:pPr>
      <w:pStyle w:val="Ningnestilodeprrafo"/>
      <w:spacing w:line="240" w:lineRule="auto"/>
      <w:ind w:right="710"/>
      <w:jc w:val="right"/>
      <w:rPr>
        <w:rFonts w:ascii="AGaramond" w:hAnsi="AGaramond" w:cs="Times"/>
        <w:iCs/>
        <w:sz w:val="16"/>
        <w:szCs w:val="16"/>
        <w:lang w:val="es-VE"/>
      </w:rPr>
    </w:pPr>
    <w:r w:rsidRPr="00B7573F">
      <w:rPr>
        <w:rFonts w:ascii="AGaramond" w:hAnsi="AGaramond" w:cs="Times"/>
        <w:iCs/>
        <w:sz w:val="16"/>
        <w:szCs w:val="16"/>
        <w:lang w:val="es-VE"/>
      </w:rPr>
      <w:t>Semestre</w:t>
    </w:r>
    <w:r w:rsidR="005B0CCF">
      <w:rPr>
        <w:rFonts w:ascii="AGaramond" w:hAnsi="AGaramond" w:cs="Times"/>
        <w:iCs/>
        <w:sz w:val="16"/>
        <w:szCs w:val="16"/>
        <w:lang w:val="es-VE"/>
      </w:rPr>
      <w:t xml:space="preserve"> </w:t>
    </w:r>
    <w:proofErr w:type="gramStart"/>
    <w:r w:rsidR="005B0CCF">
      <w:rPr>
        <w:rFonts w:ascii="AGaramond" w:hAnsi="AGaramond" w:cs="Times"/>
        <w:iCs/>
        <w:sz w:val="16"/>
        <w:szCs w:val="16"/>
        <w:lang w:val="es-VE"/>
      </w:rPr>
      <w:t>Jul.</w:t>
    </w:r>
    <w:proofErr w:type="gramEnd"/>
    <w:r w:rsidR="005B0CCF">
      <w:rPr>
        <w:rFonts w:ascii="AGaramond" w:hAnsi="AGaramond" w:cs="Times"/>
        <w:iCs/>
        <w:sz w:val="16"/>
        <w:szCs w:val="16"/>
        <w:lang w:val="es-VE"/>
      </w:rPr>
      <w:t xml:space="preserve"> 20</w:t>
    </w:r>
    <w:r w:rsidR="001755B8">
      <w:rPr>
        <w:rFonts w:ascii="AGaramond" w:hAnsi="AGaramond" w:cs="Times"/>
        <w:iCs/>
        <w:sz w:val="16"/>
        <w:szCs w:val="16"/>
        <w:lang w:val="es-VE"/>
      </w:rPr>
      <w:t>20</w:t>
    </w:r>
    <w:r w:rsidR="005B0CCF">
      <w:rPr>
        <w:rFonts w:ascii="AGaramond" w:hAnsi="AGaramond" w:cs="Times"/>
        <w:iCs/>
        <w:sz w:val="16"/>
        <w:szCs w:val="16"/>
        <w:lang w:val="es-VE"/>
      </w:rPr>
      <w:t>–Jun. 20</w:t>
    </w:r>
    <w:r w:rsidR="001755B8">
      <w:rPr>
        <w:rFonts w:ascii="AGaramond" w:hAnsi="AGaramond" w:cs="Times"/>
        <w:iCs/>
        <w:sz w:val="16"/>
        <w:szCs w:val="16"/>
        <w:lang w:val="es-VE"/>
      </w:rPr>
      <w:t>21</w:t>
    </w:r>
  </w:p>
  <w:p w14:paraId="65D898AB" w14:textId="6EB53EAB" w:rsidR="00DD28DE" w:rsidRPr="00B7573F" w:rsidRDefault="00DD28DE" w:rsidP="001E793C">
    <w:pPr>
      <w:pStyle w:val="Ningnestilodeprrafo"/>
      <w:ind w:right="710"/>
      <w:jc w:val="right"/>
      <w:rPr>
        <w:rFonts w:ascii="AGaramond" w:hAnsi="AGaramond" w:cs="Times"/>
        <w:iCs/>
        <w:sz w:val="16"/>
        <w:szCs w:val="16"/>
        <w:lang w:val="es-VE"/>
      </w:rPr>
    </w:pPr>
    <w:r w:rsidRPr="00B7573F">
      <w:rPr>
        <w:rFonts w:ascii="AGaramond" w:hAnsi="AGaramond" w:cs="Times"/>
        <w:iCs/>
        <w:sz w:val="16"/>
        <w:szCs w:val="16"/>
        <w:lang w:val="es-VE"/>
      </w:rPr>
      <w:t xml:space="preserve"> ISSN:</w:t>
    </w:r>
    <w:r w:rsidR="00335A7C">
      <w:rPr>
        <w:rFonts w:ascii="AGaramond" w:hAnsi="AGaramond" w:cs="Times"/>
        <w:iCs/>
        <w:sz w:val="16"/>
        <w:szCs w:val="16"/>
        <w:lang w:val="es-VE"/>
      </w:rPr>
      <w:t xml:space="preserve"> 2244-8663</w:t>
    </w:r>
  </w:p>
  <w:p w14:paraId="263CEA1F" w14:textId="77777777" w:rsidR="00AE1EC3" w:rsidRDefault="00AE1EC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39ABA" w14:textId="77777777" w:rsidR="006F6469" w:rsidRPr="00B7573F" w:rsidRDefault="006F6469" w:rsidP="006F6469">
    <w:pPr>
      <w:pStyle w:val="TITULOS"/>
      <w:jc w:val="left"/>
      <w:rPr>
        <w:rFonts w:ascii="AGaramond" w:hAnsi="AGaramond"/>
      </w:rPr>
    </w:pPr>
  </w:p>
  <w:p w14:paraId="58A38FE9" w14:textId="2E11CFB2" w:rsidR="006F6469" w:rsidRPr="00B7573F" w:rsidRDefault="00F16B86" w:rsidP="006F6469">
    <w:pPr>
      <w:pStyle w:val="Ningnestilodeprrafo"/>
      <w:spacing w:line="240" w:lineRule="auto"/>
      <w:ind w:right="143"/>
      <w:jc w:val="right"/>
      <w:rPr>
        <w:rFonts w:ascii="AGaramond" w:hAnsi="AGaramond" w:cs="Times"/>
        <w:iCs/>
        <w:sz w:val="16"/>
        <w:szCs w:val="16"/>
        <w:lang w:val="es-VE"/>
      </w:rPr>
    </w:pPr>
    <w:r w:rsidRPr="00B7573F">
      <w:rPr>
        <w:rFonts w:ascii="AGaramond" w:hAnsi="AGaramond" w:cs="Times"/>
        <w:iCs/>
        <w:noProof/>
        <w:sz w:val="16"/>
        <w:szCs w:val="16"/>
        <w:lang w:val="es-VE" w:eastAsia="es-VE"/>
      </w:rPr>
      <mc:AlternateContent>
        <mc:Choice Requires="wps">
          <w:drawing>
            <wp:anchor distT="0" distB="0" distL="114300" distR="114300" simplePos="0" relativeHeight="251665408" behindDoc="0" locked="0" layoutInCell="1" allowOverlap="1" wp14:anchorId="2AC52FD4" wp14:editId="69C8A663">
              <wp:simplePos x="0" y="0"/>
              <wp:positionH relativeFrom="column">
                <wp:posOffset>6273165</wp:posOffset>
              </wp:positionH>
              <wp:positionV relativeFrom="paragraph">
                <wp:posOffset>23495</wp:posOffset>
              </wp:positionV>
              <wp:extent cx="0" cy="795655"/>
              <wp:effectExtent l="0" t="0" r="0" b="4445"/>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95655"/>
                      </a:xfrm>
                      <a:prstGeom prst="line">
                        <a:avLst/>
                      </a:prstGeom>
                      <a:noFill/>
                      <a:ln w="952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91987" id="Line 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95pt,1.85pt" to="493.9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" strokecolor="black [3200]">
              <v:stroke joinstyle="miter"/>
              <o:lock v:ext="edit" shapetype="f"/>
            </v:line>
          </w:pict>
        </mc:Fallback>
      </mc:AlternateContent>
    </w:r>
    <w:r w:rsidR="00011FC6" w:rsidRPr="00B7573F">
      <w:rPr>
        <w:rFonts w:ascii="AGaramond" w:hAnsi="AGaramond" w:cs="Times"/>
        <w:iCs/>
        <w:sz w:val="16"/>
        <w:szCs w:val="16"/>
        <w:lang w:val="es-VE"/>
      </w:rPr>
      <w:t xml:space="preserve"> </w:t>
    </w:r>
    <w:r w:rsidR="000D78D3" w:rsidRPr="00B7573F">
      <w:rPr>
        <w:rFonts w:ascii="AGaramond" w:hAnsi="AGaramond" w:cs="Times"/>
        <w:iCs/>
        <w:sz w:val="16"/>
        <w:szCs w:val="16"/>
        <w:lang w:val="es-VE"/>
      </w:rPr>
      <w:t>Temas de Coyuntura</w:t>
    </w:r>
    <w:r w:rsidR="00011FC6" w:rsidRPr="00B7573F">
      <w:rPr>
        <w:rFonts w:ascii="AGaramond" w:hAnsi="AGaramond" w:cs="Times"/>
        <w:iCs/>
        <w:sz w:val="16"/>
        <w:szCs w:val="16"/>
        <w:lang w:val="es-VE"/>
      </w:rPr>
      <w:t xml:space="preserve"> </w:t>
    </w:r>
    <w:r w:rsidR="006F6469" w:rsidRPr="00B7573F">
      <w:rPr>
        <w:rFonts w:ascii="AGaramond" w:hAnsi="AGaramond" w:cs="Times"/>
        <w:iCs/>
        <w:sz w:val="16"/>
        <w:szCs w:val="16"/>
        <w:lang w:val="es-VE"/>
      </w:rPr>
      <w:t>N</w:t>
    </w:r>
    <w:r w:rsidR="0022144A">
      <w:rPr>
        <w:rFonts w:ascii="AGaramond" w:hAnsi="AGaramond" w:cs="Times"/>
        <w:iCs/>
        <w:sz w:val="16"/>
        <w:szCs w:val="16"/>
        <w:lang w:val="es-VE"/>
      </w:rPr>
      <w:t>.</w:t>
    </w:r>
    <w:r w:rsidR="006F6469" w:rsidRPr="00B7573F">
      <w:rPr>
        <w:rFonts w:ascii="AGaramond" w:hAnsi="AGaramond" w:cs="Times"/>
        <w:iCs/>
        <w:sz w:val="16"/>
        <w:szCs w:val="16"/>
        <w:lang w:val="es-VE"/>
      </w:rPr>
      <w:t xml:space="preserve">º </w:t>
    </w:r>
    <w:r w:rsidR="002F1B7F">
      <w:rPr>
        <w:rFonts w:ascii="AGaramond" w:hAnsi="AGaramond" w:cs="Times"/>
        <w:iCs/>
        <w:sz w:val="16"/>
        <w:szCs w:val="16"/>
        <w:lang w:val="es-VE"/>
      </w:rPr>
      <w:t>8</w:t>
    </w:r>
    <w:r w:rsidR="001755B8">
      <w:rPr>
        <w:rFonts w:ascii="AGaramond" w:hAnsi="AGaramond" w:cs="Times"/>
        <w:iCs/>
        <w:sz w:val="16"/>
        <w:szCs w:val="16"/>
        <w:lang w:val="es-VE"/>
      </w:rPr>
      <w:t>2</w:t>
    </w:r>
    <w:r w:rsidR="005B0CCF">
      <w:rPr>
        <w:rFonts w:ascii="AGaramond" w:hAnsi="AGaramond" w:cs="Times"/>
        <w:iCs/>
        <w:sz w:val="16"/>
        <w:szCs w:val="16"/>
        <w:lang w:val="es-VE"/>
      </w:rPr>
      <w:t>-</w:t>
    </w:r>
    <w:r w:rsidR="002F1B7F">
      <w:rPr>
        <w:rFonts w:ascii="AGaramond" w:hAnsi="AGaramond" w:cs="Times"/>
        <w:iCs/>
        <w:sz w:val="16"/>
        <w:szCs w:val="16"/>
        <w:lang w:val="es-VE"/>
      </w:rPr>
      <w:t>8</w:t>
    </w:r>
    <w:r w:rsidR="001755B8">
      <w:rPr>
        <w:rFonts w:ascii="AGaramond" w:hAnsi="AGaramond" w:cs="Times"/>
        <w:iCs/>
        <w:sz w:val="16"/>
        <w:szCs w:val="16"/>
        <w:lang w:val="es-VE"/>
      </w:rPr>
      <w:t>3</w:t>
    </w:r>
    <w:r w:rsidR="006F6469" w:rsidRPr="00B7573F">
      <w:rPr>
        <w:rFonts w:ascii="AGaramond" w:hAnsi="AGaramond" w:cs="Times"/>
        <w:iCs/>
        <w:noProof/>
        <w:sz w:val="16"/>
        <w:szCs w:val="16"/>
        <w:lang w:val="es-VE"/>
      </w:rPr>
      <w:t xml:space="preserve"> </w:t>
    </w:r>
  </w:p>
  <w:p w14:paraId="15D4BC48" w14:textId="340304E8" w:rsidR="006F6469" w:rsidRPr="00B7573F" w:rsidRDefault="006F6469" w:rsidP="006F6469">
    <w:pPr>
      <w:pStyle w:val="Ningnestilodeprrafo"/>
      <w:spacing w:line="240" w:lineRule="auto"/>
      <w:ind w:right="143"/>
      <w:jc w:val="right"/>
      <w:rPr>
        <w:rFonts w:ascii="AGaramond" w:hAnsi="AGaramond" w:cs="Times"/>
        <w:iCs/>
        <w:sz w:val="16"/>
        <w:szCs w:val="16"/>
        <w:lang w:val="es-VE"/>
      </w:rPr>
    </w:pPr>
    <w:r w:rsidRPr="00B7573F">
      <w:rPr>
        <w:rFonts w:ascii="AGaramond" w:hAnsi="AGaramond" w:cs="Times"/>
        <w:iCs/>
        <w:sz w:val="16"/>
        <w:szCs w:val="16"/>
        <w:lang w:val="es-VE"/>
      </w:rPr>
      <w:t xml:space="preserve">Semestre </w:t>
    </w:r>
    <w:proofErr w:type="gramStart"/>
    <w:r w:rsidR="005B0CCF">
      <w:rPr>
        <w:rFonts w:ascii="AGaramond" w:hAnsi="AGaramond" w:cs="Times"/>
        <w:iCs/>
        <w:sz w:val="16"/>
        <w:szCs w:val="16"/>
        <w:lang w:val="es-VE"/>
      </w:rPr>
      <w:t>Jul.</w:t>
    </w:r>
    <w:proofErr w:type="gramEnd"/>
    <w:r w:rsidR="005B0CCF">
      <w:rPr>
        <w:rFonts w:ascii="AGaramond" w:hAnsi="AGaramond" w:cs="Times"/>
        <w:iCs/>
        <w:sz w:val="16"/>
        <w:szCs w:val="16"/>
        <w:lang w:val="es-VE"/>
      </w:rPr>
      <w:t xml:space="preserve"> 20</w:t>
    </w:r>
    <w:r w:rsidR="001755B8">
      <w:rPr>
        <w:rFonts w:ascii="AGaramond" w:hAnsi="AGaramond" w:cs="Times"/>
        <w:iCs/>
        <w:sz w:val="16"/>
        <w:szCs w:val="16"/>
        <w:lang w:val="es-VE"/>
      </w:rPr>
      <w:t>20</w:t>
    </w:r>
    <w:r w:rsidR="005B0CCF">
      <w:rPr>
        <w:rFonts w:ascii="AGaramond" w:hAnsi="AGaramond" w:cs="Times"/>
        <w:iCs/>
        <w:sz w:val="16"/>
        <w:szCs w:val="16"/>
        <w:lang w:val="es-VE"/>
      </w:rPr>
      <w:t>–Jun. 20</w:t>
    </w:r>
    <w:r w:rsidR="002F1B7F">
      <w:rPr>
        <w:rFonts w:ascii="AGaramond" w:hAnsi="AGaramond" w:cs="Times"/>
        <w:iCs/>
        <w:sz w:val="16"/>
        <w:szCs w:val="16"/>
        <w:lang w:val="es-VE"/>
      </w:rPr>
      <w:t>2</w:t>
    </w:r>
    <w:r w:rsidR="001755B8">
      <w:rPr>
        <w:rFonts w:ascii="AGaramond" w:hAnsi="AGaramond" w:cs="Times"/>
        <w:iCs/>
        <w:sz w:val="16"/>
        <w:szCs w:val="16"/>
        <w:lang w:val="es-VE"/>
      </w:rPr>
      <w:t>1</w:t>
    </w:r>
  </w:p>
  <w:p w14:paraId="1D47D972" w14:textId="4B3293AD" w:rsidR="006F6469" w:rsidRPr="00B7573F" w:rsidRDefault="006F6469" w:rsidP="006F6469">
    <w:pPr>
      <w:pStyle w:val="Ningnestilodeprrafo"/>
      <w:ind w:right="143"/>
      <w:jc w:val="right"/>
      <w:rPr>
        <w:rFonts w:ascii="AGaramond" w:hAnsi="AGaramond" w:cs="Times"/>
        <w:iCs/>
        <w:sz w:val="16"/>
        <w:szCs w:val="16"/>
        <w:lang w:val="es-VE"/>
      </w:rPr>
    </w:pPr>
    <w:r w:rsidRPr="00B7573F">
      <w:rPr>
        <w:rFonts w:ascii="AGaramond" w:hAnsi="AGaramond" w:cs="Times"/>
        <w:iCs/>
        <w:sz w:val="16"/>
        <w:szCs w:val="16"/>
        <w:lang w:val="es-VE"/>
      </w:rPr>
      <w:t xml:space="preserve"> ISSN: </w:t>
    </w:r>
    <w:r w:rsidR="00335A7C">
      <w:rPr>
        <w:rFonts w:ascii="AGaramond" w:hAnsi="AGaramond" w:cs="Times"/>
        <w:iCs/>
        <w:sz w:val="16"/>
        <w:szCs w:val="16"/>
        <w:lang w:val="es-VE"/>
      </w:rPr>
      <w:t>2244-8663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8795C" w14:textId="77777777" w:rsidR="00CF0CC5" w:rsidRDefault="00CF0CC5" w:rsidP="00DD28DE">
      <w:r>
        <w:separator/>
      </w:r>
    </w:p>
  </w:footnote>
  <w:footnote w:type="continuationSeparator" w:id="0">
    <w:p w14:paraId="2027D9E8" w14:textId="77777777" w:rsidR="00CF0CC5" w:rsidRDefault="00CF0CC5" w:rsidP="00DD28DE">
      <w:r>
        <w:continuationSeparator/>
      </w:r>
    </w:p>
  </w:footnote>
  <w:footnote w:id="1">
    <w:p w14:paraId="3B13C249" w14:textId="24D07000" w:rsidR="00F21EAA" w:rsidRPr="00F21EAA" w:rsidRDefault="00F21EAA">
      <w:pPr>
        <w:pStyle w:val="Textonotapie"/>
        <w:rPr>
          <w:rFonts w:ascii="AGaramond" w:hAnsi="AGaramond"/>
        </w:rPr>
      </w:pPr>
      <w:r w:rsidRPr="00F21EAA">
        <w:rPr>
          <w:rStyle w:val="Refdenotaalpie"/>
          <w:rFonts w:ascii="AGaramond" w:hAnsi="AGaramond"/>
        </w:rPr>
        <w:footnoteRef/>
      </w:r>
      <w:r w:rsidRPr="00F21EAA">
        <w:rPr>
          <w:rFonts w:ascii="AGaramond" w:hAnsi="AGaramond"/>
        </w:rPr>
        <w:t xml:space="preserve"> María Di Brienza.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3D4AF" w14:textId="16C73809" w:rsidR="00DD28DE" w:rsidRPr="00B7573F" w:rsidRDefault="00ED1BAA" w:rsidP="001620EE">
    <w:pPr>
      <w:pStyle w:val="ENCABEZATITULO"/>
      <w:ind w:left="142"/>
      <w:jc w:val="left"/>
      <w:rPr>
        <w:rFonts w:ascii="AGaramond" w:hAnsi="AGaramond"/>
        <w:sz w:val="22"/>
        <w:szCs w:val="22"/>
        <w:lang w:val="es-VE"/>
      </w:rPr>
    </w:pPr>
    <w:r>
      <w:rPr>
        <w:rFonts w:ascii="AGaramond" w:hAnsi="AGaramond"/>
        <w:sz w:val="22"/>
        <w:szCs w:val="22"/>
        <w:lang w:val="es-VE"/>
      </w:rPr>
      <w:t>Indicadores</w:t>
    </w:r>
  </w:p>
  <w:p w14:paraId="0A42FAF2" w14:textId="60D37E49" w:rsidR="001E793C" w:rsidRDefault="00F16B86" w:rsidP="001E793C">
    <w:pPr>
      <w:pStyle w:val="ENCABEZATITULO"/>
      <w:rPr>
        <w:rFonts w:ascii="AGaramond" w:hAnsi="AGaramond"/>
        <w:sz w:val="22"/>
        <w:szCs w:val="22"/>
        <w:lang w:val="es-VE"/>
      </w:rPr>
    </w:pPr>
    <w:r w:rsidRPr="00B7573F">
      <w:rPr>
        <w:rFonts w:ascii="AGaramond" w:hAnsi="AGaramond"/>
        <w:noProof/>
        <w:sz w:val="22"/>
        <w:szCs w:val="22"/>
        <w:lang w:val="es-VE" w:eastAsia="es-VE"/>
      </w:rPr>
      <mc:AlternateContent>
        <mc:Choice Requires="wps">
          <w:drawing>
            <wp:anchor distT="0" distB="0" distL="114300" distR="114300" simplePos="0" relativeHeight="251663360" behindDoc="0" locked="0" layoutInCell="1" allowOverlap="1" wp14:anchorId="7E86D68B" wp14:editId="15E19CD1">
              <wp:simplePos x="0" y="0"/>
              <wp:positionH relativeFrom="column">
                <wp:posOffset>33020</wp:posOffset>
              </wp:positionH>
              <wp:positionV relativeFrom="paragraph">
                <wp:posOffset>57150</wp:posOffset>
              </wp:positionV>
              <wp:extent cx="6219825" cy="0"/>
              <wp:effectExtent l="0" t="0" r="3175" b="0"/>
              <wp:wrapNone/>
              <wp:docPr id="6"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219825"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5A2010F" id="Conector recto 2"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4.5pt" to="492.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" strokecolor="black [3200]" strokeweight=".5pt">
              <v:stroke joinstyle="miter"/>
              <o:lock v:ext="edit" shapetype="f"/>
            </v:line>
          </w:pict>
        </mc:Fallback>
      </mc:AlternateContent>
    </w:r>
  </w:p>
  <w:p w14:paraId="2CA0942E" w14:textId="77777777" w:rsidR="00354F5C" w:rsidRPr="00B7573F" w:rsidRDefault="00354F5C" w:rsidP="001E793C">
    <w:pPr>
      <w:pStyle w:val="ENCABEZATITULO"/>
      <w:rPr>
        <w:rFonts w:ascii="AGaramond" w:hAnsi="AGaramond"/>
        <w:sz w:val="22"/>
        <w:szCs w:val="22"/>
        <w:lang w:val="es-VE"/>
      </w:rPr>
    </w:pPr>
  </w:p>
  <w:p w14:paraId="7CF98A88" w14:textId="77777777" w:rsidR="00AE1EC3" w:rsidRDefault="00AE1EC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4967A" w14:textId="145ABFC2" w:rsidR="006F6469" w:rsidRPr="00B7573F" w:rsidRDefault="00F16B86" w:rsidP="006F6469">
    <w:pPr>
      <w:ind w:left="142"/>
      <w:rPr>
        <w:rFonts w:ascii="AGaramond" w:hAnsi="AGaramond"/>
        <w:color w:val="000000" w:themeColor="text1"/>
        <w:sz w:val="15"/>
        <w:szCs w:val="15"/>
      </w:rPr>
    </w:pPr>
    <w:r w:rsidRPr="00B7573F">
      <w:rPr>
        <w:rFonts w:ascii="AGaramond" w:hAnsi="AGaramond" w:cs="Times"/>
        <w:iCs/>
        <w:noProof/>
        <w:sz w:val="16"/>
        <w:szCs w:val="16"/>
        <w:lang w:val="es-VE" w:eastAsia="es-VE"/>
      </w:rPr>
      <mc:AlternateContent>
        <mc:Choice Requires="wps">
          <w:drawing>
            <wp:anchor distT="0" distB="0" distL="114300" distR="114300" simplePos="0" relativeHeight="251664384" behindDoc="0" locked="0" layoutInCell="1" allowOverlap="1" wp14:anchorId="65851040" wp14:editId="3CCD4B0E">
              <wp:simplePos x="0" y="0"/>
              <wp:positionH relativeFrom="column">
                <wp:posOffset>0</wp:posOffset>
              </wp:positionH>
              <wp:positionV relativeFrom="paragraph">
                <wp:posOffset>-635</wp:posOffset>
              </wp:positionV>
              <wp:extent cx="0" cy="339725"/>
              <wp:effectExtent l="0" t="0" r="0" b="3175"/>
              <wp:wrapNone/>
              <wp:docPr id="4"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39725"/>
                      </a:xfrm>
                      <a:prstGeom prst="line">
                        <a:avLst/>
                      </a:prstGeom>
                      <a:noFill/>
                      <a:ln w="952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EB2E0" id="Conector recto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0,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" strokecolor="black [3200]">
              <v:stroke joinstyle="miter"/>
              <o:lock v:ext="edit" shapetype="f"/>
            </v:line>
          </w:pict>
        </mc:Fallback>
      </mc:AlternateContent>
    </w:r>
  </w:p>
  <w:p w14:paraId="53C55E1F" w14:textId="62FB5DF0" w:rsidR="006F6469" w:rsidRPr="00B7573F" w:rsidRDefault="006F6469" w:rsidP="006F6469">
    <w:pPr>
      <w:ind w:left="142"/>
      <w:rPr>
        <w:rFonts w:ascii="AGaramond" w:hAnsi="AGaramond"/>
        <w:color w:val="000000" w:themeColor="text1"/>
        <w:sz w:val="15"/>
        <w:szCs w:val="15"/>
      </w:rPr>
    </w:pPr>
    <w:r w:rsidRPr="00B7573F">
      <w:rPr>
        <w:rFonts w:ascii="AGaramond" w:hAnsi="AGaramond"/>
        <w:color w:val="000000" w:themeColor="text1"/>
        <w:sz w:val="15"/>
        <w:szCs w:val="15"/>
      </w:rPr>
      <w:t>Pp</w:t>
    </w:r>
    <w:r w:rsidR="0066699B" w:rsidRPr="00B7573F">
      <w:rPr>
        <w:rFonts w:ascii="AGaramond" w:hAnsi="AGaramond"/>
        <w:color w:val="000000" w:themeColor="text1"/>
        <w:sz w:val="15"/>
        <w:szCs w:val="15"/>
      </w:rPr>
      <w:t>.</w:t>
    </w:r>
    <w:r w:rsidRPr="00B7573F">
      <w:rPr>
        <w:rFonts w:ascii="AGaramond" w:hAnsi="AGaramond"/>
        <w:color w:val="000000" w:themeColor="text1"/>
        <w:sz w:val="15"/>
        <w:szCs w:val="15"/>
      </w:rPr>
      <w:t xml:space="preserve"> </w:t>
    </w:r>
    <w:r w:rsidR="002D5335">
      <w:rPr>
        <w:rFonts w:ascii="AGaramond" w:hAnsi="AGaramond"/>
        <w:color w:val="000000" w:themeColor="text1"/>
        <w:sz w:val="15"/>
        <w:szCs w:val="15"/>
      </w:rPr>
      <w:t>164</w:t>
    </w:r>
    <w:r w:rsidRPr="00B7573F">
      <w:rPr>
        <w:rFonts w:ascii="AGaramond" w:hAnsi="AGaramond"/>
        <w:color w:val="000000" w:themeColor="text1"/>
        <w:sz w:val="15"/>
        <w:szCs w:val="15"/>
      </w:rPr>
      <w:t xml:space="preserve"> – Pp. </w:t>
    </w:r>
    <w:r w:rsidR="00455677">
      <w:rPr>
        <w:rFonts w:ascii="AGaramond" w:hAnsi="AGaramond"/>
        <w:color w:val="000000" w:themeColor="text1"/>
        <w:sz w:val="15"/>
        <w:szCs w:val="15"/>
      </w:rPr>
      <w:t>1</w:t>
    </w:r>
    <w:r w:rsidR="002D5335">
      <w:rPr>
        <w:rFonts w:ascii="AGaramond" w:hAnsi="AGaramond"/>
        <w:color w:val="000000" w:themeColor="text1"/>
        <w:sz w:val="15"/>
        <w:szCs w:val="15"/>
      </w:rPr>
      <w:t>76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26A3C"/>
    <w:multiLevelType w:val="hybridMultilevel"/>
    <w:tmpl w:val="AA925704"/>
    <w:lvl w:ilvl="0" w:tplc="200A0001">
      <w:start w:val="1"/>
      <w:numFmt w:val="bullet"/>
      <w:lvlText w:val=""/>
      <w:lvlJc w:val="left"/>
      <w:pPr>
        <w:ind w:left="1080" w:hanging="360"/>
      </w:pPr>
      <w:rPr>
        <w:rFonts w:ascii="Symbol" w:hAnsi="Symbol"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 w15:restartNumberingAfterBreak="0">
    <w:nsid w:val="0B1972E6"/>
    <w:multiLevelType w:val="hybridMultilevel"/>
    <w:tmpl w:val="D50CCCE4"/>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15:restartNumberingAfterBreak="0">
    <w:nsid w:val="109265B5"/>
    <w:multiLevelType w:val="hybridMultilevel"/>
    <w:tmpl w:val="DB640426"/>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15:restartNumberingAfterBreak="0">
    <w:nsid w:val="151615DF"/>
    <w:multiLevelType w:val="hybridMultilevel"/>
    <w:tmpl w:val="72C2DA1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15:restartNumberingAfterBreak="0">
    <w:nsid w:val="1B652A77"/>
    <w:multiLevelType w:val="hybridMultilevel"/>
    <w:tmpl w:val="BB5C6FE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15:restartNumberingAfterBreak="0">
    <w:nsid w:val="1BF00BE4"/>
    <w:multiLevelType w:val="hybridMultilevel"/>
    <w:tmpl w:val="3F365F54"/>
    <w:lvl w:ilvl="0" w:tplc="040A000F">
      <w:start w:val="1"/>
      <w:numFmt w:val="decimal"/>
      <w:lvlText w:val="%1."/>
      <w:lvlJc w:val="left"/>
      <w:pPr>
        <w:ind w:left="360" w:hanging="360"/>
      </w:pPr>
      <w:rPr>
        <w:rFonts w:hint="default"/>
      </w:rPr>
    </w:lvl>
    <w:lvl w:ilvl="1" w:tplc="040A0019">
      <w:start w:val="1"/>
      <w:numFmt w:val="lowerLetter"/>
      <w:lvlText w:val="%2."/>
      <w:lvlJc w:val="left"/>
      <w:pPr>
        <w:ind w:left="1080" w:hanging="360"/>
      </w:pPr>
    </w:lvl>
    <w:lvl w:ilvl="2" w:tplc="040A001B">
      <w:start w:val="1"/>
      <w:numFmt w:val="lowerRoman"/>
      <w:lvlText w:val="%3."/>
      <w:lvlJc w:val="right"/>
      <w:pPr>
        <w:ind w:left="1598"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 w15:restartNumberingAfterBreak="0">
    <w:nsid w:val="1F7B7A62"/>
    <w:multiLevelType w:val="hybridMultilevel"/>
    <w:tmpl w:val="02FCC8C2"/>
    <w:lvl w:ilvl="0" w:tplc="2228B598">
      <w:start w:val="1"/>
      <w:numFmt w:val="decimal"/>
      <w:lvlText w:val="%1."/>
      <w:lvlJc w:val="left"/>
      <w:pPr>
        <w:ind w:left="720" w:hanging="360"/>
      </w:pPr>
      <w:rPr>
        <w:rFonts w:hint="default"/>
        <w:color w:val="auto"/>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15:restartNumberingAfterBreak="0">
    <w:nsid w:val="280748D1"/>
    <w:multiLevelType w:val="hybridMultilevel"/>
    <w:tmpl w:val="60865B6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8" w15:restartNumberingAfterBreak="0">
    <w:nsid w:val="3AF3300C"/>
    <w:multiLevelType w:val="hybridMultilevel"/>
    <w:tmpl w:val="AA5616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D145E86"/>
    <w:multiLevelType w:val="hybridMultilevel"/>
    <w:tmpl w:val="FE3CCBD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 w15:restartNumberingAfterBreak="0">
    <w:nsid w:val="3F764C81"/>
    <w:multiLevelType w:val="hybridMultilevel"/>
    <w:tmpl w:val="105054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4151E9D"/>
    <w:multiLevelType w:val="hybridMultilevel"/>
    <w:tmpl w:val="B69E80E0"/>
    <w:lvl w:ilvl="0" w:tplc="2228B598">
      <w:start w:val="1"/>
      <w:numFmt w:val="decimal"/>
      <w:lvlText w:val="%1."/>
      <w:lvlJc w:val="left"/>
      <w:pPr>
        <w:ind w:left="3196" w:hanging="360"/>
      </w:pPr>
      <w:rPr>
        <w:rFonts w:hint="default"/>
        <w:color w:val="auto"/>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2" w15:restartNumberingAfterBreak="0">
    <w:nsid w:val="46765EEE"/>
    <w:multiLevelType w:val="hybridMultilevel"/>
    <w:tmpl w:val="20A824F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3" w15:restartNumberingAfterBreak="0">
    <w:nsid w:val="474A1964"/>
    <w:multiLevelType w:val="hybridMultilevel"/>
    <w:tmpl w:val="82DCB7CA"/>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4" w15:restartNumberingAfterBreak="0">
    <w:nsid w:val="4A7D701C"/>
    <w:multiLevelType w:val="hybridMultilevel"/>
    <w:tmpl w:val="6FD0DB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64B367C"/>
    <w:multiLevelType w:val="hybridMultilevel"/>
    <w:tmpl w:val="F4AE771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6" w15:restartNumberingAfterBreak="0">
    <w:nsid w:val="5D414F3E"/>
    <w:multiLevelType w:val="hybridMultilevel"/>
    <w:tmpl w:val="9FD4FE24"/>
    <w:lvl w:ilvl="0" w:tplc="200A000F">
      <w:start w:val="1"/>
      <w:numFmt w:val="decimal"/>
      <w:lvlText w:val="%1."/>
      <w:lvlJc w:val="left"/>
      <w:pPr>
        <w:ind w:left="1080" w:hanging="360"/>
      </w:pPr>
    </w:lvl>
    <w:lvl w:ilvl="1" w:tplc="200A0019" w:tentative="1">
      <w:start w:val="1"/>
      <w:numFmt w:val="lowerLetter"/>
      <w:lvlText w:val="%2."/>
      <w:lvlJc w:val="left"/>
      <w:pPr>
        <w:ind w:left="1800" w:hanging="360"/>
      </w:pPr>
    </w:lvl>
    <w:lvl w:ilvl="2" w:tplc="200A001B" w:tentative="1">
      <w:start w:val="1"/>
      <w:numFmt w:val="lowerRoman"/>
      <w:lvlText w:val="%3."/>
      <w:lvlJc w:val="right"/>
      <w:pPr>
        <w:ind w:left="2520" w:hanging="180"/>
      </w:pPr>
    </w:lvl>
    <w:lvl w:ilvl="3" w:tplc="200A000F" w:tentative="1">
      <w:start w:val="1"/>
      <w:numFmt w:val="decimal"/>
      <w:lvlText w:val="%4."/>
      <w:lvlJc w:val="left"/>
      <w:pPr>
        <w:ind w:left="3240" w:hanging="360"/>
      </w:pPr>
    </w:lvl>
    <w:lvl w:ilvl="4" w:tplc="200A0019" w:tentative="1">
      <w:start w:val="1"/>
      <w:numFmt w:val="lowerLetter"/>
      <w:lvlText w:val="%5."/>
      <w:lvlJc w:val="left"/>
      <w:pPr>
        <w:ind w:left="3960" w:hanging="360"/>
      </w:pPr>
    </w:lvl>
    <w:lvl w:ilvl="5" w:tplc="200A001B" w:tentative="1">
      <w:start w:val="1"/>
      <w:numFmt w:val="lowerRoman"/>
      <w:lvlText w:val="%6."/>
      <w:lvlJc w:val="right"/>
      <w:pPr>
        <w:ind w:left="4680" w:hanging="180"/>
      </w:pPr>
    </w:lvl>
    <w:lvl w:ilvl="6" w:tplc="200A000F" w:tentative="1">
      <w:start w:val="1"/>
      <w:numFmt w:val="decimal"/>
      <w:lvlText w:val="%7."/>
      <w:lvlJc w:val="left"/>
      <w:pPr>
        <w:ind w:left="5400" w:hanging="360"/>
      </w:pPr>
    </w:lvl>
    <w:lvl w:ilvl="7" w:tplc="200A0019" w:tentative="1">
      <w:start w:val="1"/>
      <w:numFmt w:val="lowerLetter"/>
      <w:lvlText w:val="%8."/>
      <w:lvlJc w:val="left"/>
      <w:pPr>
        <w:ind w:left="6120" w:hanging="360"/>
      </w:pPr>
    </w:lvl>
    <w:lvl w:ilvl="8" w:tplc="200A001B" w:tentative="1">
      <w:start w:val="1"/>
      <w:numFmt w:val="lowerRoman"/>
      <w:lvlText w:val="%9."/>
      <w:lvlJc w:val="right"/>
      <w:pPr>
        <w:ind w:left="6840" w:hanging="180"/>
      </w:pPr>
    </w:lvl>
  </w:abstractNum>
  <w:abstractNum w:abstractNumId="17" w15:restartNumberingAfterBreak="0">
    <w:nsid w:val="5F865B37"/>
    <w:multiLevelType w:val="hybridMultilevel"/>
    <w:tmpl w:val="5C20A988"/>
    <w:lvl w:ilvl="0" w:tplc="3B0C94E4">
      <w:start w:val="1"/>
      <w:numFmt w:val="bullet"/>
      <w:pStyle w:val="Puntos"/>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start w:val="1"/>
      <w:numFmt w:val="bullet"/>
      <w:lvlText w:val=""/>
      <w:lvlJc w:val="left"/>
      <w:pPr>
        <w:ind w:left="2160" w:hanging="360"/>
      </w:pPr>
      <w:rPr>
        <w:rFonts w:ascii="Wingdings" w:hAnsi="Wingdings" w:hint="default"/>
      </w:rPr>
    </w:lvl>
    <w:lvl w:ilvl="3" w:tplc="200A0001">
      <w:start w:val="1"/>
      <w:numFmt w:val="bullet"/>
      <w:lvlText w:val=""/>
      <w:lvlJc w:val="left"/>
      <w:pPr>
        <w:ind w:left="2880" w:hanging="360"/>
      </w:pPr>
      <w:rPr>
        <w:rFonts w:ascii="Symbol" w:hAnsi="Symbol" w:hint="default"/>
      </w:rPr>
    </w:lvl>
    <w:lvl w:ilvl="4" w:tplc="200A0003">
      <w:start w:val="1"/>
      <w:numFmt w:val="bullet"/>
      <w:lvlText w:val="o"/>
      <w:lvlJc w:val="left"/>
      <w:pPr>
        <w:ind w:left="3600" w:hanging="360"/>
      </w:pPr>
      <w:rPr>
        <w:rFonts w:ascii="Courier New" w:hAnsi="Courier New" w:cs="Courier New" w:hint="default"/>
      </w:rPr>
    </w:lvl>
    <w:lvl w:ilvl="5" w:tplc="200A0005">
      <w:start w:val="1"/>
      <w:numFmt w:val="bullet"/>
      <w:lvlText w:val=""/>
      <w:lvlJc w:val="left"/>
      <w:pPr>
        <w:ind w:left="4320" w:hanging="360"/>
      </w:pPr>
      <w:rPr>
        <w:rFonts w:ascii="Wingdings" w:hAnsi="Wingdings" w:hint="default"/>
      </w:rPr>
    </w:lvl>
    <w:lvl w:ilvl="6" w:tplc="200A0001">
      <w:start w:val="1"/>
      <w:numFmt w:val="bullet"/>
      <w:lvlText w:val=""/>
      <w:lvlJc w:val="left"/>
      <w:pPr>
        <w:ind w:left="5040" w:hanging="360"/>
      </w:pPr>
      <w:rPr>
        <w:rFonts w:ascii="Symbol" w:hAnsi="Symbol" w:hint="default"/>
      </w:rPr>
    </w:lvl>
    <w:lvl w:ilvl="7" w:tplc="200A0003">
      <w:start w:val="1"/>
      <w:numFmt w:val="bullet"/>
      <w:lvlText w:val="o"/>
      <w:lvlJc w:val="left"/>
      <w:pPr>
        <w:ind w:left="5760" w:hanging="360"/>
      </w:pPr>
      <w:rPr>
        <w:rFonts w:ascii="Courier New" w:hAnsi="Courier New" w:cs="Courier New" w:hint="default"/>
      </w:rPr>
    </w:lvl>
    <w:lvl w:ilvl="8" w:tplc="200A0005">
      <w:start w:val="1"/>
      <w:numFmt w:val="bullet"/>
      <w:lvlText w:val=""/>
      <w:lvlJc w:val="left"/>
      <w:pPr>
        <w:ind w:left="6480" w:hanging="360"/>
      </w:pPr>
      <w:rPr>
        <w:rFonts w:ascii="Wingdings" w:hAnsi="Wingdings" w:hint="default"/>
      </w:rPr>
    </w:lvl>
  </w:abstractNum>
  <w:abstractNum w:abstractNumId="18" w15:restartNumberingAfterBreak="0">
    <w:nsid w:val="62535274"/>
    <w:multiLevelType w:val="hybridMultilevel"/>
    <w:tmpl w:val="51EAF784"/>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9" w15:restartNumberingAfterBreak="0">
    <w:nsid w:val="6895754A"/>
    <w:multiLevelType w:val="hybridMultilevel"/>
    <w:tmpl w:val="B784DDBA"/>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0" w15:restartNumberingAfterBreak="0">
    <w:nsid w:val="710353CF"/>
    <w:multiLevelType w:val="hybridMultilevel"/>
    <w:tmpl w:val="E49A6D9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1" w15:restartNumberingAfterBreak="0">
    <w:nsid w:val="72254F06"/>
    <w:multiLevelType w:val="hybridMultilevel"/>
    <w:tmpl w:val="068A1AD8"/>
    <w:lvl w:ilvl="0" w:tplc="2228B598">
      <w:start w:val="1"/>
      <w:numFmt w:val="decimal"/>
      <w:lvlText w:val="%1."/>
      <w:lvlJc w:val="left"/>
      <w:pPr>
        <w:ind w:left="720" w:hanging="360"/>
      </w:pPr>
      <w:rPr>
        <w:rFonts w:hint="default"/>
        <w:color w:val="auto"/>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2" w15:restartNumberingAfterBreak="0">
    <w:nsid w:val="757A2204"/>
    <w:multiLevelType w:val="hybridMultilevel"/>
    <w:tmpl w:val="33D01754"/>
    <w:lvl w:ilvl="0" w:tplc="9FA88FD2">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3" w15:restartNumberingAfterBreak="0">
    <w:nsid w:val="7ED92557"/>
    <w:multiLevelType w:val="hybridMultilevel"/>
    <w:tmpl w:val="7C94B24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5"/>
  </w:num>
  <w:num w:numId="2">
    <w:abstractNumId w:val="20"/>
  </w:num>
  <w:num w:numId="3">
    <w:abstractNumId w:val="2"/>
  </w:num>
  <w:num w:numId="4">
    <w:abstractNumId w:val="0"/>
  </w:num>
  <w:num w:numId="5">
    <w:abstractNumId w:val="19"/>
  </w:num>
  <w:num w:numId="6">
    <w:abstractNumId w:val="18"/>
  </w:num>
  <w:num w:numId="7">
    <w:abstractNumId w:val="9"/>
  </w:num>
  <w:num w:numId="8">
    <w:abstractNumId w:val="23"/>
  </w:num>
  <w:num w:numId="9">
    <w:abstractNumId w:val="10"/>
  </w:num>
  <w:num w:numId="10">
    <w:abstractNumId w:val="14"/>
  </w:num>
  <w:num w:numId="11">
    <w:abstractNumId w:val="1"/>
  </w:num>
  <w:num w:numId="12">
    <w:abstractNumId w:val="13"/>
  </w:num>
  <w:num w:numId="13">
    <w:abstractNumId w:val="8"/>
  </w:num>
  <w:num w:numId="14">
    <w:abstractNumId w:val="22"/>
  </w:num>
  <w:num w:numId="15">
    <w:abstractNumId w:val="11"/>
  </w:num>
  <w:num w:numId="16">
    <w:abstractNumId w:val="3"/>
  </w:num>
  <w:num w:numId="17">
    <w:abstractNumId w:val="16"/>
  </w:num>
  <w:num w:numId="18">
    <w:abstractNumId w:val="7"/>
  </w:num>
  <w:num w:numId="19">
    <w:abstractNumId w:val="21"/>
  </w:num>
  <w:num w:numId="20">
    <w:abstractNumId w:val="6"/>
  </w:num>
  <w:num w:numId="21">
    <w:abstractNumId w:val="15"/>
  </w:num>
  <w:num w:numId="22">
    <w:abstractNumId w:val="12"/>
  </w:num>
  <w:num w:numId="23">
    <w:abstractNumId w:val="4"/>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09"/>
  <w:hyphenationZone w:val="425"/>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8DE"/>
    <w:rsid w:val="00004B2F"/>
    <w:rsid w:val="00011FC6"/>
    <w:rsid w:val="00021D52"/>
    <w:rsid w:val="0003652B"/>
    <w:rsid w:val="000B726D"/>
    <w:rsid w:val="000D11B7"/>
    <w:rsid w:val="000D5EB1"/>
    <w:rsid w:val="000D78D3"/>
    <w:rsid w:val="00103343"/>
    <w:rsid w:val="001071E4"/>
    <w:rsid w:val="00113B65"/>
    <w:rsid w:val="00123FEB"/>
    <w:rsid w:val="00125930"/>
    <w:rsid w:val="001425B3"/>
    <w:rsid w:val="001620EE"/>
    <w:rsid w:val="001755B8"/>
    <w:rsid w:val="001B118A"/>
    <w:rsid w:val="001B140B"/>
    <w:rsid w:val="001C30C3"/>
    <w:rsid w:val="001E1116"/>
    <w:rsid w:val="001E793C"/>
    <w:rsid w:val="001F3200"/>
    <w:rsid w:val="00203E71"/>
    <w:rsid w:val="0022144A"/>
    <w:rsid w:val="00232888"/>
    <w:rsid w:val="00245DA3"/>
    <w:rsid w:val="00254CAD"/>
    <w:rsid w:val="00272DE1"/>
    <w:rsid w:val="002773F7"/>
    <w:rsid w:val="002A415C"/>
    <w:rsid w:val="002B359F"/>
    <w:rsid w:val="002C27EE"/>
    <w:rsid w:val="002C646E"/>
    <w:rsid w:val="002D5335"/>
    <w:rsid w:val="002F1B7F"/>
    <w:rsid w:val="00310D24"/>
    <w:rsid w:val="00317639"/>
    <w:rsid w:val="00335A7C"/>
    <w:rsid w:val="00345013"/>
    <w:rsid w:val="0034773B"/>
    <w:rsid w:val="00350757"/>
    <w:rsid w:val="00354F5C"/>
    <w:rsid w:val="00366475"/>
    <w:rsid w:val="00384CAC"/>
    <w:rsid w:val="003A363B"/>
    <w:rsid w:val="003A6617"/>
    <w:rsid w:val="003B68AB"/>
    <w:rsid w:val="003B7A44"/>
    <w:rsid w:val="003C70DE"/>
    <w:rsid w:val="003D0985"/>
    <w:rsid w:val="003D7A33"/>
    <w:rsid w:val="003E0258"/>
    <w:rsid w:val="003E38DF"/>
    <w:rsid w:val="003E6B30"/>
    <w:rsid w:val="003F6FFE"/>
    <w:rsid w:val="00434AF1"/>
    <w:rsid w:val="00455677"/>
    <w:rsid w:val="0045618B"/>
    <w:rsid w:val="00493DBC"/>
    <w:rsid w:val="004D171C"/>
    <w:rsid w:val="004E2BB3"/>
    <w:rsid w:val="005024C4"/>
    <w:rsid w:val="005235A8"/>
    <w:rsid w:val="00575408"/>
    <w:rsid w:val="00577995"/>
    <w:rsid w:val="005943D7"/>
    <w:rsid w:val="00597D5A"/>
    <w:rsid w:val="005B0CCF"/>
    <w:rsid w:val="005D6EDD"/>
    <w:rsid w:val="006249D1"/>
    <w:rsid w:val="00641744"/>
    <w:rsid w:val="0066699B"/>
    <w:rsid w:val="00675031"/>
    <w:rsid w:val="006809F3"/>
    <w:rsid w:val="00682C1C"/>
    <w:rsid w:val="00691663"/>
    <w:rsid w:val="0069615D"/>
    <w:rsid w:val="006B5C3E"/>
    <w:rsid w:val="006D556B"/>
    <w:rsid w:val="006E7A3B"/>
    <w:rsid w:val="006F6469"/>
    <w:rsid w:val="007214B8"/>
    <w:rsid w:val="00725B3D"/>
    <w:rsid w:val="00773D50"/>
    <w:rsid w:val="007914FD"/>
    <w:rsid w:val="007A0744"/>
    <w:rsid w:val="007A4EBC"/>
    <w:rsid w:val="007E67B3"/>
    <w:rsid w:val="00801284"/>
    <w:rsid w:val="00817A7C"/>
    <w:rsid w:val="008346DB"/>
    <w:rsid w:val="00840870"/>
    <w:rsid w:val="00853B29"/>
    <w:rsid w:val="0087017A"/>
    <w:rsid w:val="00874653"/>
    <w:rsid w:val="008A2965"/>
    <w:rsid w:val="008A633C"/>
    <w:rsid w:val="008C4F53"/>
    <w:rsid w:val="008E68E0"/>
    <w:rsid w:val="009011F5"/>
    <w:rsid w:val="00913890"/>
    <w:rsid w:val="00920AB4"/>
    <w:rsid w:val="009214D4"/>
    <w:rsid w:val="009436E3"/>
    <w:rsid w:val="00952492"/>
    <w:rsid w:val="00965A61"/>
    <w:rsid w:val="00980CC1"/>
    <w:rsid w:val="009848F5"/>
    <w:rsid w:val="009A0B02"/>
    <w:rsid w:val="009A1A61"/>
    <w:rsid w:val="009B0599"/>
    <w:rsid w:val="009F4EC5"/>
    <w:rsid w:val="00A11B04"/>
    <w:rsid w:val="00A24BE2"/>
    <w:rsid w:val="00A36850"/>
    <w:rsid w:val="00A418C7"/>
    <w:rsid w:val="00A42898"/>
    <w:rsid w:val="00A862BB"/>
    <w:rsid w:val="00A95BE2"/>
    <w:rsid w:val="00AA063D"/>
    <w:rsid w:val="00AA2A49"/>
    <w:rsid w:val="00AA7AB3"/>
    <w:rsid w:val="00AB57E5"/>
    <w:rsid w:val="00AD2139"/>
    <w:rsid w:val="00AE1EC3"/>
    <w:rsid w:val="00B203B0"/>
    <w:rsid w:val="00B7573F"/>
    <w:rsid w:val="00BB0A87"/>
    <w:rsid w:val="00BD78F8"/>
    <w:rsid w:val="00BE2389"/>
    <w:rsid w:val="00BF2F41"/>
    <w:rsid w:val="00BF57EE"/>
    <w:rsid w:val="00C040FB"/>
    <w:rsid w:val="00C15765"/>
    <w:rsid w:val="00C52119"/>
    <w:rsid w:val="00CD0B32"/>
    <w:rsid w:val="00CD1193"/>
    <w:rsid w:val="00CD4D14"/>
    <w:rsid w:val="00CF0CC5"/>
    <w:rsid w:val="00CF4CEA"/>
    <w:rsid w:val="00D00D62"/>
    <w:rsid w:val="00D0659B"/>
    <w:rsid w:val="00D06A71"/>
    <w:rsid w:val="00D16E3F"/>
    <w:rsid w:val="00D227AD"/>
    <w:rsid w:val="00D43EE9"/>
    <w:rsid w:val="00D71D15"/>
    <w:rsid w:val="00D8695B"/>
    <w:rsid w:val="00DC1BC3"/>
    <w:rsid w:val="00DD28DE"/>
    <w:rsid w:val="00DE5A4B"/>
    <w:rsid w:val="00E21E6F"/>
    <w:rsid w:val="00E27708"/>
    <w:rsid w:val="00E44E32"/>
    <w:rsid w:val="00E44F81"/>
    <w:rsid w:val="00E519CA"/>
    <w:rsid w:val="00E5259B"/>
    <w:rsid w:val="00E53B5D"/>
    <w:rsid w:val="00E567FD"/>
    <w:rsid w:val="00E6592D"/>
    <w:rsid w:val="00E752DA"/>
    <w:rsid w:val="00E83C1E"/>
    <w:rsid w:val="00E92F37"/>
    <w:rsid w:val="00E96665"/>
    <w:rsid w:val="00E969B7"/>
    <w:rsid w:val="00EC6E6E"/>
    <w:rsid w:val="00ED1BAA"/>
    <w:rsid w:val="00EF5CBF"/>
    <w:rsid w:val="00EF65F7"/>
    <w:rsid w:val="00F05CB2"/>
    <w:rsid w:val="00F16B86"/>
    <w:rsid w:val="00F218F2"/>
    <w:rsid w:val="00F21EAA"/>
    <w:rsid w:val="00FA7142"/>
    <w:rsid w:val="00FB4299"/>
    <w:rsid w:val="00FC0C03"/>
    <w:rsid w:val="00FD7C4F"/>
    <w:rsid w:val="00FE1900"/>
    <w:rsid w:val="00FE356D"/>
    <w:rsid w:val="00FF24D7"/>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AFC198"/>
  <w15:docId w15:val="{55B6287B-8B26-4339-88AA-D46CF8799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B5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D28DE"/>
    <w:pPr>
      <w:tabs>
        <w:tab w:val="center" w:pos="4419"/>
        <w:tab w:val="right" w:pos="8838"/>
      </w:tabs>
    </w:pPr>
  </w:style>
  <w:style w:type="character" w:customStyle="1" w:styleId="EncabezadoCar">
    <w:name w:val="Encabezado Car"/>
    <w:basedOn w:val="Fuentedeprrafopredeter"/>
    <w:link w:val="Encabezado"/>
    <w:uiPriority w:val="99"/>
    <w:rsid w:val="00DD28DE"/>
  </w:style>
  <w:style w:type="paragraph" w:styleId="Piedepgina">
    <w:name w:val="footer"/>
    <w:basedOn w:val="Normal"/>
    <w:link w:val="PiedepginaCar"/>
    <w:uiPriority w:val="99"/>
    <w:unhideWhenUsed/>
    <w:rsid w:val="00DD28DE"/>
    <w:pPr>
      <w:tabs>
        <w:tab w:val="center" w:pos="4419"/>
        <w:tab w:val="right" w:pos="8838"/>
      </w:tabs>
    </w:pPr>
  </w:style>
  <w:style w:type="character" w:customStyle="1" w:styleId="PiedepginaCar">
    <w:name w:val="Pie de página Car"/>
    <w:basedOn w:val="Fuentedeprrafopredeter"/>
    <w:link w:val="Piedepgina"/>
    <w:uiPriority w:val="99"/>
    <w:rsid w:val="00DD28DE"/>
  </w:style>
  <w:style w:type="paragraph" w:customStyle="1" w:styleId="Ningnestilodeprrafo">
    <w:name w:val="[Ningún estilo de párrafo]"/>
    <w:rsid w:val="00DD28DE"/>
    <w:pPr>
      <w:autoSpaceDE w:val="0"/>
      <w:autoSpaceDN w:val="0"/>
      <w:adjustRightInd w:val="0"/>
      <w:spacing w:line="288" w:lineRule="auto"/>
      <w:textAlignment w:val="center"/>
    </w:pPr>
    <w:rPr>
      <w:rFonts w:ascii="Times New Roman" w:hAnsi="Times New Roman" w:cs="Times New Roman"/>
      <w:color w:val="000000"/>
      <w:lang w:val="en-GB"/>
    </w:rPr>
  </w:style>
  <w:style w:type="character" w:styleId="Nmerodepgina">
    <w:name w:val="page number"/>
    <w:basedOn w:val="Fuentedeprrafopredeter"/>
    <w:uiPriority w:val="99"/>
    <w:semiHidden/>
    <w:unhideWhenUsed/>
    <w:rsid w:val="00DD28DE"/>
  </w:style>
  <w:style w:type="paragraph" w:customStyle="1" w:styleId="ENCABEZATITULO">
    <w:name w:val="ENCABEZA TITULO"/>
    <w:basedOn w:val="Normal"/>
    <w:uiPriority w:val="99"/>
    <w:rsid w:val="007214B8"/>
    <w:pPr>
      <w:autoSpaceDE w:val="0"/>
      <w:autoSpaceDN w:val="0"/>
      <w:adjustRightInd w:val="0"/>
      <w:spacing w:line="260" w:lineRule="atLeast"/>
      <w:jc w:val="center"/>
      <w:textAlignment w:val="center"/>
    </w:pPr>
    <w:rPr>
      <w:rFonts w:ascii="Bookman Old Style" w:hAnsi="Bookman Old Style" w:cs="Bookman Old Style"/>
      <w:i/>
      <w:iCs/>
      <w:color w:val="000000"/>
      <w:spacing w:val="-3"/>
      <w:sz w:val="16"/>
      <w:szCs w:val="16"/>
      <w:lang w:val="en-US"/>
    </w:rPr>
  </w:style>
  <w:style w:type="paragraph" w:customStyle="1" w:styleId="TITULOS">
    <w:name w:val="TITULOS"/>
    <w:basedOn w:val="Ningnestilodeprrafo"/>
    <w:uiPriority w:val="99"/>
    <w:rsid w:val="003E38DF"/>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spacing w:line="280" w:lineRule="atLeast"/>
      <w:jc w:val="center"/>
    </w:pPr>
    <w:rPr>
      <w:rFonts w:ascii="Bookman Old Style" w:hAnsi="Bookman Old Style" w:cs="Bookman Old Style"/>
      <w:b/>
      <w:bCs/>
      <w:sz w:val="28"/>
      <w:szCs w:val="28"/>
      <w:lang w:val="es-ES_tradnl"/>
    </w:rPr>
  </w:style>
  <w:style w:type="paragraph" w:customStyle="1" w:styleId="TEXTO">
    <w:name w:val="TEXTO"/>
    <w:basedOn w:val="Normal"/>
    <w:uiPriority w:val="99"/>
    <w:rsid w:val="003E38DF"/>
    <w:pPr>
      <w:autoSpaceDE w:val="0"/>
      <w:autoSpaceDN w:val="0"/>
      <w:adjustRightInd w:val="0"/>
      <w:spacing w:before="113" w:after="113" w:line="240" w:lineRule="atLeast"/>
      <w:ind w:firstLine="283"/>
      <w:jc w:val="both"/>
      <w:textAlignment w:val="center"/>
    </w:pPr>
    <w:rPr>
      <w:rFonts w:ascii="Bookman Old Style" w:hAnsi="Bookman Old Style" w:cs="Bookman Old Style"/>
      <w:color w:val="000000"/>
      <w:sz w:val="20"/>
      <w:szCs w:val="20"/>
    </w:rPr>
  </w:style>
  <w:style w:type="paragraph" w:customStyle="1" w:styleId="autor">
    <w:name w:val="autor"/>
    <w:basedOn w:val="Ningnestilodeprrafo"/>
    <w:uiPriority w:val="99"/>
    <w:rsid w:val="003E38DF"/>
    <w:pPr>
      <w:suppressAutoHyphens/>
      <w:spacing w:line="240" w:lineRule="atLeast"/>
      <w:jc w:val="right"/>
      <w:textAlignment w:val="baseline"/>
    </w:pPr>
    <w:rPr>
      <w:rFonts w:ascii="Bookman Old Style" w:hAnsi="Bookman Old Style" w:cs="Bookman Old Style"/>
      <w:i/>
      <w:iCs/>
    </w:rPr>
  </w:style>
  <w:style w:type="paragraph" w:customStyle="1" w:styleId="BIOAUTOR">
    <w:name w:val="BIO AUTOR"/>
    <w:basedOn w:val="TEXTO"/>
    <w:uiPriority w:val="99"/>
    <w:rsid w:val="003E38DF"/>
    <w:pPr>
      <w:spacing w:before="0" w:after="0" w:line="220" w:lineRule="atLeast"/>
      <w:ind w:firstLine="0"/>
      <w:jc w:val="right"/>
    </w:pPr>
    <w:rPr>
      <w:sz w:val="16"/>
      <w:szCs w:val="16"/>
    </w:rPr>
  </w:style>
  <w:style w:type="paragraph" w:customStyle="1" w:styleId="TITULORESUMEN">
    <w:name w:val="TITULO RESUMEN"/>
    <w:basedOn w:val="Ningnestilodeprrafo"/>
    <w:uiPriority w:val="99"/>
    <w:rsid w:val="003E38DF"/>
    <w:pPr>
      <w:suppressAutoHyphens/>
      <w:ind w:firstLine="283"/>
      <w:jc w:val="both"/>
      <w:textAlignment w:val="baseline"/>
    </w:pPr>
    <w:rPr>
      <w:rFonts w:ascii="Bookman Old Style" w:hAnsi="Bookman Old Style" w:cs="Bookman Old Style"/>
      <w:b/>
      <w:bCs/>
      <w:sz w:val="20"/>
      <w:szCs w:val="20"/>
    </w:rPr>
  </w:style>
  <w:style w:type="paragraph" w:customStyle="1" w:styleId="PARRAFORESUMEN">
    <w:name w:val="PARRAFO RESUMEN"/>
    <w:basedOn w:val="TEXTO"/>
    <w:uiPriority w:val="99"/>
    <w:rsid w:val="003E38DF"/>
    <w:pPr>
      <w:spacing w:before="0" w:after="0"/>
      <w:ind w:left="283" w:firstLine="0"/>
    </w:pPr>
    <w:rPr>
      <w:u w:color="000000"/>
    </w:rPr>
  </w:style>
  <w:style w:type="paragraph" w:styleId="Revisin">
    <w:name w:val="Revision"/>
    <w:hidden/>
    <w:uiPriority w:val="99"/>
    <w:semiHidden/>
    <w:rsid w:val="002C27EE"/>
  </w:style>
  <w:style w:type="paragraph" w:styleId="Sinespaciado">
    <w:name w:val="No Spacing"/>
    <w:link w:val="SinespaciadoCar"/>
    <w:uiPriority w:val="1"/>
    <w:qFormat/>
    <w:rsid w:val="002C27EE"/>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2C27EE"/>
    <w:rPr>
      <w:rFonts w:eastAsiaTheme="minorEastAsia"/>
      <w:sz w:val="22"/>
      <w:szCs w:val="22"/>
      <w:lang w:val="en-US" w:eastAsia="zh-CN"/>
    </w:rPr>
  </w:style>
  <w:style w:type="paragraph" w:customStyle="1" w:styleId="1">
    <w:name w:val="1"/>
    <w:basedOn w:val="TEXTO"/>
    <w:uiPriority w:val="99"/>
    <w:rsid w:val="00123FEB"/>
    <w:pPr>
      <w:suppressAutoHyphens/>
      <w:spacing w:before="340"/>
      <w:ind w:left="283" w:hanging="283"/>
    </w:pPr>
    <w:rPr>
      <w:b/>
      <w:bCs/>
      <w:i/>
      <w:iCs/>
    </w:rPr>
  </w:style>
  <w:style w:type="paragraph" w:customStyle="1" w:styleId="NOTADEPIE">
    <w:name w:val="NOTA DE PIE"/>
    <w:basedOn w:val="Normal"/>
    <w:uiPriority w:val="99"/>
    <w:rsid w:val="00123FEB"/>
    <w:pPr>
      <w:autoSpaceDE w:val="0"/>
      <w:autoSpaceDN w:val="0"/>
      <w:adjustRightInd w:val="0"/>
      <w:spacing w:line="160" w:lineRule="atLeast"/>
      <w:ind w:left="283" w:hanging="283"/>
      <w:jc w:val="both"/>
      <w:textAlignment w:val="baseline"/>
    </w:pPr>
    <w:rPr>
      <w:rFonts w:ascii="Bookman Old Style" w:hAnsi="Bookman Old Style" w:cs="Bookman Old Style"/>
      <w:color w:val="000000"/>
      <w:sz w:val="14"/>
      <w:szCs w:val="14"/>
    </w:rPr>
  </w:style>
  <w:style w:type="paragraph" w:styleId="HTMLconformatoprevio">
    <w:name w:val="HTML Preformatted"/>
    <w:basedOn w:val="Normal"/>
    <w:link w:val="HTMLconformatoprevioCar"/>
    <w:uiPriority w:val="99"/>
    <w:semiHidden/>
    <w:unhideWhenUsed/>
    <w:rsid w:val="006F6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VE" w:eastAsia="es-ES_tradnl"/>
    </w:rPr>
  </w:style>
  <w:style w:type="character" w:customStyle="1" w:styleId="HTMLconformatoprevioCar">
    <w:name w:val="HTML con formato previo Car"/>
    <w:basedOn w:val="Fuentedeprrafopredeter"/>
    <w:link w:val="HTMLconformatoprevio"/>
    <w:uiPriority w:val="99"/>
    <w:semiHidden/>
    <w:rsid w:val="006F6469"/>
    <w:rPr>
      <w:rFonts w:ascii="Courier New" w:eastAsia="Times New Roman" w:hAnsi="Courier New" w:cs="Courier New"/>
      <w:sz w:val="20"/>
      <w:szCs w:val="20"/>
      <w:lang w:val="es-VE" w:eastAsia="es-ES_tradnl"/>
    </w:rPr>
  </w:style>
  <w:style w:type="paragraph" w:styleId="Descripcin">
    <w:name w:val="caption"/>
    <w:basedOn w:val="Normal"/>
    <w:uiPriority w:val="35"/>
    <w:qFormat/>
    <w:rsid w:val="00E44E32"/>
    <w:pPr>
      <w:widowControl w:val="0"/>
      <w:jc w:val="center"/>
    </w:pPr>
    <w:rPr>
      <w:rFonts w:ascii="Arial" w:eastAsia="Times New Roman" w:hAnsi="Arial" w:cs="Times New Roman"/>
      <w:b/>
      <w:sz w:val="22"/>
      <w:szCs w:val="20"/>
      <w:lang w:val="es-ES" w:eastAsia="es-ES"/>
    </w:rPr>
  </w:style>
  <w:style w:type="character" w:styleId="Refdenotaalpie">
    <w:name w:val="footnote reference"/>
    <w:semiHidden/>
    <w:rsid w:val="00E44E32"/>
    <w:rPr>
      <w:vertAlign w:val="superscript"/>
    </w:rPr>
  </w:style>
  <w:style w:type="paragraph" w:styleId="Textonotaalfinal">
    <w:name w:val="endnote text"/>
    <w:basedOn w:val="Normal"/>
    <w:link w:val="TextonotaalfinalCar"/>
    <w:uiPriority w:val="99"/>
    <w:rsid w:val="00E44E32"/>
    <w:rPr>
      <w:rFonts w:ascii="Times New Roman" w:eastAsia="Times New Roman" w:hAnsi="Times New Roman" w:cs="Times New Roman"/>
      <w:sz w:val="20"/>
      <w:szCs w:val="20"/>
      <w:lang w:val="x-none" w:eastAsia="x-none"/>
    </w:rPr>
  </w:style>
  <w:style w:type="character" w:customStyle="1" w:styleId="TextonotaalfinalCar">
    <w:name w:val="Texto nota al final Car"/>
    <w:basedOn w:val="Fuentedeprrafopredeter"/>
    <w:link w:val="Textonotaalfinal"/>
    <w:uiPriority w:val="99"/>
    <w:rsid w:val="00E44E32"/>
    <w:rPr>
      <w:rFonts w:ascii="Times New Roman" w:eastAsia="Times New Roman" w:hAnsi="Times New Roman" w:cs="Times New Roman"/>
      <w:sz w:val="20"/>
      <w:szCs w:val="20"/>
      <w:lang w:val="x-none" w:eastAsia="x-none"/>
    </w:rPr>
  </w:style>
  <w:style w:type="character" w:styleId="Refdenotaalfinal">
    <w:name w:val="endnote reference"/>
    <w:rsid w:val="00E44E32"/>
    <w:rPr>
      <w:vertAlign w:val="superscript"/>
    </w:rPr>
  </w:style>
  <w:style w:type="character" w:customStyle="1" w:styleId="TextodegloboCar">
    <w:name w:val="Texto de globo Car"/>
    <w:basedOn w:val="Fuentedeprrafopredeter"/>
    <w:link w:val="Textodeglobo"/>
    <w:uiPriority w:val="99"/>
    <w:semiHidden/>
    <w:rsid w:val="00E44E32"/>
    <w:rPr>
      <w:rFonts w:ascii="Tahoma" w:hAnsi="Tahoma" w:cs="Tahoma"/>
      <w:sz w:val="16"/>
      <w:szCs w:val="16"/>
      <w:lang w:val="es-VE"/>
    </w:rPr>
  </w:style>
  <w:style w:type="paragraph" w:styleId="Textodeglobo">
    <w:name w:val="Balloon Text"/>
    <w:basedOn w:val="Normal"/>
    <w:link w:val="TextodegloboCar"/>
    <w:uiPriority w:val="99"/>
    <w:semiHidden/>
    <w:unhideWhenUsed/>
    <w:rsid w:val="00E44E32"/>
    <w:rPr>
      <w:rFonts w:ascii="Tahoma" w:hAnsi="Tahoma" w:cs="Tahoma"/>
      <w:sz w:val="16"/>
      <w:szCs w:val="16"/>
      <w:lang w:val="es-VE"/>
    </w:rPr>
  </w:style>
  <w:style w:type="paragraph" w:styleId="Textonotapie">
    <w:name w:val="footnote text"/>
    <w:basedOn w:val="Normal"/>
    <w:link w:val="TextonotapieCar"/>
    <w:semiHidden/>
    <w:unhideWhenUsed/>
    <w:rsid w:val="00E44E32"/>
    <w:rPr>
      <w:sz w:val="20"/>
      <w:szCs w:val="20"/>
      <w:lang w:val="es-VE"/>
    </w:rPr>
  </w:style>
  <w:style w:type="character" w:customStyle="1" w:styleId="TextonotapieCar">
    <w:name w:val="Texto nota pie Car"/>
    <w:basedOn w:val="Fuentedeprrafopredeter"/>
    <w:link w:val="Textonotapie"/>
    <w:semiHidden/>
    <w:rsid w:val="00E44E32"/>
    <w:rPr>
      <w:sz w:val="20"/>
      <w:szCs w:val="20"/>
      <w:lang w:val="es-VE"/>
    </w:rPr>
  </w:style>
  <w:style w:type="paragraph" w:styleId="Prrafodelista">
    <w:name w:val="List Paragraph"/>
    <w:basedOn w:val="Normal"/>
    <w:uiPriority w:val="34"/>
    <w:qFormat/>
    <w:rsid w:val="00E44E32"/>
    <w:pPr>
      <w:spacing w:after="200" w:line="276" w:lineRule="auto"/>
      <w:ind w:left="720"/>
      <w:contextualSpacing/>
    </w:pPr>
    <w:rPr>
      <w:sz w:val="22"/>
      <w:szCs w:val="22"/>
      <w:lang w:val="es-VE"/>
    </w:rPr>
  </w:style>
  <w:style w:type="character" w:styleId="Hipervnculo">
    <w:name w:val="Hyperlink"/>
    <w:basedOn w:val="Fuentedeprrafopredeter"/>
    <w:uiPriority w:val="99"/>
    <w:unhideWhenUsed/>
    <w:rsid w:val="00E44E32"/>
    <w:rPr>
      <w:color w:val="0563C1" w:themeColor="hyperlink"/>
      <w:u w:val="single"/>
    </w:rPr>
  </w:style>
  <w:style w:type="paragraph" w:customStyle="1" w:styleId="Default">
    <w:name w:val="Default"/>
    <w:rsid w:val="00E44E32"/>
    <w:pPr>
      <w:autoSpaceDE w:val="0"/>
      <w:autoSpaceDN w:val="0"/>
      <w:adjustRightInd w:val="0"/>
    </w:pPr>
    <w:rPr>
      <w:rFonts w:ascii="Times New Roman" w:hAnsi="Times New Roman" w:cs="Times New Roman"/>
      <w:color w:val="000000"/>
      <w:lang w:val="es-VE"/>
    </w:rPr>
  </w:style>
  <w:style w:type="table" w:customStyle="1" w:styleId="TableNormal">
    <w:name w:val="Table Normal"/>
    <w:uiPriority w:val="2"/>
    <w:semiHidden/>
    <w:unhideWhenUsed/>
    <w:qFormat/>
    <w:rsid w:val="00E92F37"/>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E92F37"/>
    <w:pPr>
      <w:widowControl w:val="0"/>
      <w:autoSpaceDE w:val="0"/>
      <w:autoSpaceDN w:val="0"/>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E92F37"/>
    <w:rPr>
      <w:rFonts w:ascii="Arial MT" w:eastAsia="Arial MT" w:hAnsi="Arial MT" w:cs="Arial MT"/>
      <w:lang w:val="es-ES"/>
    </w:rPr>
  </w:style>
  <w:style w:type="paragraph" w:customStyle="1" w:styleId="TableParagraph">
    <w:name w:val="Table Paragraph"/>
    <w:basedOn w:val="Normal"/>
    <w:uiPriority w:val="1"/>
    <w:qFormat/>
    <w:rsid w:val="00E92F37"/>
    <w:pPr>
      <w:widowControl w:val="0"/>
      <w:autoSpaceDE w:val="0"/>
      <w:autoSpaceDN w:val="0"/>
      <w:spacing w:before="16" w:line="133" w:lineRule="exact"/>
      <w:jc w:val="right"/>
    </w:pPr>
    <w:rPr>
      <w:rFonts w:ascii="Arial MT" w:eastAsia="Arial MT" w:hAnsi="Arial MT" w:cs="Arial MT"/>
      <w:sz w:val="22"/>
      <w:szCs w:val="22"/>
      <w:lang w:val="es-ES"/>
    </w:rPr>
  </w:style>
  <w:style w:type="paragraph" w:styleId="NormalWeb">
    <w:name w:val="Normal (Web)"/>
    <w:basedOn w:val="Normal"/>
    <w:link w:val="NormalWebCar"/>
    <w:uiPriority w:val="99"/>
    <w:unhideWhenUsed/>
    <w:rsid w:val="00D43EE9"/>
    <w:pPr>
      <w:spacing w:before="100" w:beforeAutospacing="1" w:after="100" w:afterAutospacing="1"/>
    </w:pPr>
    <w:rPr>
      <w:rFonts w:ascii="Times New Roman" w:eastAsia="Times New Roman" w:hAnsi="Times New Roman" w:cs="Times New Roman"/>
      <w:lang w:val="es-VE" w:eastAsia="es-VE"/>
    </w:rPr>
  </w:style>
  <w:style w:type="paragraph" w:customStyle="1" w:styleId="PrrafoTDC">
    <w:name w:val="Párrafo TDC"/>
    <w:basedOn w:val="Normal"/>
    <w:link w:val="PrrafoTDCCar"/>
    <w:qFormat/>
    <w:rsid w:val="002B359F"/>
    <w:pPr>
      <w:spacing w:after="240" w:line="360" w:lineRule="auto"/>
      <w:ind w:firstLine="284"/>
      <w:jc w:val="both"/>
    </w:pPr>
    <w:rPr>
      <w:rFonts w:ascii="AGaramond" w:hAnsi="AGaramond"/>
      <w:sz w:val="22"/>
      <w:szCs w:val="22"/>
      <w:lang w:val="es-ES"/>
    </w:rPr>
  </w:style>
  <w:style w:type="paragraph" w:customStyle="1" w:styleId="Puntos">
    <w:name w:val="Puntos"/>
    <w:basedOn w:val="NormalWeb"/>
    <w:link w:val="PuntosCar"/>
    <w:qFormat/>
    <w:rsid w:val="002B359F"/>
    <w:pPr>
      <w:numPr>
        <w:numId w:val="24"/>
      </w:numPr>
      <w:tabs>
        <w:tab w:val="left" w:pos="360"/>
        <w:tab w:val="left" w:pos="624"/>
      </w:tabs>
      <w:spacing w:before="0" w:beforeAutospacing="0" w:line="276" w:lineRule="auto"/>
      <w:jc w:val="both"/>
    </w:pPr>
    <w:rPr>
      <w:rFonts w:ascii="AGaramond" w:hAnsi="AGaramond"/>
      <w:sz w:val="22"/>
      <w:szCs w:val="20"/>
      <w:lang w:val="es-ES"/>
    </w:rPr>
  </w:style>
  <w:style w:type="character" w:customStyle="1" w:styleId="PrrafoTDCCar">
    <w:name w:val="Párrafo TDC Car"/>
    <w:basedOn w:val="Fuentedeprrafopredeter"/>
    <w:link w:val="PrrafoTDC"/>
    <w:rsid w:val="002B359F"/>
    <w:rPr>
      <w:rFonts w:ascii="AGaramond" w:hAnsi="AGaramond"/>
      <w:sz w:val="22"/>
      <w:szCs w:val="22"/>
      <w:lang w:val="es-ES"/>
    </w:rPr>
  </w:style>
  <w:style w:type="paragraph" w:customStyle="1" w:styleId="Ttulos">
    <w:name w:val="Títulos"/>
    <w:basedOn w:val="Normal"/>
    <w:link w:val="TtulosCar"/>
    <w:qFormat/>
    <w:rsid w:val="003F6FFE"/>
    <w:pPr>
      <w:spacing w:after="240" w:line="360" w:lineRule="auto"/>
      <w:jc w:val="both"/>
    </w:pPr>
    <w:rPr>
      <w:rFonts w:ascii="AGaramond" w:hAnsi="AGaramond" w:cs="Times New Roman"/>
      <w:b/>
    </w:rPr>
  </w:style>
  <w:style w:type="character" w:customStyle="1" w:styleId="NormalWebCar">
    <w:name w:val="Normal (Web) Car"/>
    <w:basedOn w:val="Fuentedeprrafopredeter"/>
    <w:link w:val="NormalWeb"/>
    <w:uiPriority w:val="99"/>
    <w:rsid w:val="002B359F"/>
    <w:rPr>
      <w:rFonts w:ascii="Times New Roman" w:eastAsia="Times New Roman" w:hAnsi="Times New Roman" w:cs="Times New Roman"/>
      <w:lang w:val="es-VE" w:eastAsia="es-VE"/>
    </w:rPr>
  </w:style>
  <w:style w:type="character" w:customStyle="1" w:styleId="PuntosCar">
    <w:name w:val="Puntos Car"/>
    <w:basedOn w:val="NormalWebCar"/>
    <w:link w:val="Puntos"/>
    <w:rsid w:val="002B359F"/>
    <w:rPr>
      <w:rFonts w:ascii="AGaramond" w:eastAsia="Times New Roman" w:hAnsi="AGaramond" w:cs="Times New Roman"/>
      <w:sz w:val="22"/>
      <w:szCs w:val="20"/>
      <w:lang w:val="es-ES" w:eastAsia="es-VE"/>
    </w:rPr>
  </w:style>
  <w:style w:type="character" w:styleId="Mencinsinresolver">
    <w:name w:val="Unresolved Mention"/>
    <w:basedOn w:val="Fuentedeprrafopredeter"/>
    <w:uiPriority w:val="99"/>
    <w:semiHidden/>
    <w:unhideWhenUsed/>
    <w:rsid w:val="00E752DA"/>
    <w:rPr>
      <w:color w:val="605E5C"/>
      <w:shd w:val="clear" w:color="auto" w:fill="E1DFDD"/>
    </w:rPr>
  </w:style>
  <w:style w:type="character" w:customStyle="1" w:styleId="TtulosCar">
    <w:name w:val="Títulos Car"/>
    <w:basedOn w:val="Fuentedeprrafopredeter"/>
    <w:link w:val="Ttulos"/>
    <w:rsid w:val="003F6FFE"/>
    <w:rPr>
      <w:rFonts w:ascii="AGaramond" w:hAnsi="AGaramond"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453683">
      <w:bodyDiv w:val="1"/>
      <w:marLeft w:val="0"/>
      <w:marRight w:val="0"/>
      <w:marTop w:val="0"/>
      <w:marBottom w:val="0"/>
      <w:divBdr>
        <w:top w:val="none" w:sz="0" w:space="0" w:color="auto"/>
        <w:left w:val="none" w:sz="0" w:space="0" w:color="auto"/>
        <w:bottom w:val="none" w:sz="0" w:space="0" w:color="auto"/>
        <w:right w:val="none" w:sz="0" w:space="0" w:color="auto"/>
      </w:divBdr>
    </w:div>
    <w:div w:id="641883490">
      <w:bodyDiv w:val="1"/>
      <w:marLeft w:val="0"/>
      <w:marRight w:val="0"/>
      <w:marTop w:val="0"/>
      <w:marBottom w:val="0"/>
      <w:divBdr>
        <w:top w:val="none" w:sz="0" w:space="0" w:color="auto"/>
        <w:left w:val="none" w:sz="0" w:space="0" w:color="auto"/>
        <w:bottom w:val="none" w:sz="0" w:space="0" w:color="auto"/>
        <w:right w:val="none" w:sz="0" w:space="0" w:color="auto"/>
      </w:divBdr>
    </w:div>
    <w:div w:id="1263028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yperlink" Target="https://www.cepal.org/es/temas/proyecciones-demograficas/america-latina-caribe-estimaciones-proyecciones-poblacion"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F003F-A235-4E2A-8796-0668F6A4E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13</Pages>
  <Words>1815</Words>
  <Characters>9988</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Oscar Núñez</cp:lastModifiedBy>
  <cp:revision>51</cp:revision>
  <cp:lastPrinted>2021-11-09T18:41:00Z</cp:lastPrinted>
  <dcterms:created xsi:type="dcterms:W3CDTF">2021-10-25T22:45:00Z</dcterms:created>
  <dcterms:modified xsi:type="dcterms:W3CDTF">2022-02-02T13:27:00Z</dcterms:modified>
</cp:coreProperties>
</file>