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02E2B" w14:textId="77777777" w:rsidR="00310D24" w:rsidRPr="00627354" w:rsidRDefault="00310D24" w:rsidP="00BF2F41">
      <w:pPr>
        <w:pStyle w:val="TITULOS"/>
        <w:rPr>
          <w:rFonts w:ascii="AGaramond" w:hAnsi="AGaramond"/>
          <w:sz w:val="32"/>
          <w:szCs w:val="32"/>
        </w:rPr>
      </w:pPr>
    </w:p>
    <w:p w14:paraId="1B689257" w14:textId="5EE568A9" w:rsidR="00F83AC2" w:rsidRPr="00627354" w:rsidRDefault="00F16B4C" w:rsidP="00BF2F41">
      <w:pPr>
        <w:pStyle w:val="TITULOS"/>
        <w:rPr>
          <w:rFonts w:ascii="AGaramond" w:hAnsi="AGaramond"/>
          <w:sz w:val="32"/>
          <w:szCs w:val="32"/>
        </w:rPr>
      </w:pPr>
      <w:bookmarkStart w:id="0" w:name="_Hlk87275528"/>
      <w:r w:rsidRPr="00F16B4C">
        <w:rPr>
          <w:rFonts w:ascii="AGaramond" w:hAnsi="AGaramond"/>
          <w:sz w:val="32"/>
          <w:szCs w:val="32"/>
        </w:rPr>
        <w:t>Reflexiones sobre la corrupción del Estado, el desarrollo económico y la renta de los recursos naturales en</w:t>
      </w:r>
      <w:r w:rsidR="00526219">
        <w:rPr>
          <w:rFonts w:ascii="AGaramond" w:hAnsi="AGaramond"/>
          <w:sz w:val="32"/>
          <w:szCs w:val="32"/>
        </w:rPr>
        <w:t xml:space="preserve"> A</w:t>
      </w:r>
      <w:r w:rsidRPr="00F16B4C">
        <w:rPr>
          <w:rFonts w:ascii="AGaramond" w:hAnsi="AGaramond"/>
          <w:sz w:val="32"/>
          <w:szCs w:val="32"/>
        </w:rPr>
        <w:t xml:space="preserve">mérica </w:t>
      </w:r>
      <w:r w:rsidR="00526219">
        <w:rPr>
          <w:rFonts w:ascii="AGaramond" w:hAnsi="AGaramond"/>
          <w:sz w:val="32"/>
          <w:szCs w:val="32"/>
        </w:rPr>
        <w:t>L</w:t>
      </w:r>
      <w:r w:rsidRPr="00F16B4C">
        <w:rPr>
          <w:rFonts w:ascii="AGaramond" w:hAnsi="AGaramond"/>
          <w:sz w:val="32"/>
          <w:szCs w:val="32"/>
        </w:rPr>
        <w:t>atina: una respuesta a Calderón y Castell</w:t>
      </w:r>
      <w:r w:rsidR="00770F21">
        <w:rPr>
          <w:rFonts w:ascii="AGaramond" w:hAnsi="AGaramond"/>
          <w:sz w:val="32"/>
          <w:szCs w:val="32"/>
        </w:rPr>
        <w:t>s</w:t>
      </w:r>
    </w:p>
    <w:bookmarkEnd w:id="0"/>
    <w:p w14:paraId="6EC086C0" w14:textId="77777777" w:rsidR="00F83AC2" w:rsidRPr="00627354" w:rsidRDefault="00F83AC2" w:rsidP="00BF2F41">
      <w:pPr>
        <w:pStyle w:val="TITULOS"/>
        <w:rPr>
          <w:rFonts w:ascii="AGaramond" w:hAnsi="AGaramond"/>
          <w:sz w:val="32"/>
          <w:szCs w:val="32"/>
        </w:rPr>
      </w:pPr>
    </w:p>
    <w:p w14:paraId="256BC753" w14:textId="28EE9F62" w:rsidR="009A0B02" w:rsidRPr="00627354" w:rsidRDefault="00F16B4C" w:rsidP="006F6469">
      <w:pPr>
        <w:pStyle w:val="TITULOS"/>
        <w:jc w:val="right"/>
        <w:outlineLvl w:val="0"/>
        <w:rPr>
          <w:rFonts w:ascii="AGaramond" w:hAnsi="AGaramond"/>
          <w:b w:val="0"/>
          <w:i/>
          <w:iCs/>
          <w:sz w:val="16"/>
          <w:szCs w:val="16"/>
        </w:rPr>
      </w:pPr>
      <w:r>
        <w:rPr>
          <w:rFonts w:ascii="AGaramond" w:hAnsi="AGaramond" w:cs="Arial"/>
          <w:b w:val="0"/>
          <w:i/>
          <w:iCs/>
          <w:szCs w:val="22"/>
        </w:rPr>
        <w:t>Jorge Hernández</w:t>
      </w:r>
    </w:p>
    <w:p w14:paraId="415AB44E" w14:textId="5B5BC13B" w:rsidR="00160FBC" w:rsidRPr="00627354" w:rsidRDefault="00F16B4C" w:rsidP="00160FBC">
      <w:pPr>
        <w:pStyle w:val="TITULOS"/>
        <w:jc w:val="right"/>
        <w:outlineLvl w:val="0"/>
        <w:rPr>
          <w:rFonts w:ascii="AGaramond" w:hAnsi="AGaramond"/>
          <w:b w:val="0"/>
          <w:sz w:val="16"/>
          <w:szCs w:val="16"/>
        </w:rPr>
      </w:pPr>
      <w:r>
        <w:rPr>
          <w:rFonts w:ascii="AGaramond" w:hAnsi="AGaramond"/>
          <w:b w:val="0"/>
          <w:sz w:val="16"/>
          <w:szCs w:val="16"/>
        </w:rPr>
        <w:t xml:space="preserve">Economista. Máster en </w:t>
      </w:r>
      <w:r w:rsidR="00E03956">
        <w:rPr>
          <w:rFonts w:ascii="AGaramond" w:hAnsi="AGaramond"/>
          <w:b w:val="0"/>
          <w:sz w:val="16"/>
          <w:szCs w:val="16"/>
        </w:rPr>
        <w:t>E</w:t>
      </w:r>
      <w:r>
        <w:rPr>
          <w:rFonts w:ascii="AGaramond" w:hAnsi="AGaramond"/>
          <w:b w:val="0"/>
          <w:sz w:val="16"/>
          <w:szCs w:val="16"/>
        </w:rPr>
        <w:t>conomía Matemática.</w:t>
      </w:r>
    </w:p>
    <w:p w14:paraId="417AC8F9" w14:textId="2D0D628A" w:rsidR="002C27EE" w:rsidRPr="00627354" w:rsidRDefault="00F16B4C" w:rsidP="00160FBC">
      <w:pPr>
        <w:pStyle w:val="TITULOS"/>
        <w:spacing w:line="276" w:lineRule="auto"/>
        <w:jc w:val="right"/>
        <w:outlineLvl w:val="0"/>
        <w:rPr>
          <w:rFonts w:ascii="AGaramond" w:hAnsi="AGaramond"/>
          <w:b w:val="0"/>
          <w:sz w:val="16"/>
          <w:szCs w:val="16"/>
        </w:rPr>
      </w:pPr>
      <w:r>
        <w:rPr>
          <w:rFonts w:ascii="AGaramond" w:hAnsi="AGaramond"/>
          <w:b w:val="0"/>
          <w:sz w:val="16"/>
          <w:szCs w:val="16"/>
        </w:rPr>
        <w:t>Profesor asociado (</w:t>
      </w:r>
      <w:proofErr w:type="spellStart"/>
      <w:r>
        <w:rPr>
          <w:rFonts w:ascii="AGaramond" w:hAnsi="AGaramond"/>
          <w:b w:val="0"/>
          <w:sz w:val="16"/>
          <w:szCs w:val="16"/>
        </w:rPr>
        <w:t>UNIMET</w:t>
      </w:r>
      <w:proofErr w:type="spellEnd"/>
      <w:r>
        <w:rPr>
          <w:rFonts w:ascii="AGaramond" w:hAnsi="AGaramond"/>
          <w:b w:val="0"/>
          <w:sz w:val="16"/>
          <w:szCs w:val="16"/>
        </w:rPr>
        <w:t>) y profesor invitado (</w:t>
      </w:r>
      <w:proofErr w:type="spellStart"/>
      <w:r>
        <w:rPr>
          <w:rFonts w:ascii="AGaramond" w:hAnsi="AGaramond"/>
          <w:b w:val="0"/>
          <w:sz w:val="16"/>
          <w:szCs w:val="16"/>
        </w:rPr>
        <w:t>IESA</w:t>
      </w:r>
      <w:proofErr w:type="spellEnd"/>
      <w:r>
        <w:rPr>
          <w:rFonts w:ascii="AGaramond" w:hAnsi="AGaramond"/>
          <w:b w:val="0"/>
          <w:sz w:val="16"/>
          <w:szCs w:val="16"/>
        </w:rPr>
        <w:t>)</w:t>
      </w:r>
    </w:p>
    <w:p w14:paraId="1E7CCD81" w14:textId="77777777" w:rsidR="002C27EE" w:rsidRPr="00627354" w:rsidRDefault="002C27EE" w:rsidP="002C27EE">
      <w:pPr>
        <w:pStyle w:val="TITULOS"/>
        <w:jc w:val="left"/>
        <w:rPr>
          <w:rFonts w:ascii="AGaramond" w:hAnsi="AGaramond"/>
        </w:rPr>
      </w:pPr>
    </w:p>
    <w:p w14:paraId="34E4878F" w14:textId="77777777" w:rsidR="002C27EE" w:rsidRPr="00627354" w:rsidRDefault="00F16B86" w:rsidP="002C27EE">
      <w:pPr>
        <w:pStyle w:val="TITULOS"/>
        <w:jc w:val="left"/>
        <w:rPr>
          <w:rFonts w:ascii="AGaramond" w:hAnsi="AGaramond"/>
        </w:rPr>
      </w:pPr>
      <w:r w:rsidRPr="00627354">
        <w:rPr>
          <w:rFonts w:ascii="AGaramond" w:hAnsi="AGaramond"/>
          <w:noProof/>
          <w:lang w:val="es-VE" w:eastAsia="es-VE"/>
        </w:rPr>
        <mc:AlternateContent>
          <mc:Choice Requires="wps">
            <w:drawing>
              <wp:anchor distT="0" distB="0" distL="114300" distR="114300" simplePos="0" relativeHeight="251650048" behindDoc="0" locked="0" layoutInCell="1" allowOverlap="1" wp14:anchorId="1112F895" wp14:editId="1FD71A10">
                <wp:simplePos x="0" y="0"/>
                <wp:positionH relativeFrom="column">
                  <wp:posOffset>30480</wp:posOffset>
                </wp:positionH>
                <wp:positionV relativeFrom="paragraph">
                  <wp:posOffset>114300</wp:posOffset>
                </wp:positionV>
                <wp:extent cx="6273165" cy="2615565"/>
                <wp:effectExtent l="0" t="0" r="635" b="635"/>
                <wp:wrapNone/>
                <wp:docPr id="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73165" cy="2615565"/>
                        </a:xfrm>
                        <a:prstGeom prst="rect">
                          <a:avLst/>
                        </a:prstGeom>
                        <a:solidFill>
                          <a:schemeClr val="lt1">
                            <a:lumMod val="100000"/>
                            <a:lumOff val="0"/>
                          </a:schemeClr>
                        </a:solidFill>
                        <a:ln w="6350">
                          <a:solidFill>
                            <a:srgbClr val="000000"/>
                          </a:solidFill>
                          <a:miter lim="800000"/>
                          <a:headEnd/>
                          <a:tailEnd/>
                        </a:ln>
                      </wps:spPr>
                      <wps:txbx>
                        <w:txbxContent>
                          <w:p w14:paraId="51A42404" w14:textId="77777777" w:rsidR="002C27EE" w:rsidRPr="00310D24" w:rsidRDefault="002C27EE">
                            <w:pPr>
                              <w:rPr>
                                <w:rFonts w:ascii="AGaramond" w:hAnsi="AGaramond"/>
                                <w:b/>
                                <w:lang w:val="es-ES"/>
                              </w:rPr>
                            </w:pPr>
                            <w:r w:rsidRPr="00310D24">
                              <w:rPr>
                                <w:rFonts w:ascii="AGaramond" w:hAnsi="AGaramond"/>
                                <w:b/>
                                <w:lang w:val="es-ES"/>
                              </w:rPr>
                              <w:t>Resumen</w:t>
                            </w:r>
                          </w:p>
                          <w:p w14:paraId="47C38547" w14:textId="4DACF110" w:rsidR="00F83AC2" w:rsidRDefault="00F16B4C" w:rsidP="006F6469">
                            <w:pPr>
                              <w:ind w:left="708" w:right="364"/>
                              <w:jc w:val="both"/>
                              <w:rPr>
                                <w:rFonts w:ascii="AGaramond" w:hAnsi="AGaramond"/>
                                <w:sz w:val="18"/>
                                <w:szCs w:val="18"/>
                                <w:lang w:val="es-ES"/>
                              </w:rPr>
                            </w:pPr>
                            <w:r w:rsidRPr="00F16B4C">
                              <w:rPr>
                                <w:rFonts w:ascii="AGaramond" w:hAnsi="AGaramond"/>
                                <w:sz w:val="18"/>
                                <w:szCs w:val="18"/>
                                <w:lang w:val="es-ES"/>
                              </w:rPr>
                              <w:t xml:space="preserve">Este artículo es una reflexión en torno al origen de la corrupción del Estado en América Latina. Se discute que la corrupción del Estado no es intrínseca a la ideología neoliberal. De hecho, se argumenta que el desarrollismo, como modelo de gestión económica para el desarrollo, es proclive a la corrupción del Estado como consecuencia del </w:t>
                            </w:r>
                            <w:proofErr w:type="spellStart"/>
                            <w:r w:rsidRPr="00F16B4C">
                              <w:rPr>
                                <w:rFonts w:ascii="AGaramond" w:hAnsi="AGaramond"/>
                                <w:i/>
                                <w:iCs/>
                                <w:sz w:val="18"/>
                                <w:szCs w:val="18"/>
                                <w:lang w:val="es-ES"/>
                              </w:rPr>
                              <w:t>rent-seeking</w:t>
                            </w:r>
                            <w:proofErr w:type="spellEnd"/>
                            <w:r w:rsidRPr="00F16B4C">
                              <w:rPr>
                                <w:rFonts w:ascii="AGaramond" w:hAnsi="AGaramond"/>
                                <w:sz w:val="18"/>
                                <w:szCs w:val="18"/>
                                <w:lang w:val="es-ES"/>
                              </w:rPr>
                              <w:t xml:space="preserve"> y el problema del principal y el agente. Más aún, la corrupción del Estado en países ricos en recursos naturales tiene como explicación el manejo centralizado de la renta económica derivada de activos no producidos.</w:t>
                            </w:r>
                          </w:p>
                          <w:p w14:paraId="399F20D3" w14:textId="77777777" w:rsidR="00D15FD5" w:rsidRDefault="00D15FD5" w:rsidP="006F6469">
                            <w:pPr>
                              <w:ind w:left="708" w:right="364"/>
                              <w:jc w:val="both"/>
                              <w:rPr>
                                <w:rFonts w:ascii="AGaramond" w:hAnsi="AGaramond"/>
                                <w:sz w:val="18"/>
                                <w:szCs w:val="18"/>
                                <w:lang w:val="es-ES"/>
                              </w:rPr>
                            </w:pPr>
                          </w:p>
                          <w:p w14:paraId="1A6DE002" w14:textId="69748770" w:rsidR="006F6469" w:rsidRPr="00310D24" w:rsidRDefault="00D15FD5" w:rsidP="006F6469">
                            <w:pPr>
                              <w:ind w:left="708" w:right="364"/>
                              <w:jc w:val="both"/>
                              <w:rPr>
                                <w:rFonts w:ascii="AGaramond" w:hAnsi="AGaramond"/>
                                <w:sz w:val="18"/>
                                <w:szCs w:val="18"/>
                                <w:lang w:val="es-ES"/>
                              </w:rPr>
                            </w:pPr>
                            <w:r w:rsidRPr="00D15FD5">
                              <w:rPr>
                                <w:rFonts w:ascii="AGaramond" w:hAnsi="AGaramond"/>
                                <w:sz w:val="18"/>
                                <w:szCs w:val="18"/>
                              </w:rPr>
                              <w:t xml:space="preserve">Palabras clave: </w:t>
                            </w:r>
                            <w:r w:rsidR="00E11073" w:rsidRPr="00E11073">
                              <w:rPr>
                                <w:rFonts w:ascii="AGaramond" w:hAnsi="AGaramond"/>
                                <w:sz w:val="18"/>
                                <w:szCs w:val="18"/>
                              </w:rPr>
                              <w:t xml:space="preserve">Corrupción, Estado, </w:t>
                            </w:r>
                            <w:r w:rsidR="00E11073" w:rsidRPr="00E11073">
                              <w:rPr>
                                <w:rFonts w:ascii="AGaramond" w:hAnsi="AGaramond"/>
                                <w:sz w:val="18"/>
                                <w:szCs w:val="18"/>
                              </w:rPr>
                              <w:t xml:space="preserve">teoría de juegos, </w:t>
                            </w:r>
                            <w:proofErr w:type="spellStart"/>
                            <w:r w:rsidR="00E11073" w:rsidRPr="00E11073">
                              <w:rPr>
                                <w:rFonts w:ascii="AGaramond" w:hAnsi="AGaramond"/>
                                <w:sz w:val="18"/>
                                <w:szCs w:val="18"/>
                              </w:rPr>
                              <w:t>rent-seeking</w:t>
                            </w:r>
                            <w:proofErr w:type="spellEnd"/>
                            <w:r w:rsidR="00E11073" w:rsidRPr="00E11073">
                              <w:rPr>
                                <w:rFonts w:ascii="AGaramond" w:hAnsi="AGaramond"/>
                                <w:sz w:val="18"/>
                                <w:szCs w:val="18"/>
                              </w:rPr>
                              <w:t>, problema del principal y el agente</w:t>
                            </w:r>
                            <w:r w:rsidR="00E11073" w:rsidRPr="00D15FD5">
                              <w:rPr>
                                <w:rFonts w:ascii="AGaramond" w:hAnsi="AGaramond"/>
                                <w:sz w:val="18"/>
                                <w:szCs w:val="18"/>
                              </w:rPr>
                              <w:t>.</w:t>
                            </w:r>
                          </w:p>
                          <w:p w14:paraId="043779FB" w14:textId="77777777" w:rsidR="006F6469" w:rsidRPr="0066699B" w:rsidRDefault="006F6469" w:rsidP="00920AB4">
                            <w:pPr>
                              <w:ind w:left="708" w:right="364"/>
                              <w:jc w:val="both"/>
                              <w:rPr>
                                <w:rFonts w:ascii="Adobe Garamond Pro" w:hAnsi="Adobe Garamond Pro"/>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2F895" id="_x0000_t202" coordsize="21600,21600" o:spt="202" path="m,l,21600r21600,l21600,xe">
                <v:stroke joinstyle="miter"/>
                <v:path gradientshapeok="t" o:connecttype="rect"/>
              </v:shapetype>
              <v:shape id="Cuadro de texto 3" o:spid="_x0000_s1026" type="#_x0000_t202" style="position:absolute;margin-left:2.4pt;margin-top:9pt;width:493.95pt;height:205.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" fillcolor="white [3201]" strokeweight=".5pt">
                <v:path arrowok="t"/>
                <v:textbox>
                  <w:txbxContent>
                    <w:p w14:paraId="51A42404" w14:textId="77777777" w:rsidR="002C27EE" w:rsidRPr="00310D24" w:rsidRDefault="002C27EE">
                      <w:pPr>
                        <w:rPr>
                          <w:rFonts w:ascii="AGaramond" w:hAnsi="AGaramond"/>
                          <w:b/>
                          <w:lang w:val="es-ES"/>
                        </w:rPr>
                      </w:pPr>
                      <w:r w:rsidRPr="00310D24">
                        <w:rPr>
                          <w:rFonts w:ascii="AGaramond" w:hAnsi="AGaramond"/>
                          <w:b/>
                          <w:lang w:val="es-ES"/>
                        </w:rPr>
                        <w:t>Resumen</w:t>
                      </w:r>
                    </w:p>
                    <w:p w14:paraId="47C38547" w14:textId="4DACF110" w:rsidR="00F83AC2" w:rsidRDefault="00F16B4C" w:rsidP="006F6469">
                      <w:pPr>
                        <w:ind w:left="708" w:right="364"/>
                        <w:jc w:val="both"/>
                        <w:rPr>
                          <w:rFonts w:ascii="AGaramond" w:hAnsi="AGaramond"/>
                          <w:sz w:val="18"/>
                          <w:szCs w:val="18"/>
                          <w:lang w:val="es-ES"/>
                        </w:rPr>
                      </w:pPr>
                      <w:r w:rsidRPr="00F16B4C">
                        <w:rPr>
                          <w:rFonts w:ascii="AGaramond" w:hAnsi="AGaramond"/>
                          <w:sz w:val="18"/>
                          <w:szCs w:val="18"/>
                          <w:lang w:val="es-ES"/>
                        </w:rPr>
                        <w:t xml:space="preserve">Este artículo es una reflexión en torno al origen de la corrupción del Estado en América Latina. Se discute que la corrupción del Estado no es intrínseca a la ideología neoliberal. De hecho, se argumenta que el desarrollismo, como modelo de gestión económica para el desarrollo, es proclive a la corrupción del Estado como consecuencia del </w:t>
                      </w:r>
                      <w:proofErr w:type="spellStart"/>
                      <w:r w:rsidRPr="00F16B4C">
                        <w:rPr>
                          <w:rFonts w:ascii="AGaramond" w:hAnsi="AGaramond"/>
                          <w:i/>
                          <w:iCs/>
                          <w:sz w:val="18"/>
                          <w:szCs w:val="18"/>
                          <w:lang w:val="es-ES"/>
                        </w:rPr>
                        <w:t>rent-seeking</w:t>
                      </w:r>
                      <w:proofErr w:type="spellEnd"/>
                      <w:r w:rsidRPr="00F16B4C">
                        <w:rPr>
                          <w:rFonts w:ascii="AGaramond" w:hAnsi="AGaramond"/>
                          <w:sz w:val="18"/>
                          <w:szCs w:val="18"/>
                          <w:lang w:val="es-ES"/>
                        </w:rPr>
                        <w:t xml:space="preserve"> y el problema del principal y el agente. Más aún, la corrupción del Estado en países ricos en recursos naturales tiene como explicación el manejo centralizado de la renta económica derivada de activos no producidos.</w:t>
                      </w:r>
                    </w:p>
                    <w:p w14:paraId="399F20D3" w14:textId="77777777" w:rsidR="00D15FD5" w:rsidRDefault="00D15FD5" w:rsidP="006F6469">
                      <w:pPr>
                        <w:ind w:left="708" w:right="364"/>
                        <w:jc w:val="both"/>
                        <w:rPr>
                          <w:rFonts w:ascii="AGaramond" w:hAnsi="AGaramond"/>
                          <w:sz w:val="18"/>
                          <w:szCs w:val="18"/>
                          <w:lang w:val="es-ES"/>
                        </w:rPr>
                      </w:pPr>
                    </w:p>
                    <w:p w14:paraId="1A6DE002" w14:textId="69748770" w:rsidR="006F6469" w:rsidRPr="00310D24" w:rsidRDefault="00D15FD5" w:rsidP="006F6469">
                      <w:pPr>
                        <w:ind w:left="708" w:right="364"/>
                        <w:jc w:val="both"/>
                        <w:rPr>
                          <w:rFonts w:ascii="AGaramond" w:hAnsi="AGaramond"/>
                          <w:sz w:val="18"/>
                          <w:szCs w:val="18"/>
                          <w:lang w:val="es-ES"/>
                        </w:rPr>
                      </w:pPr>
                      <w:r w:rsidRPr="00D15FD5">
                        <w:rPr>
                          <w:rFonts w:ascii="AGaramond" w:hAnsi="AGaramond"/>
                          <w:sz w:val="18"/>
                          <w:szCs w:val="18"/>
                        </w:rPr>
                        <w:t xml:space="preserve">Palabras clave: </w:t>
                      </w:r>
                      <w:r w:rsidR="00E11073" w:rsidRPr="00E11073">
                        <w:rPr>
                          <w:rFonts w:ascii="AGaramond" w:hAnsi="AGaramond"/>
                          <w:sz w:val="18"/>
                          <w:szCs w:val="18"/>
                        </w:rPr>
                        <w:t xml:space="preserve">Corrupción, Estado, </w:t>
                      </w:r>
                      <w:r w:rsidR="00E11073" w:rsidRPr="00E11073">
                        <w:rPr>
                          <w:rFonts w:ascii="AGaramond" w:hAnsi="AGaramond"/>
                          <w:sz w:val="18"/>
                          <w:szCs w:val="18"/>
                        </w:rPr>
                        <w:t xml:space="preserve">teoría de juegos, </w:t>
                      </w:r>
                      <w:proofErr w:type="spellStart"/>
                      <w:r w:rsidR="00E11073" w:rsidRPr="00E11073">
                        <w:rPr>
                          <w:rFonts w:ascii="AGaramond" w:hAnsi="AGaramond"/>
                          <w:sz w:val="18"/>
                          <w:szCs w:val="18"/>
                        </w:rPr>
                        <w:t>rent-seeking</w:t>
                      </w:r>
                      <w:proofErr w:type="spellEnd"/>
                      <w:r w:rsidR="00E11073" w:rsidRPr="00E11073">
                        <w:rPr>
                          <w:rFonts w:ascii="AGaramond" w:hAnsi="AGaramond"/>
                          <w:sz w:val="18"/>
                          <w:szCs w:val="18"/>
                        </w:rPr>
                        <w:t>, problema del principal y el agente</w:t>
                      </w:r>
                      <w:r w:rsidR="00E11073" w:rsidRPr="00D15FD5">
                        <w:rPr>
                          <w:rFonts w:ascii="AGaramond" w:hAnsi="AGaramond"/>
                          <w:sz w:val="18"/>
                          <w:szCs w:val="18"/>
                        </w:rPr>
                        <w:t>.</w:t>
                      </w:r>
                    </w:p>
                    <w:p w14:paraId="043779FB" w14:textId="77777777" w:rsidR="006F6469" w:rsidRPr="0066699B" w:rsidRDefault="006F6469" w:rsidP="00920AB4">
                      <w:pPr>
                        <w:ind w:left="708" w:right="364"/>
                        <w:jc w:val="both"/>
                        <w:rPr>
                          <w:rFonts w:ascii="Adobe Garamond Pro" w:hAnsi="Adobe Garamond Pro"/>
                          <w:sz w:val="18"/>
                          <w:szCs w:val="18"/>
                          <w:lang w:val="es-ES"/>
                        </w:rPr>
                      </w:pPr>
                    </w:p>
                  </w:txbxContent>
                </v:textbox>
              </v:shape>
            </w:pict>
          </mc:Fallback>
        </mc:AlternateContent>
      </w:r>
    </w:p>
    <w:p w14:paraId="3E314D8B" w14:textId="77777777" w:rsidR="002C27EE" w:rsidRPr="00627354" w:rsidRDefault="002C27EE" w:rsidP="002C27EE">
      <w:pPr>
        <w:pStyle w:val="TITULOS"/>
        <w:jc w:val="left"/>
        <w:rPr>
          <w:rFonts w:ascii="AGaramond" w:hAnsi="AGaramond"/>
        </w:rPr>
      </w:pPr>
    </w:p>
    <w:p w14:paraId="0478AA1D" w14:textId="77777777" w:rsidR="002C27EE" w:rsidRPr="00627354" w:rsidRDefault="002C27EE" w:rsidP="002C27EE">
      <w:pPr>
        <w:pStyle w:val="TITULOS"/>
        <w:jc w:val="left"/>
        <w:rPr>
          <w:rFonts w:ascii="AGaramond" w:hAnsi="AGaramond"/>
        </w:rPr>
      </w:pPr>
    </w:p>
    <w:p w14:paraId="2422BB22" w14:textId="77777777" w:rsidR="002C27EE" w:rsidRPr="00627354" w:rsidRDefault="002C27EE" w:rsidP="002C27EE">
      <w:pPr>
        <w:pStyle w:val="TITULOS"/>
        <w:jc w:val="left"/>
        <w:rPr>
          <w:rFonts w:ascii="AGaramond" w:hAnsi="AGaramond"/>
        </w:rPr>
      </w:pPr>
    </w:p>
    <w:p w14:paraId="6371BB5A" w14:textId="77777777" w:rsidR="002C27EE" w:rsidRPr="00627354" w:rsidRDefault="002C27EE" w:rsidP="002C27EE">
      <w:pPr>
        <w:pStyle w:val="TITULOS"/>
        <w:jc w:val="left"/>
        <w:rPr>
          <w:rFonts w:ascii="AGaramond" w:hAnsi="AGaramond"/>
        </w:rPr>
      </w:pPr>
    </w:p>
    <w:p w14:paraId="1D2D47C9" w14:textId="77777777" w:rsidR="002C27EE" w:rsidRPr="00627354" w:rsidRDefault="002C27EE" w:rsidP="002C27EE">
      <w:pPr>
        <w:pStyle w:val="TITULOS"/>
        <w:jc w:val="left"/>
        <w:rPr>
          <w:rFonts w:ascii="AGaramond" w:hAnsi="AGaramond"/>
        </w:rPr>
      </w:pPr>
    </w:p>
    <w:p w14:paraId="6D27A68F" w14:textId="77777777" w:rsidR="002C27EE" w:rsidRPr="00627354" w:rsidRDefault="002C27EE" w:rsidP="002C27EE">
      <w:pPr>
        <w:pStyle w:val="TITULOS"/>
        <w:jc w:val="left"/>
        <w:rPr>
          <w:rFonts w:ascii="AGaramond" w:hAnsi="AGaramond"/>
        </w:rPr>
      </w:pPr>
    </w:p>
    <w:p w14:paraId="252DB329" w14:textId="77777777" w:rsidR="002C27EE" w:rsidRPr="00627354" w:rsidRDefault="002C27EE" w:rsidP="002C27EE">
      <w:pPr>
        <w:pStyle w:val="TITULOS"/>
        <w:jc w:val="left"/>
        <w:rPr>
          <w:rFonts w:ascii="AGaramond" w:hAnsi="AGaramond"/>
        </w:rPr>
      </w:pPr>
    </w:p>
    <w:p w14:paraId="653F056F" w14:textId="77777777" w:rsidR="002C27EE" w:rsidRPr="00627354" w:rsidRDefault="002C27EE" w:rsidP="002C27EE">
      <w:pPr>
        <w:pStyle w:val="TITULOS"/>
        <w:jc w:val="left"/>
        <w:rPr>
          <w:rFonts w:ascii="AGaramond" w:hAnsi="AGaramond"/>
        </w:rPr>
      </w:pPr>
    </w:p>
    <w:p w14:paraId="3DC04F7D" w14:textId="77777777" w:rsidR="002C27EE" w:rsidRPr="00627354" w:rsidRDefault="002C27EE" w:rsidP="002C27EE">
      <w:pPr>
        <w:pStyle w:val="TITULOS"/>
        <w:jc w:val="left"/>
        <w:rPr>
          <w:rFonts w:ascii="AGaramond" w:hAnsi="AGaramond"/>
        </w:rPr>
      </w:pPr>
    </w:p>
    <w:p w14:paraId="15B631EC" w14:textId="77777777" w:rsidR="002C27EE" w:rsidRPr="00627354" w:rsidRDefault="002C27EE" w:rsidP="002C27EE">
      <w:pPr>
        <w:pStyle w:val="TITULOS"/>
        <w:jc w:val="left"/>
        <w:rPr>
          <w:rFonts w:ascii="AGaramond" w:hAnsi="AGaramond"/>
        </w:rPr>
      </w:pPr>
    </w:p>
    <w:p w14:paraId="09A5F777" w14:textId="77777777" w:rsidR="002C27EE" w:rsidRPr="00627354" w:rsidRDefault="002C27EE" w:rsidP="002C27EE">
      <w:pPr>
        <w:pStyle w:val="TITULOS"/>
        <w:jc w:val="left"/>
        <w:rPr>
          <w:rFonts w:ascii="AGaramond" w:hAnsi="AGaramond"/>
        </w:rPr>
      </w:pPr>
    </w:p>
    <w:p w14:paraId="3F1343B5" w14:textId="77777777" w:rsidR="002C27EE" w:rsidRPr="00627354" w:rsidRDefault="002C27EE" w:rsidP="002C27EE">
      <w:pPr>
        <w:pStyle w:val="TITULOS"/>
        <w:jc w:val="left"/>
        <w:rPr>
          <w:rFonts w:ascii="AGaramond" w:hAnsi="AGaramond"/>
        </w:rPr>
      </w:pPr>
    </w:p>
    <w:p w14:paraId="6119486D" w14:textId="77777777" w:rsidR="0087017A" w:rsidRPr="00627354" w:rsidRDefault="0087017A" w:rsidP="002C27EE">
      <w:pPr>
        <w:pStyle w:val="TITULOS"/>
        <w:jc w:val="left"/>
        <w:rPr>
          <w:rFonts w:ascii="AGaramond" w:hAnsi="AGaramond"/>
        </w:rPr>
      </w:pPr>
    </w:p>
    <w:p w14:paraId="2CEA8E26" w14:textId="77777777" w:rsidR="0066699B" w:rsidRPr="00627354" w:rsidRDefault="0066699B" w:rsidP="006F6469">
      <w:pPr>
        <w:pStyle w:val="TITULOS"/>
        <w:outlineLvl w:val="0"/>
        <w:rPr>
          <w:rFonts w:ascii="AGaramond" w:hAnsi="AGaramond"/>
          <w:sz w:val="32"/>
          <w:szCs w:val="32"/>
        </w:rPr>
      </w:pPr>
    </w:p>
    <w:p w14:paraId="67D067FE" w14:textId="60891EC5" w:rsidR="00F808BA" w:rsidRPr="00627354" w:rsidRDefault="00F16B4C" w:rsidP="003B7A44">
      <w:pPr>
        <w:pStyle w:val="TITULOS"/>
        <w:rPr>
          <w:rFonts w:ascii="AGaramond" w:hAnsi="AGaramond"/>
          <w:sz w:val="32"/>
          <w:szCs w:val="32"/>
          <w:lang w:val="en-US"/>
        </w:rPr>
      </w:pPr>
      <w:r w:rsidRPr="00F16B4C">
        <w:rPr>
          <w:rFonts w:ascii="AGaramond" w:hAnsi="AGaramond"/>
          <w:sz w:val="32"/>
          <w:szCs w:val="32"/>
          <w:lang w:val="en-US"/>
        </w:rPr>
        <w:t>Reflections on State Corruption, Economic Development and Natural Resource Rents in Latin America: A Response to Calderón and Castell</w:t>
      </w:r>
      <w:r w:rsidR="00770F21">
        <w:rPr>
          <w:rFonts w:ascii="AGaramond" w:hAnsi="AGaramond"/>
          <w:sz w:val="32"/>
          <w:szCs w:val="32"/>
          <w:lang w:val="en-US"/>
        </w:rPr>
        <w:t>s</w:t>
      </w:r>
    </w:p>
    <w:p w14:paraId="286C6878" w14:textId="77777777" w:rsidR="002C27EE" w:rsidRPr="00627354" w:rsidRDefault="00F16B86" w:rsidP="002C27EE">
      <w:pPr>
        <w:pStyle w:val="TITULOS"/>
        <w:jc w:val="left"/>
        <w:rPr>
          <w:rFonts w:ascii="AGaramond" w:hAnsi="AGaramond"/>
          <w:lang w:val="en-US"/>
        </w:rPr>
      </w:pPr>
      <w:r w:rsidRPr="00627354">
        <w:rPr>
          <w:rFonts w:ascii="AGaramond" w:hAnsi="AGaramond"/>
          <w:noProof/>
          <w:lang w:val="es-VE" w:eastAsia="es-VE"/>
        </w:rPr>
        <mc:AlternateContent>
          <mc:Choice Requires="wps">
            <w:drawing>
              <wp:anchor distT="0" distB="0" distL="114300" distR="114300" simplePos="0" relativeHeight="251653120" behindDoc="0" locked="0" layoutInCell="1" allowOverlap="1" wp14:anchorId="1A0F988E" wp14:editId="635C30AA">
                <wp:simplePos x="0" y="0"/>
                <wp:positionH relativeFrom="column">
                  <wp:posOffset>30480</wp:posOffset>
                </wp:positionH>
                <wp:positionV relativeFrom="paragraph">
                  <wp:posOffset>114300</wp:posOffset>
                </wp:positionV>
                <wp:extent cx="6273165" cy="2615565"/>
                <wp:effectExtent l="0" t="0" r="635" b="635"/>
                <wp:wrapNone/>
                <wp:docPr id="1"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73165" cy="2615565"/>
                        </a:xfrm>
                        <a:prstGeom prst="rect">
                          <a:avLst/>
                        </a:prstGeom>
                        <a:solidFill>
                          <a:schemeClr val="lt1">
                            <a:lumMod val="100000"/>
                            <a:lumOff val="0"/>
                          </a:schemeClr>
                        </a:solidFill>
                        <a:ln w="6350">
                          <a:solidFill>
                            <a:srgbClr val="000000"/>
                          </a:solidFill>
                          <a:miter lim="800000"/>
                          <a:headEnd/>
                          <a:tailEnd/>
                        </a:ln>
                      </wps:spPr>
                      <wps:txbx>
                        <w:txbxContent>
                          <w:p w14:paraId="00BFC418" w14:textId="77777777" w:rsidR="002C27EE" w:rsidRPr="00310D24" w:rsidRDefault="002C27EE" w:rsidP="002C27EE">
                            <w:pPr>
                              <w:pStyle w:val="TITULORESUMEN"/>
                              <w:ind w:firstLine="0"/>
                              <w:rPr>
                                <w:rFonts w:ascii="AGaramond" w:hAnsi="AGaramond"/>
                                <w:sz w:val="24"/>
                                <w:szCs w:val="24"/>
                              </w:rPr>
                            </w:pPr>
                            <w:r w:rsidRPr="00310D24">
                              <w:rPr>
                                <w:rFonts w:ascii="AGaramond" w:hAnsi="AGaramond"/>
                                <w:sz w:val="24"/>
                                <w:szCs w:val="24"/>
                              </w:rPr>
                              <w:t>Abstract</w:t>
                            </w:r>
                          </w:p>
                          <w:p w14:paraId="2FEF482F" w14:textId="49E84273" w:rsidR="00D92DA0" w:rsidRPr="00A9494A" w:rsidRDefault="00F16B4C" w:rsidP="006F6469">
                            <w:pPr>
                              <w:ind w:left="708" w:right="364"/>
                              <w:jc w:val="both"/>
                              <w:rPr>
                                <w:rFonts w:ascii="AGaramond" w:hAnsi="AGaramond"/>
                                <w:sz w:val="18"/>
                                <w:szCs w:val="18"/>
                                <w:lang w:val="en-US"/>
                              </w:rPr>
                            </w:pPr>
                            <w:r w:rsidRPr="00F16B4C">
                              <w:rPr>
                                <w:rFonts w:ascii="AGaramond" w:hAnsi="AGaramond"/>
                                <w:sz w:val="18"/>
                                <w:szCs w:val="18"/>
                                <w:lang w:val="en-US"/>
                              </w:rPr>
                              <w:t>This paper tackles the secular problem of corruption of the State in Latin American countries. It is argued that corruption of the State is not consubstantial to the neoliberal ideology. Moreover, it is claimed that developmentalism is prone to rent-seeking and the principal-agent problem, and makes the State more susceptible to corruption, particularly in countries rich in natural resources where the economic rent derived from movable non-produced assets is managed by the central public administration</w:t>
                            </w:r>
                            <w:r w:rsidR="005A7CB0" w:rsidRPr="005A7CB0">
                              <w:rPr>
                                <w:rFonts w:ascii="AGaramond" w:hAnsi="AGaramond"/>
                                <w:sz w:val="18"/>
                                <w:szCs w:val="18"/>
                                <w:lang w:val="en-US"/>
                              </w:rPr>
                              <w:t>.</w:t>
                            </w:r>
                          </w:p>
                          <w:p w14:paraId="60858493" w14:textId="77777777" w:rsidR="00CC732C" w:rsidRPr="00310D24" w:rsidRDefault="00CC732C" w:rsidP="006F6469">
                            <w:pPr>
                              <w:ind w:left="708" w:right="364"/>
                              <w:jc w:val="both"/>
                              <w:rPr>
                                <w:rFonts w:ascii="AGaramond" w:hAnsi="AGaramond"/>
                                <w:lang w:val="en-US"/>
                              </w:rPr>
                            </w:pPr>
                          </w:p>
                          <w:p w14:paraId="418EDE9B" w14:textId="047D8993" w:rsidR="006F6469" w:rsidRPr="00310D24" w:rsidRDefault="00CC732C" w:rsidP="006F6469">
                            <w:pPr>
                              <w:ind w:left="708" w:right="364"/>
                              <w:jc w:val="both"/>
                              <w:rPr>
                                <w:rFonts w:ascii="AGaramond" w:hAnsi="AGaramond"/>
                                <w:sz w:val="18"/>
                                <w:szCs w:val="18"/>
                                <w:lang w:val="en-US"/>
                              </w:rPr>
                            </w:pPr>
                            <w:r w:rsidRPr="00CC732C">
                              <w:rPr>
                                <w:rFonts w:ascii="AGaramond" w:hAnsi="AGaramond"/>
                                <w:sz w:val="18"/>
                                <w:szCs w:val="18"/>
                                <w:lang w:val="en"/>
                              </w:rPr>
                              <w:t xml:space="preserve">Keywords: </w:t>
                            </w:r>
                            <w:r w:rsidR="00F16B4C" w:rsidRPr="00F16B4C">
                              <w:rPr>
                                <w:rFonts w:ascii="AGaramond" w:hAnsi="AGaramond"/>
                                <w:sz w:val="18"/>
                                <w:szCs w:val="18"/>
                                <w:lang w:val="en"/>
                              </w:rPr>
                              <w:t>Corruption, State, game theory, rent-seeking, the principal-agent problem</w:t>
                            </w:r>
                            <w:r w:rsidRPr="00CC732C">
                              <w:rPr>
                                <w:rFonts w:ascii="AGaramond" w:hAnsi="AGaramond"/>
                                <w:sz w:val="18"/>
                                <w:szCs w:val="18"/>
                                <w:lang w:val="en"/>
                              </w:rPr>
                              <w:t>.</w:t>
                            </w:r>
                          </w:p>
                          <w:p w14:paraId="20FEA911" w14:textId="77777777" w:rsidR="006F6469" w:rsidRPr="00920AB4" w:rsidRDefault="006F6469" w:rsidP="006F6469">
                            <w:pPr>
                              <w:pStyle w:val="TITULOS"/>
                              <w:jc w:val="left"/>
                              <w:outlineLvl w:val="0"/>
                              <w:rPr>
                                <w:rFonts w:ascii="Adobe Garamond Pro" w:hAnsi="Adobe Garamond Pro"/>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F988E" id="Cuadro de texto 4" o:spid="_x0000_s1027" type="#_x0000_t202" style="position:absolute;margin-left:2.4pt;margin-top:9pt;width:493.95pt;height:205.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" fillcolor="white [3201]" strokeweight=".5pt">
                <v:path arrowok="t"/>
                <v:textbox>
                  <w:txbxContent>
                    <w:p w14:paraId="00BFC418" w14:textId="77777777" w:rsidR="002C27EE" w:rsidRPr="00310D24" w:rsidRDefault="002C27EE" w:rsidP="002C27EE">
                      <w:pPr>
                        <w:pStyle w:val="TITULORESUMEN"/>
                        <w:ind w:firstLine="0"/>
                        <w:rPr>
                          <w:rFonts w:ascii="AGaramond" w:hAnsi="AGaramond"/>
                          <w:sz w:val="24"/>
                          <w:szCs w:val="24"/>
                        </w:rPr>
                      </w:pPr>
                      <w:r w:rsidRPr="00310D24">
                        <w:rPr>
                          <w:rFonts w:ascii="AGaramond" w:hAnsi="AGaramond"/>
                          <w:sz w:val="24"/>
                          <w:szCs w:val="24"/>
                        </w:rPr>
                        <w:t>Abstract</w:t>
                      </w:r>
                    </w:p>
                    <w:p w14:paraId="2FEF482F" w14:textId="49E84273" w:rsidR="00D92DA0" w:rsidRPr="00A9494A" w:rsidRDefault="00F16B4C" w:rsidP="006F6469">
                      <w:pPr>
                        <w:ind w:left="708" w:right="364"/>
                        <w:jc w:val="both"/>
                        <w:rPr>
                          <w:rFonts w:ascii="AGaramond" w:hAnsi="AGaramond"/>
                          <w:sz w:val="18"/>
                          <w:szCs w:val="18"/>
                          <w:lang w:val="en-US"/>
                        </w:rPr>
                      </w:pPr>
                      <w:r w:rsidRPr="00F16B4C">
                        <w:rPr>
                          <w:rFonts w:ascii="AGaramond" w:hAnsi="AGaramond"/>
                          <w:sz w:val="18"/>
                          <w:szCs w:val="18"/>
                          <w:lang w:val="en-US"/>
                        </w:rPr>
                        <w:t>This paper tackles the secular problem of corruption of the State in Latin American countries. It is argued that corruption of the State is not consubstantial to the neoliberal ideology. Moreover, it is claimed that developmentalism is prone to rent-seeking and the principal-agent problem, and makes the State more susceptible to corruption, particularly in countries rich in natural resources where the economic rent derived from movable non-produced assets is managed by the central public administration</w:t>
                      </w:r>
                      <w:r w:rsidR="005A7CB0" w:rsidRPr="005A7CB0">
                        <w:rPr>
                          <w:rFonts w:ascii="AGaramond" w:hAnsi="AGaramond"/>
                          <w:sz w:val="18"/>
                          <w:szCs w:val="18"/>
                          <w:lang w:val="en-US"/>
                        </w:rPr>
                        <w:t>.</w:t>
                      </w:r>
                    </w:p>
                    <w:p w14:paraId="60858493" w14:textId="77777777" w:rsidR="00CC732C" w:rsidRPr="00310D24" w:rsidRDefault="00CC732C" w:rsidP="006F6469">
                      <w:pPr>
                        <w:ind w:left="708" w:right="364"/>
                        <w:jc w:val="both"/>
                        <w:rPr>
                          <w:rFonts w:ascii="AGaramond" w:hAnsi="AGaramond"/>
                          <w:lang w:val="en-US"/>
                        </w:rPr>
                      </w:pPr>
                    </w:p>
                    <w:p w14:paraId="418EDE9B" w14:textId="047D8993" w:rsidR="006F6469" w:rsidRPr="00310D24" w:rsidRDefault="00CC732C" w:rsidP="006F6469">
                      <w:pPr>
                        <w:ind w:left="708" w:right="364"/>
                        <w:jc w:val="both"/>
                        <w:rPr>
                          <w:rFonts w:ascii="AGaramond" w:hAnsi="AGaramond"/>
                          <w:sz w:val="18"/>
                          <w:szCs w:val="18"/>
                          <w:lang w:val="en-US"/>
                        </w:rPr>
                      </w:pPr>
                      <w:r w:rsidRPr="00CC732C">
                        <w:rPr>
                          <w:rFonts w:ascii="AGaramond" w:hAnsi="AGaramond"/>
                          <w:sz w:val="18"/>
                          <w:szCs w:val="18"/>
                          <w:lang w:val="en"/>
                        </w:rPr>
                        <w:t xml:space="preserve">Keywords: </w:t>
                      </w:r>
                      <w:r w:rsidR="00F16B4C" w:rsidRPr="00F16B4C">
                        <w:rPr>
                          <w:rFonts w:ascii="AGaramond" w:hAnsi="AGaramond"/>
                          <w:sz w:val="18"/>
                          <w:szCs w:val="18"/>
                          <w:lang w:val="en"/>
                        </w:rPr>
                        <w:t>Corruption, State, game theory, rent-seeking, the principal-agent problem</w:t>
                      </w:r>
                      <w:r w:rsidRPr="00CC732C">
                        <w:rPr>
                          <w:rFonts w:ascii="AGaramond" w:hAnsi="AGaramond"/>
                          <w:sz w:val="18"/>
                          <w:szCs w:val="18"/>
                          <w:lang w:val="en"/>
                        </w:rPr>
                        <w:t>.</w:t>
                      </w:r>
                    </w:p>
                    <w:p w14:paraId="20FEA911" w14:textId="77777777" w:rsidR="006F6469" w:rsidRPr="00920AB4" w:rsidRDefault="006F6469" w:rsidP="006F6469">
                      <w:pPr>
                        <w:pStyle w:val="TITULOS"/>
                        <w:jc w:val="left"/>
                        <w:outlineLvl w:val="0"/>
                        <w:rPr>
                          <w:rFonts w:ascii="Adobe Garamond Pro" w:hAnsi="Adobe Garamond Pro"/>
                          <w:sz w:val="18"/>
                          <w:szCs w:val="18"/>
                          <w:lang w:val="en-US"/>
                        </w:rPr>
                      </w:pPr>
                    </w:p>
                  </w:txbxContent>
                </v:textbox>
              </v:shape>
            </w:pict>
          </mc:Fallback>
        </mc:AlternateContent>
      </w:r>
    </w:p>
    <w:p w14:paraId="61F08F92" w14:textId="77777777" w:rsidR="002C27EE" w:rsidRPr="00627354" w:rsidRDefault="002C27EE" w:rsidP="002C27EE">
      <w:pPr>
        <w:pStyle w:val="TITULOS"/>
        <w:jc w:val="left"/>
        <w:rPr>
          <w:rFonts w:ascii="AGaramond" w:hAnsi="AGaramond"/>
          <w:lang w:val="en-US"/>
        </w:rPr>
      </w:pPr>
    </w:p>
    <w:p w14:paraId="64C0B4EB" w14:textId="77777777" w:rsidR="002C27EE" w:rsidRPr="00627354" w:rsidRDefault="002C27EE" w:rsidP="002C27EE">
      <w:pPr>
        <w:pStyle w:val="TITULOS"/>
        <w:jc w:val="left"/>
        <w:rPr>
          <w:rFonts w:ascii="AGaramond" w:hAnsi="AGaramond"/>
          <w:lang w:val="en-US"/>
        </w:rPr>
      </w:pPr>
    </w:p>
    <w:p w14:paraId="4FE99641" w14:textId="77777777" w:rsidR="002C27EE" w:rsidRPr="00627354" w:rsidRDefault="002C27EE" w:rsidP="002C27EE">
      <w:pPr>
        <w:pStyle w:val="TITULOS"/>
        <w:jc w:val="left"/>
        <w:rPr>
          <w:rFonts w:ascii="AGaramond" w:hAnsi="AGaramond"/>
          <w:lang w:val="en-US"/>
        </w:rPr>
      </w:pPr>
    </w:p>
    <w:p w14:paraId="4F361141" w14:textId="77777777" w:rsidR="002C27EE" w:rsidRPr="00627354" w:rsidRDefault="002C27EE" w:rsidP="002C27EE">
      <w:pPr>
        <w:pStyle w:val="TITULOS"/>
        <w:jc w:val="left"/>
        <w:rPr>
          <w:rFonts w:ascii="AGaramond" w:hAnsi="AGaramond"/>
          <w:lang w:val="en-US"/>
        </w:rPr>
      </w:pPr>
    </w:p>
    <w:p w14:paraId="6840DC0D" w14:textId="77777777" w:rsidR="002C27EE" w:rsidRPr="00627354" w:rsidRDefault="002C27EE" w:rsidP="002C27EE">
      <w:pPr>
        <w:pStyle w:val="TITULOS"/>
        <w:jc w:val="left"/>
        <w:rPr>
          <w:rFonts w:ascii="AGaramond" w:hAnsi="AGaramond"/>
          <w:lang w:val="en-US"/>
        </w:rPr>
      </w:pPr>
    </w:p>
    <w:p w14:paraId="1B46DF14" w14:textId="77777777" w:rsidR="002C27EE" w:rsidRPr="00627354" w:rsidRDefault="002C27EE" w:rsidP="002C27EE">
      <w:pPr>
        <w:pStyle w:val="TITULOS"/>
        <w:jc w:val="left"/>
        <w:rPr>
          <w:rFonts w:ascii="AGaramond" w:hAnsi="AGaramond"/>
          <w:lang w:val="en-US"/>
        </w:rPr>
      </w:pPr>
    </w:p>
    <w:p w14:paraId="08E8BB84" w14:textId="77777777" w:rsidR="002C27EE" w:rsidRPr="00627354" w:rsidRDefault="002C27EE" w:rsidP="002C27EE">
      <w:pPr>
        <w:pStyle w:val="TITULOS"/>
        <w:jc w:val="left"/>
        <w:rPr>
          <w:rFonts w:ascii="AGaramond" w:hAnsi="AGaramond"/>
          <w:lang w:val="en-US"/>
        </w:rPr>
      </w:pPr>
    </w:p>
    <w:p w14:paraId="636E61BC" w14:textId="77777777" w:rsidR="002C27EE" w:rsidRPr="00627354" w:rsidRDefault="002C27EE" w:rsidP="002C27EE">
      <w:pPr>
        <w:pStyle w:val="TITULOS"/>
        <w:jc w:val="left"/>
        <w:rPr>
          <w:rFonts w:ascii="AGaramond" w:hAnsi="AGaramond"/>
          <w:lang w:val="en-US"/>
        </w:rPr>
      </w:pPr>
    </w:p>
    <w:p w14:paraId="1CA85EA3" w14:textId="77777777" w:rsidR="002C27EE" w:rsidRPr="00627354" w:rsidRDefault="002C27EE" w:rsidP="002C27EE">
      <w:pPr>
        <w:pStyle w:val="TITULOS"/>
        <w:jc w:val="left"/>
        <w:rPr>
          <w:rFonts w:ascii="AGaramond" w:hAnsi="AGaramond"/>
          <w:lang w:val="en-US"/>
        </w:rPr>
      </w:pPr>
    </w:p>
    <w:p w14:paraId="024357EE" w14:textId="77777777" w:rsidR="002C27EE" w:rsidRPr="00627354" w:rsidRDefault="002C27EE" w:rsidP="002C27EE">
      <w:pPr>
        <w:pStyle w:val="TITULOS"/>
        <w:jc w:val="left"/>
        <w:rPr>
          <w:rFonts w:ascii="AGaramond" w:hAnsi="AGaramond"/>
          <w:lang w:val="en-US"/>
        </w:rPr>
      </w:pPr>
    </w:p>
    <w:p w14:paraId="6C90E83A" w14:textId="77777777" w:rsidR="002C27EE" w:rsidRPr="00627354" w:rsidRDefault="002C27EE" w:rsidP="002C27EE">
      <w:pPr>
        <w:pStyle w:val="TITULOS"/>
        <w:jc w:val="left"/>
        <w:rPr>
          <w:rFonts w:ascii="AGaramond" w:hAnsi="AGaramond"/>
          <w:lang w:val="en-US"/>
        </w:rPr>
      </w:pPr>
    </w:p>
    <w:p w14:paraId="0E29DDB4" w14:textId="77777777" w:rsidR="002C27EE" w:rsidRPr="00627354" w:rsidRDefault="002C27EE" w:rsidP="002C27EE">
      <w:pPr>
        <w:pStyle w:val="TITULOS"/>
        <w:jc w:val="left"/>
        <w:rPr>
          <w:rFonts w:ascii="AGaramond" w:hAnsi="AGaramond"/>
          <w:lang w:val="en-US"/>
        </w:rPr>
      </w:pPr>
    </w:p>
    <w:p w14:paraId="772B0AB2" w14:textId="77777777" w:rsidR="00920AB4" w:rsidRPr="00627354" w:rsidRDefault="00920AB4" w:rsidP="006F6469">
      <w:pPr>
        <w:pStyle w:val="TITULOS"/>
        <w:jc w:val="left"/>
        <w:rPr>
          <w:rFonts w:ascii="AGaramond" w:hAnsi="AGaramond" w:cs="Times"/>
          <w:iCs/>
          <w:sz w:val="16"/>
          <w:szCs w:val="16"/>
          <w:lang w:val="en-US"/>
        </w:rPr>
      </w:pPr>
    </w:p>
    <w:p w14:paraId="3942FF6C" w14:textId="77777777" w:rsidR="00B80863" w:rsidRPr="00627354" w:rsidRDefault="00B80863" w:rsidP="00427DC8">
      <w:pPr>
        <w:spacing w:after="240" w:line="360" w:lineRule="auto"/>
        <w:ind w:firstLine="284"/>
        <w:jc w:val="both"/>
        <w:rPr>
          <w:rFonts w:ascii="AGaramond" w:hAnsi="AGaramond" w:cs="Arial"/>
          <w:sz w:val="22"/>
          <w:szCs w:val="22"/>
          <w:lang w:val="en-US"/>
        </w:rPr>
      </w:pPr>
    </w:p>
    <w:p w14:paraId="04F1915F" w14:textId="77777777" w:rsidR="00356595" w:rsidRPr="00627354" w:rsidRDefault="00356595" w:rsidP="003E614F">
      <w:pPr>
        <w:keepNext/>
        <w:keepLines/>
        <w:spacing w:before="240" w:after="240" w:line="360" w:lineRule="auto"/>
        <w:jc w:val="both"/>
        <w:outlineLvl w:val="0"/>
        <w:rPr>
          <w:rFonts w:ascii="AGaramond" w:eastAsia="HGMinchoE" w:hAnsi="AGaramond" w:cs="Times New Roman"/>
          <w:b/>
          <w:bCs/>
          <w:lang w:val="en-US" w:eastAsia="es-VE"/>
        </w:rPr>
      </w:pPr>
    </w:p>
    <w:p w14:paraId="31F286BB" w14:textId="640EA03C" w:rsidR="00937DC4" w:rsidRPr="003D71DB" w:rsidRDefault="00937DC4" w:rsidP="00237115">
      <w:pPr>
        <w:pStyle w:val="Prrafodelista"/>
        <w:numPr>
          <w:ilvl w:val="0"/>
          <w:numId w:val="34"/>
        </w:numPr>
        <w:spacing w:line="360" w:lineRule="auto"/>
        <w:ind w:left="284" w:firstLine="0"/>
        <w:jc w:val="both"/>
        <w:rPr>
          <w:rFonts w:ascii="AGaramond" w:hAnsi="AGaramond" w:cs="Arial"/>
          <w:b/>
          <w:bCs/>
          <w:sz w:val="24"/>
          <w:szCs w:val="24"/>
        </w:rPr>
      </w:pPr>
      <w:r w:rsidRPr="003D71DB">
        <w:rPr>
          <w:rFonts w:ascii="AGaramond" w:hAnsi="AGaramond" w:cs="Arial"/>
          <w:b/>
          <w:bCs/>
          <w:sz w:val="24"/>
          <w:szCs w:val="24"/>
        </w:rPr>
        <w:t xml:space="preserve">INTRODUCCIÓN: LA </w:t>
      </w:r>
      <w:r w:rsidRPr="003D71DB">
        <w:rPr>
          <w:rFonts w:ascii="AGaramond" w:hAnsi="AGaramond"/>
          <w:b/>
          <w:bCs/>
          <w:sz w:val="24"/>
          <w:szCs w:val="24"/>
        </w:rPr>
        <w:t>CORRUPCIÓN</w:t>
      </w:r>
      <w:r w:rsidRPr="003D71DB">
        <w:rPr>
          <w:rFonts w:ascii="AGaramond" w:hAnsi="AGaramond" w:cs="Arial"/>
          <w:b/>
          <w:bCs/>
          <w:sz w:val="24"/>
          <w:szCs w:val="24"/>
        </w:rPr>
        <w:t xml:space="preserve"> COMO PROBLEMA</w:t>
      </w:r>
      <w:r w:rsidR="007821B8" w:rsidRPr="007821B8">
        <w:rPr>
          <w:rFonts w:ascii="AGaramond" w:hAnsi="AGaramond" w:cs="Arial"/>
          <w:sz w:val="24"/>
          <w:szCs w:val="24"/>
          <w:vertAlign w:val="superscript"/>
        </w:rPr>
        <w:t>*</w:t>
      </w:r>
    </w:p>
    <w:p w14:paraId="4027836F" w14:textId="120F8AC2" w:rsidR="00937DC4" w:rsidRPr="00937DC4" w:rsidRDefault="00937DC4" w:rsidP="00937DC4">
      <w:pPr>
        <w:spacing w:after="240" w:line="360" w:lineRule="auto"/>
        <w:ind w:firstLine="284"/>
        <w:jc w:val="both"/>
        <w:rPr>
          <w:rFonts w:ascii="AGaramond" w:hAnsi="AGaramond" w:cs="Arial"/>
          <w:sz w:val="22"/>
          <w:szCs w:val="22"/>
        </w:rPr>
      </w:pPr>
      <w:r w:rsidRPr="00937DC4">
        <w:rPr>
          <w:rFonts w:ascii="AGaramond" w:hAnsi="AGaramond" w:cs="Arial"/>
          <w:sz w:val="22"/>
          <w:szCs w:val="22"/>
        </w:rPr>
        <w:t>El ensayo que se presenta es un producto de las discusiones sostenidas en el seminario Cambios Históricos en la Sociedad Latinoamericana Contemporánea, CENDES-</w:t>
      </w:r>
      <w:proofErr w:type="spellStart"/>
      <w:r w:rsidRPr="00937DC4">
        <w:rPr>
          <w:rFonts w:ascii="AGaramond" w:hAnsi="AGaramond" w:cs="Arial"/>
          <w:sz w:val="22"/>
          <w:szCs w:val="22"/>
        </w:rPr>
        <w:t>UCV</w:t>
      </w:r>
      <w:proofErr w:type="spellEnd"/>
      <w:r w:rsidRPr="00937DC4">
        <w:rPr>
          <w:rFonts w:ascii="AGaramond" w:hAnsi="AGaramond" w:cs="Arial"/>
          <w:sz w:val="22"/>
          <w:szCs w:val="22"/>
        </w:rPr>
        <w:t xml:space="preserve"> (Prof. Isabel Licha y Prof. Fernando Calderón. Agosto, 2020). Aunque este ensayo está enmarcado como respuesta al trabajo de Calderón </w:t>
      </w:r>
      <w:r>
        <w:rPr>
          <w:rFonts w:ascii="AGaramond" w:hAnsi="AGaramond" w:cs="Arial"/>
          <w:sz w:val="22"/>
          <w:szCs w:val="22"/>
        </w:rPr>
        <w:t>y</w:t>
      </w:r>
      <w:r w:rsidRPr="00937DC4">
        <w:rPr>
          <w:rFonts w:ascii="AGaramond" w:hAnsi="AGaramond" w:cs="Arial"/>
          <w:sz w:val="22"/>
          <w:szCs w:val="22"/>
        </w:rPr>
        <w:t xml:space="preserve"> Castell</w:t>
      </w:r>
      <w:r w:rsidR="00770F21">
        <w:rPr>
          <w:rFonts w:ascii="AGaramond" w:hAnsi="AGaramond" w:cs="Arial"/>
          <w:sz w:val="22"/>
          <w:szCs w:val="22"/>
        </w:rPr>
        <w:t>s</w:t>
      </w:r>
      <w:r w:rsidRPr="00937DC4">
        <w:rPr>
          <w:rFonts w:ascii="AGaramond" w:hAnsi="AGaramond" w:cs="Arial"/>
          <w:sz w:val="22"/>
          <w:szCs w:val="22"/>
        </w:rPr>
        <w:t xml:space="preserve">, 2019: </w:t>
      </w:r>
      <w:r>
        <w:rPr>
          <w:rFonts w:ascii="AGaramond" w:hAnsi="AGaramond" w:cs="Arial"/>
          <w:sz w:val="22"/>
          <w:szCs w:val="22"/>
        </w:rPr>
        <w:t>“</w:t>
      </w:r>
      <w:r w:rsidRPr="00937DC4">
        <w:rPr>
          <w:rFonts w:ascii="AGaramond" w:hAnsi="AGaramond" w:cs="Arial"/>
          <w:sz w:val="22"/>
          <w:szCs w:val="22"/>
        </w:rPr>
        <w:t xml:space="preserve">La </w:t>
      </w:r>
      <w:r>
        <w:rPr>
          <w:rFonts w:ascii="AGaramond" w:hAnsi="AGaramond" w:cs="Arial"/>
          <w:sz w:val="22"/>
          <w:szCs w:val="22"/>
        </w:rPr>
        <w:t>c</w:t>
      </w:r>
      <w:r w:rsidRPr="00937DC4">
        <w:rPr>
          <w:rFonts w:ascii="AGaramond" w:hAnsi="AGaramond" w:cs="Arial"/>
          <w:sz w:val="22"/>
          <w:szCs w:val="22"/>
        </w:rPr>
        <w:t>orrupción del Estado</w:t>
      </w:r>
      <w:r>
        <w:rPr>
          <w:rFonts w:ascii="AGaramond" w:hAnsi="AGaramond" w:cs="Arial"/>
          <w:sz w:val="22"/>
          <w:szCs w:val="22"/>
        </w:rPr>
        <w:t>”</w:t>
      </w:r>
      <w:r w:rsidRPr="00937DC4">
        <w:rPr>
          <w:rFonts w:ascii="AGaramond" w:hAnsi="AGaramond" w:cs="Arial"/>
          <w:sz w:val="22"/>
          <w:szCs w:val="22"/>
        </w:rPr>
        <w:t xml:space="preserve">, en </w:t>
      </w:r>
      <w:r w:rsidR="008E50D6">
        <w:rPr>
          <w:rFonts w:ascii="AGaramond" w:hAnsi="AGaramond" w:cs="Arial"/>
          <w:sz w:val="22"/>
          <w:szCs w:val="22"/>
        </w:rPr>
        <w:t xml:space="preserve">Fernando </w:t>
      </w:r>
      <w:r>
        <w:rPr>
          <w:rFonts w:ascii="AGaramond" w:hAnsi="AGaramond" w:cs="Arial"/>
          <w:sz w:val="22"/>
          <w:szCs w:val="22"/>
        </w:rPr>
        <w:t>Calderón y</w:t>
      </w:r>
      <w:r w:rsidR="008E50D6">
        <w:rPr>
          <w:rFonts w:ascii="AGaramond" w:hAnsi="AGaramond" w:cs="Arial"/>
          <w:sz w:val="22"/>
          <w:szCs w:val="22"/>
        </w:rPr>
        <w:t xml:space="preserve"> Manuel</w:t>
      </w:r>
      <w:r w:rsidRPr="00937DC4">
        <w:rPr>
          <w:rFonts w:ascii="AGaramond" w:hAnsi="AGaramond" w:cs="Arial"/>
          <w:sz w:val="22"/>
          <w:szCs w:val="22"/>
        </w:rPr>
        <w:t xml:space="preserve"> </w:t>
      </w:r>
      <w:r>
        <w:rPr>
          <w:rFonts w:ascii="AGaramond" w:hAnsi="AGaramond" w:cs="Arial"/>
          <w:sz w:val="22"/>
          <w:szCs w:val="22"/>
        </w:rPr>
        <w:t>Castell</w:t>
      </w:r>
      <w:r w:rsidR="00770F21">
        <w:rPr>
          <w:rFonts w:ascii="AGaramond" w:hAnsi="AGaramond" w:cs="Arial"/>
          <w:sz w:val="22"/>
          <w:szCs w:val="22"/>
        </w:rPr>
        <w:t>s</w:t>
      </w:r>
      <w:r>
        <w:rPr>
          <w:rFonts w:ascii="AGaramond" w:hAnsi="AGaramond" w:cs="Arial"/>
          <w:sz w:val="22"/>
          <w:szCs w:val="22"/>
        </w:rPr>
        <w:t xml:space="preserve"> (2019).</w:t>
      </w:r>
      <w:r w:rsidRPr="00937DC4">
        <w:rPr>
          <w:rFonts w:ascii="AGaramond" w:hAnsi="AGaramond" w:cs="Arial"/>
          <w:sz w:val="22"/>
          <w:szCs w:val="22"/>
        </w:rPr>
        <w:t xml:space="preserve"> </w:t>
      </w:r>
      <w:r w:rsidRPr="00937DC4">
        <w:rPr>
          <w:rFonts w:ascii="AGaramond" w:hAnsi="AGaramond" w:cs="Arial"/>
          <w:i/>
          <w:iCs/>
          <w:sz w:val="22"/>
          <w:szCs w:val="22"/>
        </w:rPr>
        <w:t xml:space="preserve">La </w:t>
      </w:r>
      <w:r>
        <w:rPr>
          <w:rFonts w:ascii="AGaramond" w:hAnsi="AGaramond" w:cs="Arial"/>
          <w:i/>
          <w:iCs/>
          <w:sz w:val="22"/>
          <w:szCs w:val="22"/>
        </w:rPr>
        <w:t>n</w:t>
      </w:r>
      <w:r w:rsidRPr="00937DC4">
        <w:rPr>
          <w:rFonts w:ascii="AGaramond" w:hAnsi="AGaramond" w:cs="Arial"/>
          <w:i/>
          <w:iCs/>
          <w:sz w:val="22"/>
          <w:szCs w:val="22"/>
        </w:rPr>
        <w:t>ueva América Latina</w:t>
      </w:r>
      <w:r>
        <w:rPr>
          <w:rFonts w:ascii="AGaramond" w:hAnsi="AGaramond" w:cs="Arial"/>
          <w:sz w:val="22"/>
          <w:szCs w:val="22"/>
        </w:rPr>
        <w:t>,</w:t>
      </w:r>
      <w:r w:rsidRPr="00937DC4">
        <w:rPr>
          <w:rFonts w:ascii="AGaramond" w:hAnsi="AGaramond" w:cs="Arial"/>
          <w:sz w:val="22"/>
          <w:szCs w:val="22"/>
        </w:rPr>
        <w:t xml:space="preserve"> (p</w:t>
      </w:r>
      <w:r w:rsidR="00372C7A">
        <w:rPr>
          <w:rFonts w:ascii="AGaramond" w:hAnsi="AGaramond" w:cs="Arial"/>
          <w:sz w:val="22"/>
          <w:szCs w:val="22"/>
        </w:rPr>
        <w:t>p</w:t>
      </w:r>
      <w:r w:rsidRPr="00937DC4">
        <w:rPr>
          <w:rFonts w:ascii="AGaramond" w:hAnsi="AGaramond" w:cs="Arial"/>
          <w:sz w:val="22"/>
          <w:szCs w:val="22"/>
        </w:rPr>
        <w:t>. 291-300), se intenta abordar la corrupción como un problema general que afecta las posibilidades de alcanzar el desarrollo económico, pero cuya explicación no reside en los incentivos de mercado. Así, se aprovecha la oportunidad para poner sobre el tapete reflexiones en torno a temas de economía política relativos al manejo y la asignación de la renta de los recursos naturales, aspectos que se consideran nodales en las posturas teóricas de fondo sobre el desarrollo económico y la administración del Estado en Latinoamérica.</w:t>
      </w:r>
    </w:p>
    <w:p w14:paraId="46EA0873" w14:textId="6B01678E" w:rsidR="00937DC4" w:rsidRPr="00937DC4" w:rsidRDefault="00937DC4" w:rsidP="00937DC4">
      <w:pPr>
        <w:spacing w:after="240" w:line="360" w:lineRule="auto"/>
        <w:ind w:firstLine="284"/>
        <w:jc w:val="both"/>
        <w:rPr>
          <w:rFonts w:ascii="AGaramond" w:hAnsi="AGaramond" w:cs="Arial"/>
          <w:sz w:val="22"/>
          <w:szCs w:val="22"/>
        </w:rPr>
      </w:pPr>
      <w:r w:rsidRPr="00937DC4">
        <w:rPr>
          <w:rFonts w:ascii="AGaramond" w:hAnsi="AGaramond" w:cs="Arial"/>
          <w:sz w:val="22"/>
          <w:szCs w:val="22"/>
        </w:rPr>
        <w:t>En América Latina</w:t>
      </w:r>
      <w:r w:rsidR="00C6721B">
        <w:rPr>
          <w:rFonts w:ascii="AGaramond" w:hAnsi="AGaramond" w:cs="Arial"/>
          <w:sz w:val="22"/>
          <w:szCs w:val="22"/>
        </w:rPr>
        <w:t>,</w:t>
      </w:r>
      <w:r w:rsidRPr="00937DC4">
        <w:rPr>
          <w:rFonts w:ascii="AGaramond" w:hAnsi="AGaramond" w:cs="Arial"/>
          <w:sz w:val="22"/>
          <w:szCs w:val="22"/>
        </w:rPr>
        <w:t xml:space="preserve"> el ciudadano promedio no considera la corrupción como un flagelo que afecta la propia viabilidad sociopolítica del Estado y, por consiguiente, de los proyectos nacionales</w:t>
      </w:r>
      <w:sdt>
        <w:sdtPr>
          <w:rPr>
            <w:rFonts w:ascii="AGaramond" w:hAnsi="AGaramond" w:cs="Arial"/>
            <w:sz w:val="22"/>
            <w:szCs w:val="22"/>
          </w:rPr>
          <w:id w:val="-804311079"/>
          <w:citation/>
        </w:sdtPr>
        <w:sdtEndPr/>
        <w:sdtContent>
          <w:r w:rsidRPr="00937DC4">
            <w:rPr>
              <w:rFonts w:ascii="AGaramond" w:hAnsi="AGaramond" w:cs="Arial"/>
              <w:sz w:val="22"/>
              <w:szCs w:val="22"/>
            </w:rPr>
            <w:fldChar w:fldCharType="begin"/>
          </w:r>
          <w:r w:rsidRPr="00937DC4">
            <w:rPr>
              <w:rFonts w:ascii="AGaramond" w:hAnsi="AGaramond" w:cs="Arial"/>
              <w:sz w:val="22"/>
              <w:szCs w:val="22"/>
            </w:rPr>
            <w:instrText xml:space="preserve"> CITATION Luc19 \l 8202 </w:instrText>
          </w:r>
          <w:r w:rsidRPr="00937DC4">
            <w:rPr>
              <w:rFonts w:ascii="AGaramond" w:hAnsi="AGaramond" w:cs="Arial"/>
              <w:sz w:val="22"/>
              <w:szCs w:val="22"/>
            </w:rPr>
            <w:fldChar w:fldCharType="separate"/>
          </w:r>
          <w:r w:rsidRPr="00937DC4">
            <w:rPr>
              <w:rFonts w:ascii="AGaramond" w:hAnsi="AGaramond" w:cs="Arial"/>
              <w:noProof/>
              <w:sz w:val="22"/>
              <w:szCs w:val="22"/>
            </w:rPr>
            <w:t xml:space="preserve"> (Berniell, 2019)</w:t>
          </w:r>
          <w:r w:rsidRPr="00937DC4">
            <w:rPr>
              <w:rFonts w:ascii="AGaramond" w:hAnsi="AGaramond" w:cs="Arial"/>
              <w:sz w:val="22"/>
              <w:szCs w:val="22"/>
            </w:rPr>
            <w:fldChar w:fldCharType="end"/>
          </w:r>
        </w:sdtContent>
      </w:sdt>
      <w:r w:rsidRPr="00937DC4">
        <w:rPr>
          <w:rFonts w:ascii="AGaramond" w:hAnsi="AGaramond" w:cs="Arial"/>
          <w:sz w:val="22"/>
          <w:szCs w:val="22"/>
        </w:rPr>
        <w:t xml:space="preserve">. En general, se percibe la corrupción del Estado como parte de la cultura e idiosincrasia de los países. Es común escuchar en cualquier país latinoamericano la justificación de que cualquier funcionario público </w:t>
      </w:r>
      <w:r w:rsidR="00C6721B">
        <w:rPr>
          <w:rFonts w:ascii="AGaramond" w:hAnsi="AGaramond" w:cs="Arial"/>
          <w:sz w:val="22"/>
          <w:szCs w:val="22"/>
        </w:rPr>
        <w:t>“</w:t>
      </w:r>
      <w:r w:rsidRPr="00937DC4">
        <w:rPr>
          <w:rFonts w:ascii="AGaramond" w:hAnsi="AGaramond" w:cs="Arial"/>
          <w:sz w:val="22"/>
          <w:szCs w:val="22"/>
        </w:rPr>
        <w:t>acomode primero a su familia</w:t>
      </w:r>
      <w:r w:rsidR="00C6721B">
        <w:rPr>
          <w:rFonts w:ascii="AGaramond" w:hAnsi="AGaramond" w:cs="Arial"/>
          <w:sz w:val="22"/>
          <w:szCs w:val="22"/>
        </w:rPr>
        <w:t>”</w:t>
      </w:r>
      <w:r w:rsidRPr="00937DC4">
        <w:rPr>
          <w:rFonts w:ascii="AGaramond" w:hAnsi="AGaramond" w:cs="Arial"/>
          <w:sz w:val="22"/>
          <w:szCs w:val="22"/>
        </w:rPr>
        <w:t xml:space="preserve"> y deje después espacio para que acólitos y allegados también se beneficien de acciones dolosas. Se concibe</w:t>
      </w:r>
      <w:r w:rsidR="00C6721B">
        <w:rPr>
          <w:rFonts w:ascii="AGaramond" w:hAnsi="AGaramond" w:cs="Arial"/>
          <w:sz w:val="22"/>
          <w:szCs w:val="22"/>
        </w:rPr>
        <w:t>,</w:t>
      </w:r>
      <w:r w:rsidRPr="00937DC4">
        <w:rPr>
          <w:rFonts w:ascii="AGaramond" w:hAnsi="AGaramond" w:cs="Arial"/>
          <w:sz w:val="22"/>
          <w:szCs w:val="22"/>
        </w:rPr>
        <w:t xml:space="preserve"> entonces, en todos los estratos socioeconómicos, que la corrupción del Estado no es, </w:t>
      </w:r>
      <w:r w:rsidRPr="00937DC4">
        <w:rPr>
          <w:rFonts w:ascii="AGaramond" w:hAnsi="AGaramond" w:cs="Arial"/>
          <w:i/>
          <w:iCs/>
          <w:sz w:val="22"/>
          <w:szCs w:val="22"/>
        </w:rPr>
        <w:t>per se</w:t>
      </w:r>
      <w:r w:rsidRPr="00937DC4">
        <w:rPr>
          <w:rFonts w:ascii="AGaramond" w:hAnsi="AGaramond" w:cs="Arial"/>
          <w:sz w:val="22"/>
          <w:szCs w:val="22"/>
        </w:rPr>
        <w:t>, una conducta individual con severas repercusiones sociopolíticas adversas. Al final de cuentas, es el grado, y no la corrupción misma, lo que la hace aceptable o inaceptable</w:t>
      </w:r>
      <w:r w:rsidRPr="00937DC4">
        <w:rPr>
          <w:rStyle w:val="Refdenotaalpie"/>
          <w:rFonts w:ascii="AGaramond" w:hAnsi="AGaramond" w:cs="Arial"/>
          <w:sz w:val="22"/>
          <w:szCs w:val="22"/>
        </w:rPr>
        <w:footnoteReference w:id="1"/>
      </w:r>
      <w:r w:rsidRPr="00937DC4">
        <w:rPr>
          <w:rFonts w:ascii="AGaramond" w:hAnsi="AGaramond" w:cs="Arial"/>
          <w:sz w:val="22"/>
          <w:szCs w:val="22"/>
        </w:rPr>
        <w:t>. Pero: ¿</w:t>
      </w:r>
      <w:r w:rsidR="00C6721B">
        <w:rPr>
          <w:rFonts w:ascii="AGaramond" w:hAnsi="AGaramond" w:cs="Arial"/>
          <w:sz w:val="22"/>
          <w:szCs w:val="22"/>
        </w:rPr>
        <w:t>p</w:t>
      </w:r>
      <w:r w:rsidRPr="00937DC4">
        <w:rPr>
          <w:rFonts w:ascii="AGaramond" w:hAnsi="AGaramond" w:cs="Arial"/>
          <w:sz w:val="22"/>
          <w:szCs w:val="22"/>
        </w:rPr>
        <w:t xml:space="preserve">or qué es la corrupción del Estado un problema? ¿Es cierta la percepción de la corrupción del Estado como parte de la cultura? Considérese primero, de manera muy sucinta, la corrupción como problema a manera de justificar esta reflexión. Déjese para la sección </w:t>
      </w:r>
      <w:r w:rsidRPr="00937DC4">
        <w:rPr>
          <w:rFonts w:ascii="AGaramond" w:hAnsi="AGaramond" w:cs="Arial"/>
          <w:sz w:val="22"/>
          <w:szCs w:val="22"/>
        </w:rPr>
        <w:fldChar w:fldCharType="begin"/>
      </w:r>
      <w:r w:rsidRPr="00937DC4">
        <w:rPr>
          <w:rFonts w:ascii="AGaramond" w:hAnsi="AGaramond" w:cs="Arial"/>
          <w:sz w:val="22"/>
          <w:szCs w:val="22"/>
        </w:rPr>
        <w:instrText xml:space="preserve"> REF _Ref69368384 \r \h  \* MERGEFORMAT </w:instrText>
      </w:r>
      <w:r w:rsidRPr="00937DC4">
        <w:rPr>
          <w:rFonts w:ascii="AGaramond" w:hAnsi="AGaramond" w:cs="Arial"/>
          <w:sz w:val="22"/>
          <w:szCs w:val="22"/>
        </w:rPr>
      </w:r>
      <w:r w:rsidRPr="00937DC4">
        <w:rPr>
          <w:rFonts w:ascii="AGaramond" w:hAnsi="AGaramond" w:cs="Arial"/>
          <w:sz w:val="22"/>
          <w:szCs w:val="22"/>
        </w:rPr>
        <w:fldChar w:fldCharType="separate"/>
      </w:r>
      <w:r w:rsidR="008076E6">
        <w:rPr>
          <w:rFonts w:ascii="AGaramond" w:hAnsi="AGaramond" w:cs="Arial"/>
          <w:sz w:val="22"/>
          <w:szCs w:val="22"/>
        </w:rPr>
        <w:t>IV</w:t>
      </w:r>
      <w:r w:rsidRPr="00937DC4">
        <w:rPr>
          <w:rFonts w:ascii="AGaramond" w:hAnsi="AGaramond" w:cs="Arial"/>
          <w:sz w:val="22"/>
          <w:szCs w:val="22"/>
        </w:rPr>
        <w:fldChar w:fldCharType="end"/>
      </w:r>
      <w:r w:rsidRPr="00937DC4">
        <w:rPr>
          <w:rFonts w:ascii="AGaramond" w:hAnsi="AGaramond" w:cs="Arial"/>
          <w:sz w:val="22"/>
          <w:szCs w:val="22"/>
        </w:rPr>
        <w:t xml:space="preserve"> la discusión relativa a la </w:t>
      </w:r>
      <w:r w:rsidR="00C6721B">
        <w:rPr>
          <w:rFonts w:ascii="AGaramond" w:hAnsi="AGaramond" w:cs="Arial"/>
          <w:sz w:val="22"/>
          <w:szCs w:val="22"/>
        </w:rPr>
        <w:t>“</w:t>
      </w:r>
      <w:r w:rsidRPr="00937DC4">
        <w:rPr>
          <w:rFonts w:ascii="AGaramond" w:hAnsi="AGaramond" w:cs="Arial"/>
          <w:sz w:val="22"/>
          <w:szCs w:val="22"/>
        </w:rPr>
        <w:t>cultura de la corrupción</w:t>
      </w:r>
      <w:r w:rsidR="00C6721B">
        <w:rPr>
          <w:rFonts w:ascii="AGaramond" w:hAnsi="AGaramond" w:cs="Arial"/>
          <w:sz w:val="22"/>
          <w:szCs w:val="22"/>
        </w:rPr>
        <w:t>”</w:t>
      </w:r>
      <w:r w:rsidRPr="00937DC4">
        <w:rPr>
          <w:rFonts w:ascii="AGaramond" w:hAnsi="AGaramond" w:cs="Arial"/>
          <w:sz w:val="22"/>
          <w:szCs w:val="22"/>
        </w:rPr>
        <w:t>.</w:t>
      </w:r>
    </w:p>
    <w:p w14:paraId="1B52F66D" w14:textId="6E138FE7" w:rsidR="00937DC4" w:rsidRPr="00937DC4" w:rsidRDefault="00937DC4" w:rsidP="00937DC4">
      <w:pPr>
        <w:spacing w:after="240" w:line="360" w:lineRule="auto"/>
        <w:ind w:firstLine="284"/>
        <w:jc w:val="both"/>
        <w:rPr>
          <w:rFonts w:ascii="AGaramond" w:hAnsi="AGaramond" w:cs="Arial"/>
          <w:sz w:val="22"/>
          <w:szCs w:val="22"/>
        </w:rPr>
      </w:pPr>
      <w:r w:rsidRPr="00937DC4">
        <w:rPr>
          <w:rFonts w:ascii="AGaramond" w:hAnsi="AGaramond" w:cs="Arial"/>
          <w:sz w:val="22"/>
          <w:szCs w:val="22"/>
        </w:rPr>
        <w:t>Una respuesta a la pregunta de la corrupción del Estado como problema yace en la teoría liberal del Estado. El Estado surge como un contrato social</w:t>
      </w:r>
      <w:r w:rsidR="00345D41">
        <w:rPr>
          <w:rFonts w:ascii="AGaramond" w:hAnsi="AGaramond" w:cs="Arial"/>
          <w:sz w:val="22"/>
          <w:szCs w:val="22"/>
        </w:rPr>
        <w:t>;</w:t>
      </w:r>
      <w:r w:rsidRPr="00937DC4">
        <w:rPr>
          <w:rFonts w:ascii="AGaramond" w:hAnsi="AGaramond" w:cs="Arial"/>
          <w:sz w:val="22"/>
          <w:szCs w:val="22"/>
        </w:rPr>
        <w:t xml:space="preserve"> es decir, como un arreglo societal entre ciudadanos (agentes) para evitar el estado de la naturaleza </w:t>
      </w:r>
      <w:sdt>
        <w:sdtPr>
          <w:rPr>
            <w:rFonts w:ascii="AGaramond" w:hAnsi="AGaramond" w:cs="Arial"/>
            <w:sz w:val="22"/>
            <w:szCs w:val="22"/>
          </w:rPr>
          <w:id w:val="-1074120062"/>
          <w:citation/>
        </w:sdtPr>
        <w:sdtEndPr/>
        <w:sdtContent>
          <w:r w:rsidRPr="00937DC4">
            <w:rPr>
              <w:rFonts w:ascii="AGaramond" w:hAnsi="AGaramond" w:cs="Arial"/>
              <w:sz w:val="22"/>
              <w:szCs w:val="22"/>
            </w:rPr>
            <w:fldChar w:fldCharType="begin"/>
          </w:r>
          <w:r w:rsidRPr="00937DC4">
            <w:rPr>
              <w:rFonts w:ascii="AGaramond" w:hAnsi="AGaramond" w:cs="Arial"/>
              <w:sz w:val="22"/>
              <w:szCs w:val="22"/>
            </w:rPr>
            <w:instrText xml:space="preserve"> CITATION Tho51 \l 8202 </w:instrText>
          </w:r>
          <w:r w:rsidRPr="00937DC4">
            <w:rPr>
              <w:rFonts w:ascii="AGaramond" w:hAnsi="AGaramond" w:cs="Arial"/>
              <w:sz w:val="22"/>
              <w:szCs w:val="22"/>
            </w:rPr>
            <w:fldChar w:fldCharType="separate"/>
          </w:r>
          <w:r w:rsidRPr="00937DC4">
            <w:rPr>
              <w:rFonts w:ascii="AGaramond" w:hAnsi="AGaramond" w:cs="Arial"/>
              <w:noProof/>
              <w:sz w:val="22"/>
              <w:szCs w:val="22"/>
            </w:rPr>
            <w:t>(Hobbes, 1651)</w:t>
          </w:r>
          <w:r w:rsidRPr="00937DC4">
            <w:rPr>
              <w:rFonts w:ascii="AGaramond" w:hAnsi="AGaramond" w:cs="Arial"/>
              <w:sz w:val="22"/>
              <w:szCs w:val="22"/>
            </w:rPr>
            <w:fldChar w:fldCharType="end"/>
          </w:r>
        </w:sdtContent>
      </w:sdt>
      <w:r w:rsidRPr="00937DC4">
        <w:rPr>
          <w:rFonts w:ascii="AGaramond" w:hAnsi="AGaramond" w:cs="Arial"/>
          <w:sz w:val="22"/>
          <w:szCs w:val="22"/>
        </w:rPr>
        <w:t xml:space="preserve">: conceptualmente, el Estado deviene de acciones de grupos sociales antagónicos que </w:t>
      </w:r>
      <w:r w:rsidRPr="00937DC4">
        <w:rPr>
          <w:rFonts w:ascii="AGaramond" w:hAnsi="AGaramond" w:cs="Arial"/>
          <w:sz w:val="22"/>
          <w:szCs w:val="22"/>
        </w:rPr>
        <w:lastRenderedPageBreak/>
        <w:t xml:space="preserve">acuerdan y coordinan un arreglo societal. Dicho arreglo conforma un set institucional: reglas de juego y organismos gubernamentales; estos últimos capaces de hacer cumplir los contratos y de ejecutar políticas públicas. La corrupción del Estado mina esta concepción porque es el privilegio del </w:t>
      </w:r>
      <w:r w:rsidR="00C6721B">
        <w:rPr>
          <w:rFonts w:ascii="AGaramond" w:hAnsi="AGaramond" w:cs="Arial"/>
          <w:sz w:val="22"/>
          <w:szCs w:val="22"/>
        </w:rPr>
        <w:t>“</w:t>
      </w:r>
      <w:r w:rsidRPr="00937DC4">
        <w:rPr>
          <w:rFonts w:ascii="AGaramond" w:hAnsi="AGaramond" w:cs="Arial"/>
          <w:sz w:val="22"/>
          <w:szCs w:val="22"/>
        </w:rPr>
        <w:t>más fuerte</w:t>
      </w:r>
      <w:r w:rsidR="00C6721B">
        <w:rPr>
          <w:rFonts w:ascii="AGaramond" w:hAnsi="AGaramond" w:cs="Arial"/>
          <w:sz w:val="22"/>
          <w:szCs w:val="22"/>
        </w:rPr>
        <w:t>”</w:t>
      </w:r>
      <w:r w:rsidRPr="00937DC4">
        <w:rPr>
          <w:rFonts w:ascii="AGaramond" w:hAnsi="AGaramond" w:cs="Arial"/>
          <w:sz w:val="22"/>
          <w:szCs w:val="22"/>
        </w:rPr>
        <w:t xml:space="preserve"> el que prevalece, irrestrictamente. Por consiguiente, la corrupción del Estado destruye al propio ente y hace desvanecer la cohesión social, poniendo en riesgo los proyectos nacionales. Otra respuesta relacionada a la corrupción como problema reside en el impacto sustractivo de </w:t>
      </w:r>
      <w:r w:rsidR="00C6721B">
        <w:rPr>
          <w:rFonts w:ascii="AGaramond" w:hAnsi="AGaramond" w:cs="Arial"/>
          <w:sz w:val="22"/>
          <w:szCs w:val="22"/>
        </w:rPr>
        <w:t>e</w:t>
      </w:r>
      <w:r w:rsidRPr="00937DC4">
        <w:rPr>
          <w:rFonts w:ascii="AGaramond" w:hAnsi="AGaramond" w:cs="Arial"/>
          <w:sz w:val="22"/>
          <w:szCs w:val="22"/>
        </w:rPr>
        <w:t xml:space="preserve">sta en el crecimiento económico. Sin embargo, no hay evidencia econométrica definitoria en este </w:t>
      </w:r>
      <w:r w:rsidR="00C6721B" w:rsidRPr="00937DC4">
        <w:rPr>
          <w:rFonts w:ascii="AGaramond" w:hAnsi="AGaramond" w:cs="Arial"/>
          <w:sz w:val="22"/>
          <w:szCs w:val="22"/>
        </w:rPr>
        <w:t>sentido</w:t>
      </w:r>
      <w:r w:rsidR="00C6721B">
        <w:rPr>
          <w:rFonts w:ascii="AGaramond" w:hAnsi="AGaramond" w:cs="Arial"/>
          <w:sz w:val="22"/>
          <w:szCs w:val="22"/>
        </w:rPr>
        <w:t xml:space="preserve"> –</w:t>
      </w:r>
      <w:r w:rsidRPr="00937DC4">
        <w:rPr>
          <w:rFonts w:ascii="AGaramond" w:hAnsi="AGaramond" w:cs="Arial"/>
          <w:sz w:val="22"/>
          <w:szCs w:val="22"/>
        </w:rPr>
        <w:t xml:space="preserve">ver, por ejemplo, </w:t>
      </w:r>
      <w:r w:rsidR="00C6721B" w:rsidRPr="00C6721B">
        <w:rPr>
          <w:rFonts w:ascii="AGaramond" w:hAnsi="AGaramond" w:cs="Arial"/>
          <w:noProof/>
          <w:sz w:val="22"/>
          <w:szCs w:val="22"/>
        </w:rPr>
        <w:t xml:space="preserve">Nguyen, Nguyen </w:t>
      </w:r>
      <w:r w:rsidR="00C6721B">
        <w:rPr>
          <w:rFonts w:ascii="AGaramond" w:hAnsi="AGaramond" w:cs="Arial"/>
          <w:noProof/>
          <w:sz w:val="22"/>
          <w:szCs w:val="22"/>
        </w:rPr>
        <w:t>y</w:t>
      </w:r>
      <w:r w:rsidR="00C6721B" w:rsidRPr="00C6721B">
        <w:rPr>
          <w:rFonts w:ascii="AGaramond" w:hAnsi="AGaramond" w:cs="Arial"/>
          <w:noProof/>
          <w:sz w:val="22"/>
          <w:szCs w:val="22"/>
        </w:rPr>
        <w:t xml:space="preserve"> Tran-Nam, 2014</w:t>
      </w:r>
      <w:r w:rsidR="000643B1">
        <w:rPr>
          <w:rFonts w:ascii="AGaramond" w:hAnsi="AGaramond" w:cs="Arial"/>
          <w:noProof/>
          <w:sz w:val="22"/>
          <w:szCs w:val="22"/>
        </w:rPr>
        <w:t>,</w:t>
      </w:r>
      <w:r w:rsidRPr="00937DC4">
        <w:rPr>
          <w:rFonts w:ascii="AGaramond" w:hAnsi="AGaramond" w:cs="Arial"/>
          <w:sz w:val="22"/>
          <w:szCs w:val="22"/>
        </w:rPr>
        <w:t xml:space="preserve"> para una revisión extensa de la literatura</w:t>
      </w:r>
      <w:r w:rsidR="00C6721B">
        <w:rPr>
          <w:rFonts w:ascii="AGaramond" w:hAnsi="AGaramond" w:cs="Arial"/>
          <w:sz w:val="22"/>
          <w:szCs w:val="22"/>
        </w:rPr>
        <w:t>–</w:t>
      </w:r>
      <w:r w:rsidRPr="00937DC4">
        <w:rPr>
          <w:rFonts w:ascii="AGaramond" w:hAnsi="AGaramond" w:cs="Arial"/>
          <w:sz w:val="22"/>
          <w:szCs w:val="22"/>
        </w:rPr>
        <w:t xml:space="preserve">. </w:t>
      </w:r>
    </w:p>
    <w:p w14:paraId="03B59E6E" w14:textId="72D7E681" w:rsidR="00937DC4" w:rsidRPr="007821B8" w:rsidRDefault="00937DC4" w:rsidP="007821B8">
      <w:pPr>
        <w:spacing w:after="240" w:line="360" w:lineRule="auto"/>
        <w:ind w:firstLine="284"/>
        <w:jc w:val="both"/>
        <w:rPr>
          <w:rFonts w:ascii="AGaramond" w:hAnsi="AGaramond" w:cs="Arial"/>
          <w:sz w:val="22"/>
          <w:szCs w:val="22"/>
        </w:rPr>
      </w:pPr>
      <w:r w:rsidRPr="00937DC4">
        <w:rPr>
          <w:rFonts w:ascii="AGaramond" w:hAnsi="AGaramond" w:cs="Arial"/>
          <w:sz w:val="22"/>
          <w:szCs w:val="22"/>
        </w:rPr>
        <w:t xml:space="preserve">Los ámbitos arriba mencionados constituyen una justificación para el análisis, mas no son de la atención de este trabajo. </w:t>
      </w:r>
      <w:r w:rsidR="008E50D6">
        <w:rPr>
          <w:rFonts w:ascii="AGaramond" w:hAnsi="AGaramond" w:cs="Arial"/>
          <w:sz w:val="22"/>
          <w:szCs w:val="22"/>
        </w:rPr>
        <w:t>Es</w:t>
      </w:r>
      <w:r w:rsidRPr="00937DC4">
        <w:rPr>
          <w:rFonts w:ascii="AGaramond" w:hAnsi="AGaramond" w:cs="Arial"/>
          <w:sz w:val="22"/>
          <w:szCs w:val="22"/>
        </w:rPr>
        <w:t xml:space="preserve"> parte de la premisa de que la corrupción es una acción individual con ingentes repercusiones indeseables para la sociedad en diferentes dimensiones, siendo la económica una de ellas. Por tanto, el enfoque de la reflexión es el origen de la corrupción, con particular énfasis en los países ricos en recursos naturales. En otras palabras, la preocupación gira en torno a las razones, económicas y no económicas, en un país con dotaciones de activos no producidos, que explican por qué un servidor público comete actos de peculado. Entre la explicación no económica se aborda el </w:t>
      </w:r>
      <w:r w:rsidRPr="00937DC4">
        <w:rPr>
          <w:rFonts w:ascii="AGaramond" w:hAnsi="AGaramond" w:cs="Arial"/>
          <w:i/>
          <w:iCs/>
          <w:sz w:val="22"/>
          <w:szCs w:val="22"/>
        </w:rPr>
        <w:t>poder situacional</w:t>
      </w:r>
      <w:r w:rsidRPr="00937DC4">
        <w:rPr>
          <w:rFonts w:ascii="AGaramond" w:hAnsi="AGaramond" w:cs="Arial"/>
          <w:sz w:val="22"/>
          <w:szCs w:val="22"/>
        </w:rPr>
        <w:t xml:space="preserve"> desde la perspectiva de la psicología social. El pie de página </w:t>
      </w:r>
      <w:r w:rsidRPr="007821B8">
        <w:rPr>
          <w:rFonts w:ascii="AGaramond" w:hAnsi="AGaramond" w:cs="Arial"/>
          <w:sz w:val="22"/>
          <w:szCs w:val="22"/>
        </w:rPr>
        <w:t>once, (</w:t>
      </w:r>
      <w:r w:rsidRPr="007821B8">
        <w:rPr>
          <w:rFonts w:ascii="AGaramond" w:hAnsi="AGaramond" w:cs="Arial"/>
          <w:sz w:val="22"/>
          <w:szCs w:val="22"/>
        </w:rPr>
        <w:fldChar w:fldCharType="begin"/>
      </w:r>
      <w:r w:rsidRPr="007821B8">
        <w:rPr>
          <w:rFonts w:ascii="AGaramond" w:hAnsi="AGaramond" w:cs="Arial"/>
          <w:sz w:val="22"/>
          <w:szCs w:val="22"/>
        </w:rPr>
        <w:instrText xml:space="preserve"> NOTEREF _Ref69369798 \h  \* MERGEFORMAT </w:instrText>
      </w:r>
      <w:r w:rsidRPr="007821B8">
        <w:rPr>
          <w:rFonts w:ascii="AGaramond" w:hAnsi="AGaramond" w:cs="Arial"/>
          <w:sz w:val="22"/>
          <w:szCs w:val="22"/>
        </w:rPr>
      </w:r>
      <w:r w:rsidRPr="007821B8">
        <w:rPr>
          <w:rFonts w:ascii="AGaramond" w:hAnsi="AGaramond" w:cs="Arial"/>
          <w:sz w:val="22"/>
          <w:szCs w:val="22"/>
        </w:rPr>
        <w:fldChar w:fldCharType="separate"/>
      </w:r>
      <w:r w:rsidR="008076E6">
        <w:rPr>
          <w:rFonts w:ascii="AGaramond" w:hAnsi="AGaramond" w:cs="Arial"/>
          <w:sz w:val="22"/>
          <w:szCs w:val="22"/>
        </w:rPr>
        <w:t>11</w:t>
      </w:r>
      <w:r w:rsidRPr="007821B8">
        <w:rPr>
          <w:rFonts w:ascii="AGaramond" w:hAnsi="AGaramond" w:cs="Arial"/>
          <w:sz w:val="22"/>
          <w:szCs w:val="22"/>
        </w:rPr>
        <w:fldChar w:fldCharType="end"/>
      </w:r>
      <w:r w:rsidRPr="007821B8">
        <w:rPr>
          <w:rFonts w:ascii="AGaramond" w:hAnsi="AGaramond" w:cs="Arial"/>
          <w:sz w:val="22"/>
          <w:szCs w:val="22"/>
        </w:rPr>
        <w:t xml:space="preserve">), resume esta visión y plantea un campo de investigación posterior. De hecho, lo expresado en este pie de página sugiere, incluso, más que una explicación de la corrupción, la casi imposibilidad de la administración eficiente de la renta de los recursos naturales por parte del Estado </w:t>
      </w:r>
      <w:r w:rsidRPr="007821B8">
        <w:rPr>
          <w:rFonts w:ascii="AGaramond" w:hAnsi="AGaramond" w:cs="Arial"/>
          <w:sz w:val="22"/>
          <w:szCs w:val="22"/>
          <w:u w:val="single"/>
        </w:rPr>
        <w:t>en las naciones económicamente atrasadas</w:t>
      </w:r>
      <w:r w:rsidRPr="007821B8">
        <w:rPr>
          <w:rStyle w:val="Refdenotaalpie"/>
          <w:rFonts w:ascii="AGaramond" w:hAnsi="AGaramond" w:cs="Arial"/>
          <w:sz w:val="22"/>
          <w:szCs w:val="22"/>
        </w:rPr>
        <w:footnoteReference w:id="2"/>
      </w:r>
      <w:r w:rsidRPr="007821B8">
        <w:rPr>
          <w:rFonts w:ascii="AGaramond" w:hAnsi="AGaramond" w:cs="Arial"/>
          <w:sz w:val="22"/>
          <w:szCs w:val="22"/>
        </w:rPr>
        <w:t xml:space="preserve"> (</w:t>
      </w:r>
      <w:r w:rsidR="008E50D6">
        <w:rPr>
          <w:rFonts w:ascii="AGaramond" w:hAnsi="AGaramond" w:cs="Arial"/>
          <w:sz w:val="22"/>
          <w:szCs w:val="22"/>
        </w:rPr>
        <w:t>e</w:t>
      </w:r>
      <w:r w:rsidRPr="007821B8">
        <w:rPr>
          <w:rFonts w:ascii="AGaramond" w:hAnsi="AGaramond" w:cs="Arial"/>
          <w:sz w:val="22"/>
          <w:szCs w:val="22"/>
        </w:rPr>
        <w:t>l subrayado delimita claramente el espacio de la aseveración)</w:t>
      </w:r>
      <w:r w:rsidR="008E50D6">
        <w:rPr>
          <w:rFonts w:ascii="AGaramond" w:hAnsi="AGaramond" w:cs="Arial"/>
          <w:sz w:val="22"/>
          <w:szCs w:val="22"/>
        </w:rPr>
        <w:t>.</w:t>
      </w:r>
      <w:r w:rsidRPr="007821B8">
        <w:rPr>
          <w:rFonts w:ascii="AGaramond" w:hAnsi="AGaramond" w:cs="Arial"/>
          <w:sz w:val="22"/>
          <w:szCs w:val="22"/>
        </w:rPr>
        <w:t xml:space="preserve"> Por otra parte, la justificación económica se concibe desde la dimensión individual de una situación (juego) repetido que enfrenta todo funcionario público. </w:t>
      </w:r>
    </w:p>
    <w:p w14:paraId="298F2B45" w14:textId="058BF304" w:rsidR="00937DC4" w:rsidRPr="00611B92" w:rsidRDefault="00937DC4" w:rsidP="007821B8">
      <w:pPr>
        <w:spacing w:after="240" w:line="360" w:lineRule="auto"/>
        <w:ind w:firstLine="284"/>
        <w:jc w:val="both"/>
        <w:rPr>
          <w:rFonts w:ascii="AGaramond" w:hAnsi="AGaramond" w:cs="Arial"/>
        </w:rPr>
      </w:pPr>
      <w:r w:rsidRPr="007821B8">
        <w:rPr>
          <w:rFonts w:ascii="AGaramond" w:hAnsi="AGaramond" w:cs="Arial"/>
          <w:sz w:val="22"/>
          <w:szCs w:val="22"/>
        </w:rPr>
        <w:t xml:space="preserve">El orden de discusión del presente opúsculo es el siguiente. En la sección </w:t>
      </w:r>
      <w:r w:rsidRPr="007821B8">
        <w:rPr>
          <w:rFonts w:ascii="AGaramond" w:hAnsi="AGaramond" w:cs="Arial"/>
          <w:sz w:val="22"/>
          <w:szCs w:val="22"/>
        </w:rPr>
        <w:fldChar w:fldCharType="begin"/>
      </w:r>
      <w:r w:rsidRPr="007821B8">
        <w:rPr>
          <w:rFonts w:ascii="AGaramond" w:hAnsi="AGaramond" w:cs="Arial"/>
          <w:sz w:val="22"/>
          <w:szCs w:val="22"/>
        </w:rPr>
        <w:instrText xml:space="preserve"> REF _Ref49698721 \r \h  \* MERGEFORMAT </w:instrText>
      </w:r>
      <w:r w:rsidRPr="007821B8">
        <w:rPr>
          <w:rFonts w:ascii="AGaramond" w:hAnsi="AGaramond" w:cs="Arial"/>
          <w:sz w:val="22"/>
          <w:szCs w:val="22"/>
        </w:rPr>
      </w:r>
      <w:r w:rsidRPr="007821B8">
        <w:rPr>
          <w:rFonts w:ascii="AGaramond" w:hAnsi="AGaramond" w:cs="Arial"/>
          <w:sz w:val="22"/>
          <w:szCs w:val="22"/>
        </w:rPr>
        <w:fldChar w:fldCharType="separate"/>
      </w:r>
      <w:r w:rsidR="008076E6">
        <w:rPr>
          <w:rFonts w:ascii="AGaramond" w:hAnsi="AGaramond" w:cs="Arial"/>
          <w:sz w:val="22"/>
          <w:szCs w:val="22"/>
        </w:rPr>
        <w:t>II</w:t>
      </w:r>
      <w:r w:rsidRPr="007821B8">
        <w:rPr>
          <w:rFonts w:ascii="AGaramond" w:hAnsi="AGaramond" w:cs="Arial"/>
          <w:sz w:val="22"/>
          <w:szCs w:val="22"/>
        </w:rPr>
        <w:fldChar w:fldCharType="end"/>
      </w:r>
      <w:r w:rsidRPr="007821B8">
        <w:rPr>
          <w:rFonts w:ascii="AGaramond" w:hAnsi="AGaramond" w:cs="Arial"/>
          <w:sz w:val="22"/>
          <w:szCs w:val="22"/>
        </w:rPr>
        <w:t xml:space="preserve">, </w:t>
      </w:r>
      <w:r w:rsidRPr="007821B8">
        <w:rPr>
          <w:rFonts w:ascii="AGaramond" w:hAnsi="AGaramond" w:cs="Arial"/>
          <w:noProof/>
          <w:sz w:val="22"/>
          <w:szCs w:val="22"/>
        </w:rPr>
        <w:t xml:space="preserve">siguiendo a Calderón </w:t>
      </w:r>
      <w:r w:rsidR="008E50D6">
        <w:rPr>
          <w:rFonts w:ascii="AGaramond" w:hAnsi="AGaramond" w:cs="Arial"/>
          <w:noProof/>
          <w:sz w:val="22"/>
          <w:szCs w:val="22"/>
        </w:rPr>
        <w:t>y</w:t>
      </w:r>
      <w:r w:rsidRPr="007821B8">
        <w:rPr>
          <w:rFonts w:ascii="AGaramond" w:hAnsi="AGaramond" w:cs="Arial"/>
          <w:noProof/>
          <w:sz w:val="22"/>
          <w:szCs w:val="22"/>
        </w:rPr>
        <w:t xml:space="preserve"> Castell</w:t>
      </w:r>
      <w:r w:rsidR="00770F21">
        <w:rPr>
          <w:rFonts w:ascii="AGaramond" w:hAnsi="AGaramond" w:cs="Arial"/>
          <w:noProof/>
          <w:sz w:val="22"/>
          <w:szCs w:val="22"/>
        </w:rPr>
        <w:t>s</w:t>
      </w:r>
      <w:r w:rsidRPr="007821B8">
        <w:rPr>
          <w:rFonts w:ascii="AGaramond" w:hAnsi="AGaramond" w:cs="Arial"/>
          <w:noProof/>
          <w:sz w:val="22"/>
          <w:szCs w:val="22"/>
        </w:rPr>
        <w:t xml:space="preserve"> (2019)</w:t>
      </w:r>
      <w:r w:rsidRPr="007821B8">
        <w:rPr>
          <w:rFonts w:ascii="AGaramond" w:hAnsi="AGaramond" w:cs="Arial"/>
          <w:sz w:val="22"/>
          <w:szCs w:val="22"/>
        </w:rPr>
        <w:t xml:space="preserve">, se plantea la explicación de la corrupción en América Latina partiendo de los modelos de gestión económica para el desarrollo. La elucidación de estos autores es rebatida en algunos de sus argumentos. En la sección </w:t>
      </w:r>
      <w:r w:rsidRPr="007821B8">
        <w:rPr>
          <w:rFonts w:ascii="AGaramond" w:hAnsi="AGaramond" w:cs="Arial"/>
          <w:sz w:val="22"/>
          <w:szCs w:val="22"/>
        </w:rPr>
        <w:fldChar w:fldCharType="begin"/>
      </w:r>
      <w:r w:rsidRPr="007821B8">
        <w:rPr>
          <w:rFonts w:ascii="AGaramond" w:hAnsi="AGaramond" w:cs="Arial"/>
          <w:sz w:val="22"/>
          <w:szCs w:val="22"/>
        </w:rPr>
        <w:instrText xml:space="preserve"> REF _Ref533009385 \n \h  \* MERGEFORMAT </w:instrText>
      </w:r>
      <w:r w:rsidRPr="007821B8">
        <w:rPr>
          <w:rFonts w:ascii="AGaramond" w:hAnsi="AGaramond" w:cs="Arial"/>
          <w:sz w:val="22"/>
          <w:szCs w:val="22"/>
        </w:rPr>
      </w:r>
      <w:r w:rsidRPr="007821B8">
        <w:rPr>
          <w:rFonts w:ascii="AGaramond" w:hAnsi="AGaramond" w:cs="Arial"/>
          <w:sz w:val="22"/>
          <w:szCs w:val="22"/>
        </w:rPr>
        <w:fldChar w:fldCharType="separate"/>
      </w:r>
      <w:r w:rsidR="008076E6">
        <w:rPr>
          <w:rFonts w:ascii="AGaramond" w:hAnsi="AGaramond" w:cs="Arial"/>
          <w:sz w:val="22"/>
          <w:szCs w:val="22"/>
        </w:rPr>
        <w:t>0</w:t>
      </w:r>
      <w:r w:rsidRPr="007821B8">
        <w:rPr>
          <w:rFonts w:ascii="AGaramond" w:hAnsi="AGaramond" w:cs="Arial"/>
          <w:sz w:val="22"/>
          <w:szCs w:val="22"/>
        </w:rPr>
        <w:fldChar w:fldCharType="end"/>
      </w:r>
      <w:r w:rsidRPr="007821B8">
        <w:rPr>
          <w:rFonts w:ascii="AGaramond" w:hAnsi="AGaramond" w:cs="Arial"/>
          <w:sz w:val="22"/>
          <w:szCs w:val="22"/>
        </w:rPr>
        <w:t xml:space="preserve">, se aborda la visión </w:t>
      </w:r>
      <w:proofErr w:type="spellStart"/>
      <w:r w:rsidRPr="007821B8">
        <w:rPr>
          <w:rFonts w:ascii="AGaramond" w:hAnsi="AGaramond" w:cs="Arial"/>
          <w:sz w:val="22"/>
          <w:szCs w:val="22"/>
        </w:rPr>
        <w:t>neoinstitucionalista</w:t>
      </w:r>
      <w:proofErr w:type="spellEnd"/>
      <w:r w:rsidRPr="007821B8">
        <w:rPr>
          <w:rFonts w:ascii="AGaramond" w:hAnsi="AGaramond" w:cs="Arial"/>
          <w:sz w:val="22"/>
          <w:szCs w:val="22"/>
        </w:rPr>
        <w:t xml:space="preserve"> de la corrupción, haciéndose énfasis en la existencia y manejo de la renta de los </w:t>
      </w:r>
      <w:r w:rsidRPr="00937DC4">
        <w:rPr>
          <w:rFonts w:ascii="AGaramond" w:hAnsi="AGaramond" w:cs="Arial"/>
          <w:sz w:val="22"/>
          <w:szCs w:val="22"/>
        </w:rPr>
        <w:t xml:space="preserve">recursos naturales. En la sección </w:t>
      </w:r>
      <w:r w:rsidRPr="007821B8">
        <w:rPr>
          <w:rFonts w:ascii="AGaramond" w:hAnsi="AGaramond" w:cs="Arial"/>
          <w:sz w:val="22"/>
          <w:szCs w:val="22"/>
        </w:rPr>
        <w:fldChar w:fldCharType="begin"/>
      </w:r>
      <w:r w:rsidRPr="007821B8">
        <w:rPr>
          <w:rFonts w:ascii="AGaramond" w:hAnsi="AGaramond" w:cs="Arial"/>
          <w:sz w:val="22"/>
          <w:szCs w:val="22"/>
        </w:rPr>
        <w:instrText xml:space="preserve"> REF _Ref533009397 \n \h  \* MERGEFORMAT </w:instrText>
      </w:r>
      <w:r w:rsidRPr="007821B8">
        <w:rPr>
          <w:rFonts w:ascii="AGaramond" w:hAnsi="AGaramond" w:cs="Arial"/>
          <w:sz w:val="22"/>
          <w:szCs w:val="22"/>
        </w:rPr>
      </w:r>
      <w:r w:rsidRPr="007821B8">
        <w:rPr>
          <w:rFonts w:ascii="AGaramond" w:hAnsi="AGaramond" w:cs="Arial"/>
          <w:sz w:val="22"/>
          <w:szCs w:val="22"/>
        </w:rPr>
        <w:fldChar w:fldCharType="separate"/>
      </w:r>
      <w:r w:rsidR="008076E6">
        <w:rPr>
          <w:rFonts w:ascii="AGaramond" w:hAnsi="AGaramond" w:cs="Arial"/>
          <w:sz w:val="22"/>
          <w:szCs w:val="22"/>
        </w:rPr>
        <w:t>IV</w:t>
      </w:r>
      <w:r w:rsidRPr="007821B8">
        <w:rPr>
          <w:rFonts w:ascii="AGaramond" w:hAnsi="AGaramond" w:cs="Arial"/>
          <w:sz w:val="22"/>
          <w:szCs w:val="22"/>
        </w:rPr>
        <w:fldChar w:fldCharType="end"/>
      </w:r>
      <w:r w:rsidRPr="007821B8">
        <w:rPr>
          <w:rFonts w:ascii="AGaramond" w:hAnsi="AGaramond" w:cs="Arial"/>
          <w:sz w:val="22"/>
          <w:szCs w:val="22"/>
        </w:rPr>
        <w:t xml:space="preserve"> se presenta un modelo sencillo, desde la perspectiva de la teoría de juegos (juegos no cooperativos repetidos), sobre los (des)incentivos de los funcionarios públicos para el manejo probo de recursos públicos. La sección </w:t>
      </w:r>
      <w:r w:rsidRPr="007821B8">
        <w:rPr>
          <w:rFonts w:ascii="AGaramond" w:hAnsi="AGaramond" w:cs="Arial"/>
          <w:sz w:val="22"/>
          <w:szCs w:val="22"/>
        </w:rPr>
        <w:fldChar w:fldCharType="begin"/>
      </w:r>
      <w:r w:rsidRPr="007821B8">
        <w:rPr>
          <w:rFonts w:ascii="AGaramond" w:hAnsi="AGaramond" w:cs="Arial"/>
          <w:sz w:val="22"/>
          <w:szCs w:val="22"/>
        </w:rPr>
        <w:instrText xml:space="preserve"> REF _Ref533009411 \n \h  \* MERGEFORMAT </w:instrText>
      </w:r>
      <w:r w:rsidRPr="007821B8">
        <w:rPr>
          <w:rFonts w:ascii="AGaramond" w:hAnsi="AGaramond" w:cs="Arial"/>
          <w:sz w:val="22"/>
          <w:szCs w:val="22"/>
        </w:rPr>
      </w:r>
      <w:r w:rsidRPr="007821B8">
        <w:rPr>
          <w:rFonts w:ascii="AGaramond" w:hAnsi="AGaramond" w:cs="Arial"/>
          <w:sz w:val="22"/>
          <w:szCs w:val="22"/>
        </w:rPr>
        <w:fldChar w:fldCharType="separate"/>
      </w:r>
      <w:r w:rsidR="008076E6">
        <w:rPr>
          <w:rFonts w:ascii="AGaramond" w:hAnsi="AGaramond" w:cs="Arial"/>
          <w:sz w:val="22"/>
          <w:szCs w:val="22"/>
        </w:rPr>
        <w:t>V</w:t>
      </w:r>
      <w:r w:rsidRPr="007821B8">
        <w:rPr>
          <w:rFonts w:ascii="AGaramond" w:hAnsi="AGaramond" w:cs="Arial"/>
          <w:sz w:val="22"/>
          <w:szCs w:val="22"/>
        </w:rPr>
        <w:fldChar w:fldCharType="end"/>
      </w:r>
      <w:r w:rsidRPr="007821B8">
        <w:rPr>
          <w:rFonts w:ascii="AGaramond" w:hAnsi="AGaramond" w:cs="Arial"/>
          <w:sz w:val="22"/>
          <w:szCs w:val="22"/>
        </w:rPr>
        <w:t xml:space="preserve"> culmina </w:t>
      </w:r>
      <w:r w:rsidRPr="00937DC4">
        <w:rPr>
          <w:rFonts w:ascii="AGaramond" w:hAnsi="AGaramond" w:cs="Arial"/>
          <w:sz w:val="22"/>
          <w:szCs w:val="22"/>
        </w:rPr>
        <w:t>el ensayo con algunos comentarios de cierre.</w:t>
      </w:r>
      <w:r w:rsidRPr="00611B92">
        <w:rPr>
          <w:rFonts w:ascii="AGaramond" w:hAnsi="AGaramond" w:cs="Arial"/>
        </w:rPr>
        <w:t xml:space="preserve"> </w:t>
      </w:r>
    </w:p>
    <w:p w14:paraId="747BB142" w14:textId="45460DA7" w:rsidR="00937DC4" w:rsidRPr="00B60EE5" w:rsidRDefault="00770F21" w:rsidP="00237115">
      <w:pPr>
        <w:pStyle w:val="Prrafodelista"/>
        <w:numPr>
          <w:ilvl w:val="0"/>
          <w:numId w:val="34"/>
        </w:numPr>
        <w:spacing w:line="360" w:lineRule="auto"/>
        <w:ind w:left="284" w:firstLine="0"/>
        <w:jc w:val="both"/>
        <w:rPr>
          <w:rFonts w:ascii="AGaramond" w:hAnsi="AGaramond" w:cs="Arial"/>
          <w:b/>
          <w:bCs/>
          <w:sz w:val="24"/>
          <w:szCs w:val="24"/>
        </w:rPr>
      </w:pPr>
      <w:bookmarkStart w:id="1" w:name="_Ref49698721"/>
      <w:r w:rsidRPr="00B60EE5">
        <w:rPr>
          <w:rFonts w:ascii="AGaramond" w:hAnsi="AGaramond" w:cs="Arial"/>
          <w:b/>
          <w:bCs/>
          <w:sz w:val="24"/>
          <w:szCs w:val="24"/>
        </w:rPr>
        <w:lastRenderedPageBreak/>
        <w:t>MODELOS POLÍTICOS DE GESTIÓN ECONÓMICA PARA EL DESARROLLO Y LA CORRUPCIÓN DEL ESTADO EN AMÉRICA LATINA</w:t>
      </w:r>
      <w:bookmarkEnd w:id="1"/>
    </w:p>
    <w:p w14:paraId="484C1DD9" w14:textId="7F847CF6" w:rsidR="00937DC4" w:rsidRPr="00770F21" w:rsidRDefault="00937DC4" w:rsidP="00770F21">
      <w:pPr>
        <w:spacing w:after="240" w:line="360" w:lineRule="auto"/>
        <w:ind w:firstLine="284"/>
        <w:jc w:val="both"/>
        <w:rPr>
          <w:rFonts w:ascii="AGaramond" w:hAnsi="AGaramond" w:cs="Arial"/>
          <w:sz w:val="22"/>
          <w:szCs w:val="22"/>
        </w:rPr>
      </w:pPr>
      <w:r w:rsidRPr="00770F21">
        <w:rPr>
          <w:rFonts w:ascii="AGaramond" w:hAnsi="AGaramond" w:cs="Arial"/>
          <w:sz w:val="22"/>
          <w:szCs w:val="22"/>
        </w:rPr>
        <w:t>El análisis de la corrupción en la América Latina de Calderón y Castell</w:t>
      </w:r>
      <w:r w:rsidR="00770F21">
        <w:rPr>
          <w:rFonts w:ascii="AGaramond" w:hAnsi="AGaramond" w:cs="Arial"/>
          <w:sz w:val="22"/>
          <w:szCs w:val="22"/>
        </w:rPr>
        <w:t>s</w:t>
      </w:r>
      <w:r w:rsidRPr="00770F21">
        <w:rPr>
          <w:rFonts w:ascii="AGaramond" w:hAnsi="AGaramond" w:cs="Arial"/>
          <w:sz w:val="22"/>
          <w:szCs w:val="22"/>
        </w:rPr>
        <w:t xml:space="preserve"> (</w:t>
      </w:r>
      <w:proofErr w:type="spellStart"/>
      <w:r w:rsidRPr="00770F21">
        <w:rPr>
          <w:rFonts w:ascii="AGaramond" w:hAnsi="AGaramond" w:cs="Arial"/>
          <w:i/>
          <w:iCs/>
          <w:sz w:val="22"/>
          <w:szCs w:val="22"/>
        </w:rPr>
        <w:t>op</w:t>
      </w:r>
      <w:proofErr w:type="spellEnd"/>
      <w:r w:rsidRPr="00770F21">
        <w:rPr>
          <w:rFonts w:ascii="AGaramond" w:hAnsi="AGaramond" w:cs="Arial"/>
          <w:i/>
          <w:iCs/>
          <w:sz w:val="22"/>
          <w:szCs w:val="22"/>
        </w:rPr>
        <w:t>. cit.</w:t>
      </w:r>
      <w:r w:rsidRPr="00770F21">
        <w:rPr>
          <w:rFonts w:ascii="AGaramond" w:hAnsi="AGaramond" w:cs="Arial"/>
          <w:sz w:val="22"/>
          <w:szCs w:val="22"/>
        </w:rPr>
        <w:t>) considera que ninguno de los modelos políticos de gestión económica para el desarrollo (</w:t>
      </w:r>
      <w:r w:rsidRPr="000643B1">
        <w:rPr>
          <w:rFonts w:ascii="AGaramond" w:hAnsi="AGaramond" w:cs="Arial"/>
          <w:i/>
          <w:iCs/>
          <w:sz w:val="22"/>
          <w:szCs w:val="22"/>
        </w:rPr>
        <w:t>i.</w:t>
      </w:r>
      <w:r w:rsidR="000643B1" w:rsidRPr="000643B1">
        <w:rPr>
          <w:rFonts w:ascii="AGaramond" w:hAnsi="AGaramond" w:cs="Arial"/>
          <w:i/>
          <w:iCs/>
          <w:sz w:val="22"/>
          <w:szCs w:val="22"/>
        </w:rPr>
        <w:t xml:space="preserve"> </w:t>
      </w:r>
      <w:r w:rsidRPr="000643B1">
        <w:rPr>
          <w:rFonts w:ascii="AGaramond" w:hAnsi="AGaramond" w:cs="Arial"/>
          <w:i/>
          <w:iCs/>
          <w:sz w:val="22"/>
          <w:szCs w:val="22"/>
        </w:rPr>
        <w:t>e.</w:t>
      </w:r>
      <w:r w:rsidRPr="00770F21">
        <w:rPr>
          <w:rFonts w:ascii="AGaramond" w:hAnsi="AGaramond" w:cs="Arial"/>
          <w:sz w:val="22"/>
          <w:szCs w:val="22"/>
        </w:rPr>
        <w:t xml:space="preserve">, el neoliberalismo, </w:t>
      </w:r>
      <w:r w:rsidRPr="00770F21">
        <w:rPr>
          <w:rFonts w:ascii="AGaramond" w:hAnsi="AGaramond" w:cs="Arial"/>
          <w:i/>
          <w:iCs/>
          <w:sz w:val="22"/>
          <w:szCs w:val="22"/>
        </w:rPr>
        <w:t xml:space="preserve">sic, </w:t>
      </w:r>
      <w:r w:rsidRPr="00770F21">
        <w:rPr>
          <w:rFonts w:ascii="AGaramond" w:hAnsi="AGaramond" w:cs="Arial"/>
          <w:sz w:val="22"/>
          <w:szCs w:val="22"/>
        </w:rPr>
        <w:t xml:space="preserve">y el desarrollismo) es causa de corrupción, pero </w:t>
      </w:r>
      <w:r w:rsidR="00B60EE5">
        <w:rPr>
          <w:rFonts w:ascii="AGaramond" w:hAnsi="AGaramond" w:cs="Arial"/>
          <w:sz w:val="22"/>
          <w:szCs w:val="22"/>
        </w:rPr>
        <w:t>e</w:t>
      </w:r>
      <w:r w:rsidRPr="00770F21">
        <w:rPr>
          <w:rFonts w:ascii="AGaramond" w:hAnsi="AGaramond" w:cs="Arial"/>
          <w:sz w:val="22"/>
          <w:szCs w:val="22"/>
        </w:rPr>
        <w:t xml:space="preserve">sta se manifiesta distintivamente en cada modelo: </w:t>
      </w:r>
      <w:r w:rsidR="00B60EE5">
        <w:rPr>
          <w:rFonts w:ascii="AGaramond" w:hAnsi="AGaramond" w:cs="Arial"/>
          <w:sz w:val="22"/>
          <w:szCs w:val="22"/>
        </w:rPr>
        <w:t>“</w:t>
      </w:r>
      <w:r w:rsidRPr="00770F21">
        <w:rPr>
          <w:rFonts w:ascii="AGaramond" w:hAnsi="AGaramond" w:cs="Arial"/>
          <w:sz w:val="22"/>
          <w:szCs w:val="22"/>
        </w:rPr>
        <w:t>La corrupción trasciende la especificidad de los modelos de desarrollo</w:t>
      </w:r>
      <w:r w:rsidR="00B60EE5">
        <w:rPr>
          <w:rFonts w:ascii="AGaramond" w:hAnsi="AGaramond" w:cs="Arial"/>
          <w:sz w:val="22"/>
          <w:szCs w:val="22"/>
        </w:rPr>
        <w:t>”</w:t>
      </w:r>
      <w:r w:rsidRPr="00770F21">
        <w:rPr>
          <w:rFonts w:ascii="AGaramond" w:hAnsi="AGaramond" w:cs="Arial"/>
          <w:sz w:val="22"/>
          <w:szCs w:val="22"/>
        </w:rPr>
        <w:t xml:space="preserve">. </w:t>
      </w:r>
      <w:proofErr w:type="gramStart"/>
      <w:r w:rsidRPr="00770F21">
        <w:rPr>
          <w:rFonts w:ascii="AGaramond" w:hAnsi="AGaramond" w:cs="Arial"/>
          <w:sz w:val="22"/>
          <w:szCs w:val="22"/>
        </w:rPr>
        <w:t>De acuerdo a</w:t>
      </w:r>
      <w:proofErr w:type="gramEnd"/>
      <w:r w:rsidRPr="00770F21">
        <w:rPr>
          <w:rFonts w:ascii="AGaramond" w:hAnsi="AGaramond" w:cs="Arial"/>
          <w:sz w:val="22"/>
          <w:szCs w:val="22"/>
        </w:rPr>
        <w:t xml:space="preserve"> esta premisa, dado que el Estado es el núcleo estructurante en América Latina, si hay corrupción del Estado, </w:t>
      </w:r>
      <w:r w:rsidR="00AC6E9E">
        <w:rPr>
          <w:rFonts w:ascii="AGaramond" w:hAnsi="AGaramond" w:cs="Arial"/>
          <w:sz w:val="22"/>
          <w:szCs w:val="22"/>
        </w:rPr>
        <w:t>e</w:t>
      </w:r>
      <w:r w:rsidRPr="00770F21">
        <w:rPr>
          <w:rFonts w:ascii="AGaramond" w:hAnsi="AGaramond" w:cs="Arial"/>
          <w:sz w:val="22"/>
          <w:szCs w:val="22"/>
        </w:rPr>
        <w:t>sta se convierte en un rasgo estructural.</w:t>
      </w:r>
    </w:p>
    <w:p w14:paraId="2B21E4D3" w14:textId="77777777" w:rsidR="00937DC4" w:rsidRPr="00B60EE5" w:rsidRDefault="00937DC4" w:rsidP="00770F21">
      <w:pPr>
        <w:pStyle w:val="Ttulo2"/>
        <w:spacing w:after="240" w:line="360" w:lineRule="auto"/>
        <w:rPr>
          <w:rFonts w:ascii="AGaramond" w:hAnsi="AGaramond" w:cs="Arial"/>
          <w:b w:val="0"/>
          <w:bCs w:val="0"/>
          <w:i/>
          <w:iCs/>
          <w:color w:val="auto"/>
          <w:sz w:val="24"/>
          <w:szCs w:val="24"/>
        </w:rPr>
      </w:pPr>
      <w:r w:rsidRPr="00B60EE5">
        <w:rPr>
          <w:rFonts w:ascii="AGaramond" w:hAnsi="AGaramond" w:cs="Arial"/>
          <w:b w:val="0"/>
          <w:bCs w:val="0"/>
          <w:i/>
          <w:iCs/>
          <w:color w:val="auto"/>
          <w:sz w:val="24"/>
          <w:szCs w:val="24"/>
        </w:rPr>
        <w:t xml:space="preserve">El mercado como fuente de corrupción </w:t>
      </w:r>
    </w:p>
    <w:p w14:paraId="4E544812" w14:textId="0C50486E" w:rsidR="00937DC4" w:rsidRPr="00770F21" w:rsidRDefault="00937DC4" w:rsidP="00B60EE5">
      <w:pPr>
        <w:spacing w:after="240" w:line="360" w:lineRule="auto"/>
        <w:ind w:firstLine="284"/>
        <w:jc w:val="both"/>
        <w:rPr>
          <w:rFonts w:ascii="AGaramond" w:hAnsi="AGaramond" w:cs="Arial"/>
          <w:sz w:val="22"/>
          <w:szCs w:val="22"/>
        </w:rPr>
      </w:pPr>
      <w:r w:rsidRPr="00770F21">
        <w:rPr>
          <w:rFonts w:ascii="AGaramond" w:hAnsi="AGaramond" w:cs="Arial"/>
          <w:sz w:val="22"/>
          <w:szCs w:val="22"/>
        </w:rPr>
        <w:t xml:space="preserve">En los círculos de pensamiento marxistas, el mercado es considerado la fuente primaria de corrupción del Estado. Se puede discurrir que </w:t>
      </w:r>
      <w:r w:rsidRPr="00770F21">
        <w:rPr>
          <w:rFonts w:ascii="AGaramond" w:hAnsi="AGaramond" w:cs="Arial"/>
          <w:noProof/>
          <w:sz w:val="22"/>
          <w:szCs w:val="22"/>
        </w:rPr>
        <w:t xml:space="preserve">Calderón </w:t>
      </w:r>
      <w:r w:rsidR="00B60EE5">
        <w:rPr>
          <w:rFonts w:ascii="AGaramond" w:hAnsi="AGaramond" w:cs="Arial"/>
          <w:noProof/>
          <w:sz w:val="22"/>
          <w:szCs w:val="22"/>
        </w:rPr>
        <w:t>y</w:t>
      </w:r>
      <w:r w:rsidRPr="00770F21">
        <w:rPr>
          <w:rFonts w:ascii="AGaramond" w:hAnsi="AGaramond" w:cs="Arial"/>
          <w:noProof/>
          <w:sz w:val="22"/>
          <w:szCs w:val="22"/>
        </w:rPr>
        <w:t xml:space="preserve"> Castell</w:t>
      </w:r>
      <w:r w:rsidR="00B60EE5">
        <w:rPr>
          <w:rFonts w:ascii="AGaramond" w:hAnsi="AGaramond" w:cs="Arial"/>
          <w:noProof/>
          <w:sz w:val="22"/>
          <w:szCs w:val="22"/>
        </w:rPr>
        <w:t>s</w:t>
      </w:r>
      <w:r w:rsidR="0083015F">
        <w:rPr>
          <w:rFonts w:ascii="AGaramond" w:hAnsi="AGaramond" w:cs="Arial"/>
          <w:noProof/>
          <w:sz w:val="22"/>
          <w:szCs w:val="22"/>
        </w:rPr>
        <w:t xml:space="preserve"> </w:t>
      </w:r>
      <w:r w:rsidRPr="00770F21">
        <w:rPr>
          <w:rFonts w:ascii="AGaramond" w:hAnsi="AGaramond" w:cs="Arial"/>
          <w:noProof/>
          <w:sz w:val="22"/>
          <w:szCs w:val="22"/>
        </w:rPr>
        <w:t>(2019, p. 292)</w:t>
      </w:r>
      <w:r w:rsidRPr="00770F21">
        <w:rPr>
          <w:rFonts w:ascii="AGaramond" w:hAnsi="AGaramond" w:cs="Arial"/>
          <w:sz w:val="22"/>
          <w:szCs w:val="22"/>
        </w:rPr>
        <w:t xml:space="preserve"> es una exégesis de esta postura, en la cual se afirma que el modelo neoliberal, y su expresión máxima, el mercado</w:t>
      </w:r>
      <w:r w:rsidR="00B60EE5">
        <w:rPr>
          <w:rFonts w:ascii="AGaramond" w:hAnsi="AGaramond" w:cs="Arial"/>
          <w:sz w:val="22"/>
          <w:szCs w:val="22"/>
        </w:rPr>
        <w:t>,</w:t>
      </w:r>
      <w:r w:rsidRPr="00770F21">
        <w:rPr>
          <w:rFonts w:ascii="AGaramond" w:hAnsi="AGaramond" w:cs="Arial"/>
          <w:sz w:val="22"/>
          <w:szCs w:val="22"/>
        </w:rPr>
        <w:t xml:space="preserve"> está consustanciado con la corrupción: </w:t>
      </w:r>
      <w:r w:rsidR="00B60EE5">
        <w:rPr>
          <w:rFonts w:ascii="AGaramond" w:hAnsi="AGaramond" w:cs="Arial"/>
          <w:sz w:val="22"/>
          <w:szCs w:val="22"/>
        </w:rPr>
        <w:t>“</w:t>
      </w:r>
      <w:r w:rsidRPr="00770F21">
        <w:rPr>
          <w:rFonts w:ascii="AGaramond" w:hAnsi="AGaramond" w:cs="Arial"/>
          <w:sz w:val="22"/>
          <w:szCs w:val="22"/>
        </w:rPr>
        <w:t>La principal contribución del modelo neoliberal al incremento de la corrupción fue su legitimación</w:t>
      </w:r>
      <w:r w:rsidR="005A12D8">
        <w:rPr>
          <w:rFonts w:ascii="AGaramond" w:hAnsi="AGaramond" w:cs="Arial"/>
          <w:sz w:val="22"/>
          <w:szCs w:val="22"/>
        </w:rPr>
        <w:t>”</w:t>
      </w:r>
      <w:r w:rsidRPr="00770F21">
        <w:rPr>
          <w:rFonts w:ascii="AGaramond" w:hAnsi="AGaramond" w:cs="Arial"/>
          <w:sz w:val="22"/>
          <w:szCs w:val="22"/>
        </w:rPr>
        <w:t xml:space="preserve">; el mercado por encima de los </w:t>
      </w:r>
      <w:r w:rsidR="005A12D8">
        <w:rPr>
          <w:rFonts w:ascii="AGaramond" w:hAnsi="AGaramond" w:cs="Arial"/>
          <w:sz w:val="22"/>
          <w:szCs w:val="22"/>
        </w:rPr>
        <w:t>“</w:t>
      </w:r>
      <w:r w:rsidRPr="00770F21">
        <w:rPr>
          <w:rFonts w:ascii="AGaramond" w:hAnsi="AGaramond" w:cs="Arial"/>
          <w:sz w:val="22"/>
          <w:szCs w:val="22"/>
        </w:rPr>
        <w:t>valores humanos prioritarios…, acumulación primitiva de patrimonio, para personas y empresas, cualesquiera sean los medios utilizados</w:t>
      </w:r>
      <w:r w:rsidR="00B60EE5">
        <w:rPr>
          <w:rFonts w:ascii="AGaramond" w:hAnsi="AGaramond" w:cs="Arial"/>
          <w:sz w:val="22"/>
          <w:szCs w:val="22"/>
        </w:rPr>
        <w:t>”</w:t>
      </w:r>
      <w:r w:rsidRPr="00770F21">
        <w:rPr>
          <w:rFonts w:ascii="AGaramond" w:hAnsi="AGaramond" w:cs="Arial"/>
          <w:sz w:val="22"/>
          <w:szCs w:val="22"/>
        </w:rPr>
        <w:t xml:space="preserve">. Se argumenta que el </w:t>
      </w:r>
      <w:proofErr w:type="spellStart"/>
      <w:r w:rsidRPr="00770F21">
        <w:rPr>
          <w:rFonts w:ascii="AGaramond" w:hAnsi="AGaramond" w:cs="Arial"/>
          <w:i/>
          <w:iCs/>
          <w:sz w:val="22"/>
          <w:szCs w:val="22"/>
        </w:rPr>
        <w:t>extractivismo</w:t>
      </w:r>
      <w:proofErr w:type="spellEnd"/>
      <w:r w:rsidRPr="00770F21">
        <w:rPr>
          <w:rFonts w:ascii="AGaramond" w:hAnsi="AGaramond" w:cs="Arial"/>
          <w:i/>
          <w:iCs/>
          <w:sz w:val="22"/>
          <w:szCs w:val="22"/>
        </w:rPr>
        <w:t xml:space="preserve"> informacional</w:t>
      </w:r>
      <w:r w:rsidRPr="00770F21">
        <w:rPr>
          <w:rStyle w:val="Refdenotaalpie"/>
          <w:rFonts w:ascii="AGaramond" w:hAnsi="AGaramond" w:cs="Arial"/>
          <w:i/>
          <w:iCs/>
          <w:sz w:val="22"/>
          <w:szCs w:val="22"/>
        </w:rPr>
        <w:footnoteReference w:id="3"/>
      </w:r>
      <w:r w:rsidRPr="00770F21">
        <w:rPr>
          <w:rFonts w:ascii="AGaramond" w:hAnsi="AGaramond" w:cs="Arial"/>
          <w:i/>
          <w:iCs/>
          <w:sz w:val="22"/>
          <w:szCs w:val="22"/>
        </w:rPr>
        <w:t xml:space="preserve"> </w:t>
      </w:r>
      <w:r w:rsidRPr="00770F21">
        <w:rPr>
          <w:rFonts w:ascii="AGaramond" w:hAnsi="AGaramond" w:cs="Arial"/>
          <w:sz w:val="22"/>
          <w:szCs w:val="22"/>
        </w:rPr>
        <w:t>(dentro del modelo neoliberal) ha establecido grandes influencias en el funcionamiento y toma de decisiones del Estado: la influencia de las corporaciones, nacionales e internacionales, mediante la inversión y el acceso a los mercados a través de las redes globales (</w:t>
      </w:r>
      <w:r w:rsidRPr="00B60EE5">
        <w:rPr>
          <w:rFonts w:ascii="AGaramond" w:hAnsi="AGaramond" w:cs="Arial"/>
          <w:i/>
          <w:iCs/>
          <w:sz w:val="22"/>
          <w:szCs w:val="22"/>
        </w:rPr>
        <w:t>i.</w:t>
      </w:r>
      <w:r w:rsidR="00B60EE5" w:rsidRPr="00B60EE5">
        <w:rPr>
          <w:rFonts w:ascii="AGaramond" w:hAnsi="AGaramond" w:cs="Arial"/>
          <w:i/>
          <w:iCs/>
          <w:sz w:val="22"/>
          <w:szCs w:val="22"/>
        </w:rPr>
        <w:t xml:space="preserve"> </w:t>
      </w:r>
      <w:r w:rsidRPr="00B60EE5">
        <w:rPr>
          <w:rFonts w:ascii="AGaramond" w:hAnsi="AGaramond" w:cs="Arial"/>
          <w:i/>
          <w:iCs/>
          <w:sz w:val="22"/>
          <w:szCs w:val="22"/>
        </w:rPr>
        <w:t>e.</w:t>
      </w:r>
      <w:r w:rsidRPr="00770F21">
        <w:rPr>
          <w:rFonts w:ascii="AGaramond" w:hAnsi="AGaramond" w:cs="Arial"/>
          <w:sz w:val="22"/>
          <w:szCs w:val="22"/>
        </w:rPr>
        <w:t>, cadenas globales de valor) es difícil de contener.</w:t>
      </w:r>
    </w:p>
    <w:p w14:paraId="125DB714" w14:textId="77777777" w:rsidR="00937DC4" w:rsidRPr="00770F21" w:rsidRDefault="00937DC4" w:rsidP="00B60EE5">
      <w:pPr>
        <w:spacing w:after="240" w:line="360" w:lineRule="auto"/>
        <w:ind w:firstLine="284"/>
        <w:jc w:val="both"/>
        <w:rPr>
          <w:rFonts w:ascii="AGaramond" w:hAnsi="AGaramond" w:cs="Arial"/>
          <w:sz w:val="22"/>
          <w:szCs w:val="22"/>
        </w:rPr>
      </w:pPr>
      <w:r w:rsidRPr="00770F21">
        <w:rPr>
          <w:rFonts w:ascii="AGaramond" w:hAnsi="AGaramond" w:cs="Arial"/>
          <w:sz w:val="22"/>
          <w:szCs w:val="22"/>
        </w:rPr>
        <w:t xml:space="preserve">Con una postura que se considera axiológica, los argumentos expuestos apuntan a establecer un nexo causal entre neoliberalismo (la maximización de bienestar del individuo) y la corrupción del Estado (en particular en América Latina). </w:t>
      </w:r>
    </w:p>
    <w:p w14:paraId="30453A41" w14:textId="6BEBB5A5" w:rsidR="00937DC4" w:rsidRPr="00770F21" w:rsidRDefault="00937DC4" w:rsidP="00B60EE5">
      <w:pPr>
        <w:spacing w:after="240" w:line="360" w:lineRule="auto"/>
        <w:ind w:firstLine="284"/>
        <w:jc w:val="both"/>
        <w:rPr>
          <w:rFonts w:ascii="AGaramond" w:hAnsi="AGaramond" w:cs="Arial"/>
          <w:sz w:val="22"/>
          <w:szCs w:val="22"/>
        </w:rPr>
      </w:pPr>
      <w:r w:rsidRPr="00770F21">
        <w:rPr>
          <w:rFonts w:ascii="AGaramond" w:hAnsi="AGaramond" w:cs="Arial"/>
          <w:sz w:val="22"/>
          <w:szCs w:val="22"/>
        </w:rPr>
        <w:t xml:space="preserve">Hay una digresión a lugar útil para establecer el hilo (contra)argumental que sigue: desde una perspectiva teórica, </w:t>
      </w:r>
      <w:r w:rsidRPr="00770F21">
        <w:rPr>
          <w:rFonts w:ascii="AGaramond" w:hAnsi="AGaramond" w:cs="Arial"/>
          <w:i/>
          <w:iCs/>
          <w:sz w:val="22"/>
          <w:szCs w:val="22"/>
        </w:rPr>
        <w:t>in stricto sensu</w:t>
      </w:r>
      <w:r w:rsidRPr="00770F21">
        <w:rPr>
          <w:rFonts w:ascii="AGaramond" w:hAnsi="AGaramond" w:cs="Arial"/>
          <w:sz w:val="22"/>
          <w:szCs w:val="22"/>
        </w:rPr>
        <w:t>, el neoliberalismo no es un modelo de desarrollo</w:t>
      </w:r>
      <w:r w:rsidRPr="00770F21">
        <w:rPr>
          <w:rStyle w:val="Refdenotaalpie"/>
          <w:rFonts w:ascii="AGaramond" w:hAnsi="AGaramond" w:cs="Arial"/>
          <w:sz w:val="22"/>
          <w:szCs w:val="22"/>
        </w:rPr>
        <w:footnoteReference w:id="4"/>
      </w:r>
      <w:r w:rsidRPr="00770F21">
        <w:rPr>
          <w:rFonts w:ascii="AGaramond" w:hAnsi="AGaramond" w:cs="Arial"/>
          <w:sz w:val="22"/>
          <w:szCs w:val="22"/>
        </w:rPr>
        <w:t>. A lo sumo, a través del constructo de la teoría económica neoclásica, la preocupación del neoliberalismo es el crecimiento</w:t>
      </w:r>
      <w:r w:rsidR="0083015F">
        <w:rPr>
          <w:rFonts w:ascii="AGaramond" w:hAnsi="AGaramond" w:cs="Arial"/>
          <w:sz w:val="22"/>
          <w:szCs w:val="22"/>
        </w:rPr>
        <w:t xml:space="preserve"> </w:t>
      </w:r>
      <w:r w:rsidRPr="00770F21">
        <w:rPr>
          <w:rFonts w:ascii="AGaramond" w:hAnsi="AGaramond" w:cs="Arial"/>
          <w:sz w:val="22"/>
          <w:szCs w:val="22"/>
        </w:rPr>
        <w:t xml:space="preserve">y el bienestar social se define como el consumo de un flujo de bienes bajo la premisa de la no saciedad de los agentes, los cuales deciden intertemporalmente </w:t>
      </w:r>
      <w:r w:rsidRPr="00770F21">
        <w:rPr>
          <w:rFonts w:ascii="AGaramond" w:hAnsi="AGaramond" w:cs="Arial"/>
          <w:sz w:val="22"/>
          <w:szCs w:val="22"/>
        </w:rPr>
        <w:lastRenderedPageBreak/>
        <w:t>entre consumo presente o el consumo futuro (ahorro). Los conflictos distributivos generan ganadores y perdedores (</w:t>
      </w:r>
      <w:r w:rsidR="0083015F">
        <w:rPr>
          <w:rFonts w:ascii="AGaramond" w:hAnsi="AGaramond" w:cs="Arial"/>
          <w:sz w:val="22"/>
          <w:szCs w:val="22"/>
        </w:rPr>
        <w:t>d</w:t>
      </w:r>
      <w:r w:rsidRPr="00770F21">
        <w:rPr>
          <w:rFonts w:ascii="AGaramond" w:hAnsi="AGaramond" w:cs="Arial"/>
          <w:sz w:val="22"/>
          <w:szCs w:val="22"/>
        </w:rPr>
        <w:t xml:space="preserve">arwinismo social). Por tanto, ni el desarrollo económico ni la desigualdad socioeconómica, esta última como falla de mercado, son parte de la preocupación de esta corriente de pensamiento político y económico. </w:t>
      </w:r>
    </w:p>
    <w:p w14:paraId="6AD8AE18" w14:textId="51F875FB" w:rsidR="00937DC4" w:rsidRPr="00770F21" w:rsidRDefault="00937DC4" w:rsidP="00B60EE5">
      <w:pPr>
        <w:spacing w:after="240" w:line="360" w:lineRule="auto"/>
        <w:ind w:firstLine="284"/>
        <w:jc w:val="both"/>
        <w:rPr>
          <w:rFonts w:ascii="AGaramond" w:hAnsi="AGaramond" w:cs="Arial"/>
          <w:sz w:val="22"/>
          <w:szCs w:val="22"/>
        </w:rPr>
      </w:pPr>
      <w:r w:rsidRPr="00770F21">
        <w:rPr>
          <w:rFonts w:ascii="AGaramond" w:hAnsi="AGaramond" w:cs="Arial"/>
          <w:sz w:val="22"/>
          <w:szCs w:val="22"/>
        </w:rPr>
        <w:t xml:space="preserve">En el modelo político neoliberal de gestión económica, el ciudadano es un agente </w:t>
      </w:r>
      <w:proofErr w:type="spellStart"/>
      <w:r w:rsidRPr="00770F21">
        <w:rPr>
          <w:rFonts w:ascii="AGaramond" w:hAnsi="AGaramond" w:cs="Arial"/>
          <w:sz w:val="22"/>
          <w:szCs w:val="22"/>
        </w:rPr>
        <w:t>maximizador</w:t>
      </w:r>
      <w:proofErr w:type="spellEnd"/>
      <w:r w:rsidRPr="00770F21">
        <w:rPr>
          <w:rFonts w:ascii="AGaramond" w:hAnsi="AGaramond" w:cs="Arial"/>
          <w:sz w:val="22"/>
          <w:szCs w:val="22"/>
        </w:rPr>
        <w:t xml:space="preserve"> sujeto a restricciones presupuestarias y legales. La violación de las restricciones legales está sujeta a riesgos de penalización (la corrupción es el reflejo de actos delincuenciales dentro de esta concepción). Por consiguiente, para la consecución de equilibrios societales, los agentes (</w:t>
      </w:r>
      <w:r w:rsidRPr="00801EA1">
        <w:rPr>
          <w:rFonts w:ascii="AGaramond" w:hAnsi="AGaramond" w:cs="Arial"/>
          <w:i/>
          <w:iCs/>
          <w:sz w:val="22"/>
          <w:szCs w:val="22"/>
        </w:rPr>
        <w:t>i.</w:t>
      </w:r>
      <w:r w:rsidR="00801EA1" w:rsidRPr="00801EA1">
        <w:rPr>
          <w:rFonts w:ascii="AGaramond" w:hAnsi="AGaramond" w:cs="Arial"/>
          <w:i/>
          <w:iCs/>
          <w:sz w:val="22"/>
          <w:szCs w:val="22"/>
        </w:rPr>
        <w:t xml:space="preserve"> </w:t>
      </w:r>
      <w:r w:rsidRPr="00801EA1">
        <w:rPr>
          <w:rFonts w:ascii="AGaramond" w:hAnsi="AGaramond" w:cs="Arial"/>
          <w:i/>
          <w:iCs/>
          <w:sz w:val="22"/>
          <w:szCs w:val="22"/>
        </w:rPr>
        <w:t>e.</w:t>
      </w:r>
      <w:r w:rsidRPr="00770F21">
        <w:rPr>
          <w:rFonts w:ascii="AGaramond" w:hAnsi="AGaramond" w:cs="Arial"/>
          <w:sz w:val="22"/>
          <w:szCs w:val="22"/>
        </w:rPr>
        <w:t xml:space="preserve">, actores sociales en disputa) construyen un árbitro imparcial (el Estado) que minimiza la infracción de las pautas legales establecidas mediante la minimización de la asimetría de información y las acciones punitivas por parte del Estado. </w:t>
      </w:r>
    </w:p>
    <w:p w14:paraId="159BD0CC" w14:textId="1147FB6C" w:rsidR="00937DC4" w:rsidRPr="00770F21" w:rsidRDefault="00937DC4" w:rsidP="00B60EE5">
      <w:pPr>
        <w:spacing w:after="240" w:line="360" w:lineRule="auto"/>
        <w:ind w:firstLine="284"/>
        <w:jc w:val="both"/>
        <w:rPr>
          <w:rFonts w:ascii="AGaramond" w:hAnsi="AGaramond" w:cs="Arial"/>
          <w:sz w:val="22"/>
          <w:szCs w:val="22"/>
        </w:rPr>
      </w:pPr>
      <w:r w:rsidRPr="00770F21">
        <w:rPr>
          <w:rFonts w:ascii="AGaramond" w:hAnsi="AGaramond" w:cs="Arial"/>
          <w:sz w:val="22"/>
          <w:szCs w:val="22"/>
        </w:rPr>
        <w:t>De hecho, el mercado, como institución social, fue creado por la sociedad (</w:t>
      </w:r>
      <w:r w:rsidRPr="00801EA1">
        <w:rPr>
          <w:rFonts w:ascii="AGaramond" w:hAnsi="AGaramond" w:cs="Arial"/>
          <w:i/>
          <w:iCs/>
          <w:sz w:val="22"/>
          <w:szCs w:val="22"/>
        </w:rPr>
        <w:t>i.</w:t>
      </w:r>
      <w:r w:rsidR="00801EA1" w:rsidRPr="00801EA1">
        <w:rPr>
          <w:rFonts w:ascii="AGaramond" w:hAnsi="AGaramond" w:cs="Arial"/>
          <w:i/>
          <w:iCs/>
          <w:sz w:val="22"/>
          <w:szCs w:val="22"/>
        </w:rPr>
        <w:t xml:space="preserve"> </w:t>
      </w:r>
      <w:r w:rsidRPr="00801EA1">
        <w:rPr>
          <w:rFonts w:ascii="AGaramond" w:hAnsi="AGaramond" w:cs="Arial"/>
          <w:i/>
          <w:iCs/>
          <w:sz w:val="22"/>
          <w:szCs w:val="22"/>
        </w:rPr>
        <w:t>e.</w:t>
      </w:r>
      <w:r w:rsidRPr="00770F21">
        <w:rPr>
          <w:rFonts w:ascii="AGaramond" w:hAnsi="AGaramond" w:cs="Arial"/>
          <w:sz w:val="22"/>
          <w:szCs w:val="22"/>
        </w:rPr>
        <w:t xml:space="preserve"> los agentes en acciones descentralizadas) para minimizar el espacio de arbitraje. Por contraposición, la corrupción es un espacio de arbitraje máximo. Por consiguiente, el mercado, como institución social</w:t>
      </w:r>
      <w:r w:rsidR="00801EA1">
        <w:rPr>
          <w:rFonts w:ascii="AGaramond" w:hAnsi="AGaramond" w:cs="Arial"/>
          <w:sz w:val="22"/>
          <w:szCs w:val="22"/>
        </w:rPr>
        <w:t>,</w:t>
      </w:r>
      <w:r w:rsidRPr="00770F21">
        <w:rPr>
          <w:rFonts w:ascii="AGaramond" w:hAnsi="AGaramond" w:cs="Arial"/>
          <w:sz w:val="22"/>
          <w:szCs w:val="22"/>
        </w:rPr>
        <w:t xml:space="preserve"> no es fuente ni está consustanciado con la corrupción</w:t>
      </w:r>
      <w:r w:rsidRPr="00770F21">
        <w:rPr>
          <w:rStyle w:val="Refdenotaalpie"/>
          <w:rFonts w:ascii="AGaramond" w:hAnsi="AGaramond" w:cs="Arial"/>
          <w:sz w:val="22"/>
          <w:szCs w:val="22"/>
        </w:rPr>
        <w:footnoteReference w:id="5"/>
      </w:r>
      <w:r w:rsidRPr="00770F21">
        <w:rPr>
          <w:rFonts w:ascii="AGaramond" w:hAnsi="AGaramond" w:cs="Arial"/>
          <w:sz w:val="22"/>
          <w:szCs w:val="22"/>
        </w:rPr>
        <w:t>. Al contrario, desde un plano teórico, entre el neoliberalismo y la corrupción del Estado hay una relación inversa: el neoliberalismo promueve menos Estado y más transparencia, no por ética, sino por la demanda de los mercados políticos y de los contribuyentes</w:t>
      </w:r>
      <w:r w:rsidRPr="00770F21">
        <w:rPr>
          <w:rStyle w:val="Refdenotaalpie"/>
          <w:rFonts w:ascii="AGaramond" w:hAnsi="AGaramond" w:cs="Arial"/>
          <w:sz w:val="22"/>
          <w:szCs w:val="22"/>
        </w:rPr>
        <w:footnoteReference w:id="6"/>
      </w:r>
      <w:r w:rsidRPr="00770F21">
        <w:rPr>
          <w:rFonts w:ascii="AGaramond" w:hAnsi="AGaramond" w:cs="Arial"/>
          <w:sz w:val="22"/>
          <w:szCs w:val="22"/>
        </w:rPr>
        <w:t>.</w:t>
      </w:r>
    </w:p>
    <w:p w14:paraId="15A5E22D" w14:textId="77777777" w:rsidR="00937DC4" w:rsidRPr="00801EA1" w:rsidRDefault="00937DC4" w:rsidP="00770F21">
      <w:pPr>
        <w:pStyle w:val="Ttulo2"/>
        <w:spacing w:after="240" w:line="360" w:lineRule="auto"/>
        <w:rPr>
          <w:rFonts w:ascii="AGaramond" w:hAnsi="AGaramond"/>
          <w:b w:val="0"/>
          <w:bCs w:val="0"/>
          <w:i/>
          <w:iCs/>
          <w:color w:val="auto"/>
          <w:sz w:val="24"/>
          <w:szCs w:val="24"/>
        </w:rPr>
      </w:pPr>
      <w:r w:rsidRPr="00801EA1">
        <w:rPr>
          <w:rFonts w:ascii="AGaramond" w:hAnsi="AGaramond"/>
          <w:b w:val="0"/>
          <w:bCs w:val="0"/>
          <w:i/>
          <w:iCs/>
          <w:color w:val="auto"/>
          <w:sz w:val="24"/>
          <w:szCs w:val="24"/>
        </w:rPr>
        <w:t xml:space="preserve">La corrupción en los modelos políticos </w:t>
      </w:r>
      <w:proofErr w:type="spellStart"/>
      <w:r w:rsidRPr="00801EA1">
        <w:rPr>
          <w:rFonts w:ascii="AGaramond" w:hAnsi="AGaramond"/>
          <w:b w:val="0"/>
          <w:bCs w:val="0"/>
          <w:i/>
          <w:iCs/>
          <w:color w:val="auto"/>
          <w:sz w:val="24"/>
          <w:szCs w:val="24"/>
        </w:rPr>
        <w:t>dirigistas</w:t>
      </w:r>
      <w:proofErr w:type="spellEnd"/>
      <w:r w:rsidRPr="00801EA1">
        <w:rPr>
          <w:rFonts w:ascii="AGaramond" w:hAnsi="AGaramond"/>
          <w:b w:val="0"/>
          <w:bCs w:val="0"/>
          <w:i/>
          <w:iCs/>
          <w:color w:val="auto"/>
          <w:sz w:val="24"/>
          <w:szCs w:val="24"/>
        </w:rPr>
        <w:t xml:space="preserve"> de gestión económica</w:t>
      </w:r>
    </w:p>
    <w:p w14:paraId="17E29771" w14:textId="186BA77C" w:rsidR="00937DC4" w:rsidRPr="00770F21" w:rsidRDefault="00937DC4" w:rsidP="00801EA1">
      <w:pPr>
        <w:spacing w:after="240" w:line="360" w:lineRule="auto"/>
        <w:ind w:firstLine="284"/>
        <w:jc w:val="both"/>
        <w:rPr>
          <w:rFonts w:ascii="AGaramond" w:hAnsi="AGaramond" w:cs="Arial"/>
          <w:sz w:val="22"/>
          <w:szCs w:val="22"/>
        </w:rPr>
      </w:pPr>
      <w:r w:rsidRPr="00770F21">
        <w:rPr>
          <w:rFonts w:ascii="AGaramond" w:hAnsi="AGaramond" w:cs="Arial"/>
          <w:sz w:val="22"/>
          <w:szCs w:val="22"/>
        </w:rPr>
        <w:t>El dirigismo estatal (desarrollismo) tiene como fin el crecimiento acelerado y sostenido con inclusión social. Está llamado a solucionar (o por lo menos mitigar) las fallas de mercado (conflictos distributivos y provisión de bienes públicos, esencialmente) al tiempo que se transforman las relaciones productivas y sociales (</w:t>
      </w:r>
      <w:r w:rsidRPr="00A828DE">
        <w:rPr>
          <w:rFonts w:ascii="AGaramond" w:hAnsi="AGaramond" w:cs="Arial"/>
          <w:i/>
          <w:iCs/>
          <w:sz w:val="22"/>
          <w:szCs w:val="22"/>
        </w:rPr>
        <w:t>i.</w:t>
      </w:r>
      <w:r w:rsidR="00A828DE" w:rsidRPr="00A828DE">
        <w:rPr>
          <w:rFonts w:ascii="AGaramond" w:hAnsi="AGaramond" w:cs="Arial"/>
          <w:i/>
          <w:iCs/>
          <w:sz w:val="22"/>
          <w:szCs w:val="22"/>
        </w:rPr>
        <w:t xml:space="preserve"> </w:t>
      </w:r>
      <w:r w:rsidRPr="00A828DE">
        <w:rPr>
          <w:rFonts w:ascii="AGaramond" w:hAnsi="AGaramond" w:cs="Arial"/>
          <w:i/>
          <w:iCs/>
          <w:sz w:val="22"/>
          <w:szCs w:val="22"/>
        </w:rPr>
        <w:t>e</w:t>
      </w:r>
      <w:r w:rsidRPr="00770F21">
        <w:rPr>
          <w:rFonts w:ascii="AGaramond" w:hAnsi="AGaramond" w:cs="Arial"/>
          <w:sz w:val="22"/>
          <w:szCs w:val="22"/>
        </w:rPr>
        <w:t>., desarrollo). Este modelo sociopolítico, habría que afirmarlo, ha sido exitoso en ciertos casos. La evidencia histórica así lo atestigua para las experiencias de algunos países del sudeste asiático (</w:t>
      </w:r>
      <w:r w:rsidR="00A828DE">
        <w:rPr>
          <w:rFonts w:ascii="AGaramond" w:hAnsi="AGaramond" w:cs="Arial"/>
          <w:sz w:val="22"/>
          <w:szCs w:val="22"/>
        </w:rPr>
        <w:t>p. ej.</w:t>
      </w:r>
      <w:r w:rsidRPr="00770F21">
        <w:rPr>
          <w:rFonts w:ascii="AGaramond" w:hAnsi="AGaramond" w:cs="Arial"/>
          <w:sz w:val="22"/>
          <w:szCs w:val="22"/>
        </w:rPr>
        <w:t xml:space="preserve">, Corea del Sur, Singapur y </w:t>
      </w:r>
      <w:r w:rsidR="00DD194B" w:rsidRPr="00770F21">
        <w:rPr>
          <w:rFonts w:ascii="AGaramond" w:hAnsi="AGaramond" w:cs="Arial"/>
          <w:sz w:val="22"/>
          <w:szCs w:val="22"/>
        </w:rPr>
        <w:t>Taiwán</w:t>
      </w:r>
      <w:r w:rsidRPr="00770F21">
        <w:rPr>
          <w:rFonts w:ascii="AGaramond" w:hAnsi="AGaramond" w:cs="Arial"/>
          <w:sz w:val="22"/>
          <w:szCs w:val="22"/>
        </w:rPr>
        <w:t xml:space="preserve">). Estos países difícilmente se hubiesen industrializado y desarrollado siguiendo un modelo de gestión neoliberal. Para empezar, la </w:t>
      </w:r>
      <w:r w:rsidRPr="00770F21">
        <w:rPr>
          <w:rFonts w:ascii="AGaramond" w:hAnsi="AGaramond" w:cs="Arial"/>
          <w:sz w:val="22"/>
          <w:szCs w:val="22"/>
        </w:rPr>
        <w:lastRenderedPageBreak/>
        <w:t>competencia derivada de la organización industrial de los países centro nunca lo hubiese permitido. Solo la presencia de un Estado con acciones programadas para impulsar la industrialización y la provisión masiva de bienes públicos hace posible la consecución de la modernidad y el desarrollo de países atrasados (</w:t>
      </w:r>
      <w:r w:rsidR="00C72031" w:rsidRPr="00C72031">
        <w:rPr>
          <w:rFonts w:ascii="AGaramond" w:hAnsi="AGaramond" w:cs="Arial"/>
          <w:i/>
          <w:sz w:val="22"/>
          <w:szCs w:val="22"/>
        </w:rPr>
        <w:t>cfr</w:t>
      </w:r>
      <w:r w:rsidRPr="00770F21">
        <w:rPr>
          <w:rFonts w:ascii="AGaramond" w:hAnsi="AGaramond" w:cs="Arial"/>
          <w:sz w:val="22"/>
          <w:szCs w:val="22"/>
        </w:rPr>
        <w:t xml:space="preserve">. </w:t>
      </w:r>
      <w:r w:rsidRPr="00770F21">
        <w:rPr>
          <w:rFonts w:ascii="AGaramond" w:hAnsi="AGaramond" w:cs="Arial"/>
          <w:noProof/>
          <w:sz w:val="22"/>
          <w:szCs w:val="22"/>
        </w:rPr>
        <w:t>Amsden, 2004)</w:t>
      </w:r>
      <w:r w:rsidRPr="00770F21">
        <w:rPr>
          <w:rFonts w:ascii="AGaramond" w:hAnsi="AGaramond" w:cs="Arial"/>
          <w:sz w:val="22"/>
          <w:szCs w:val="22"/>
        </w:rPr>
        <w:t>.</w:t>
      </w:r>
    </w:p>
    <w:p w14:paraId="0DFE3999" w14:textId="235EC731" w:rsidR="00937DC4" w:rsidRPr="00770F21" w:rsidRDefault="00937DC4" w:rsidP="00801EA1">
      <w:pPr>
        <w:spacing w:after="240" w:line="360" w:lineRule="auto"/>
        <w:ind w:firstLine="284"/>
        <w:jc w:val="both"/>
        <w:rPr>
          <w:rFonts w:ascii="AGaramond" w:hAnsi="AGaramond" w:cs="Arial"/>
          <w:sz w:val="22"/>
          <w:szCs w:val="22"/>
        </w:rPr>
      </w:pPr>
      <w:r w:rsidRPr="00770F21">
        <w:rPr>
          <w:rFonts w:ascii="AGaramond" w:hAnsi="AGaramond" w:cs="Arial"/>
          <w:sz w:val="22"/>
          <w:szCs w:val="22"/>
        </w:rPr>
        <w:t xml:space="preserve">El modelo desarrollista, confronta, sin embargo, retos significativos en la gestión y asignación de recursos públicos: </w:t>
      </w:r>
      <w:r w:rsidRPr="00770F21">
        <w:rPr>
          <w:rFonts w:ascii="AGaramond" w:hAnsi="AGaramond" w:cs="Arial"/>
          <w:i/>
          <w:iCs/>
          <w:sz w:val="22"/>
          <w:szCs w:val="22"/>
        </w:rPr>
        <w:t xml:space="preserve">el </w:t>
      </w:r>
      <w:proofErr w:type="spellStart"/>
      <w:r w:rsidRPr="00770F21">
        <w:rPr>
          <w:rFonts w:ascii="AGaramond" w:hAnsi="AGaramond" w:cs="Arial"/>
          <w:i/>
          <w:iCs/>
          <w:sz w:val="22"/>
          <w:szCs w:val="22"/>
        </w:rPr>
        <w:t>rent-seeking</w:t>
      </w:r>
      <w:proofErr w:type="spellEnd"/>
      <w:r w:rsidRPr="00770F21">
        <w:rPr>
          <w:rFonts w:ascii="AGaramond" w:hAnsi="AGaramond" w:cs="Arial"/>
          <w:sz w:val="22"/>
          <w:szCs w:val="22"/>
        </w:rPr>
        <w:t xml:space="preserve"> y el problema del principal y el agente. Tanto el uno como el otro ocasionan graves fallas de gobierno. Más aún, en presencia de renta económica generada por activos no producidos (recursos naturales), tanto el </w:t>
      </w:r>
      <w:proofErr w:type="spellStart"/>
      <w:r w:rsidRPr="00770F21">
        <w:rPr>
          <w:rFonts w:ascii="AGaramond" w:hAnsi="AGaramond" w:cs="Arial"/>
          <w:i/>
          <w:iCs/>
          <w:sz w:val="22"/>
          <w:szCs w:val="22"/>
        </w:rPr>
        <w:t>rent-seeking</w:t>
      </w:r>
      <w:proofErr w:type="spellEnd"/>
      <w:r w:rsidRPr="00770F21">
        <w:rPr>
          <w:rFonts w:ascii="AGaramond" w:hAnsi="AGaramond" w:cs="Arial"/>
          <w:sz w:val="22"/>
          <w:szCs w:val="22"/>
        </w:rPr>
        <w:t xml:space="preserve"> como el problema del principal y el agente son fuentes importantes de corrupción del Estado. Particularmente, el </w:t>
      </w:r>
      <w:proofErr w:type="spellStart"/>
      <w:r w:rsidRPr="00770F21">
        <w:rPr>
          <w:rFonts w:ascii="AGaramond" w:hAnsi="AGaramond" w:cs="Arial"/>
          <w:i/>
          <w:iCs/>
          <w:sz w:val="22"/>
          <w:szCs w:val="22"/>
        </w:rPr>
        <w:t>rent-seeking</w:t>
      </w:r>
      <w:proofErr w:type="spellEnd"/>
      <w:r w:rsidRPr="00770F21">
        <w:rPr>
          <w:rFonts w:ascii="AGaramond" w:hAnsi="AGaramond" w:cs="Arial"/>
          <w:sz w:val="22"/>
          <w:szCs w:val="22"/>
        </w:rPr>
        <w:t xml:space="preserve"> conforma y retroalimenta la distribución asimétrica de la renta económica pública derivada de los recursos naturales, cuando </w:t>
      </w:r>
      <w:r w:rsidR="00A828DE">
        <w:rPr>
          <w:rFonts w:ascii="AGaramond" w:hAnsi="AGaramond" w:cs="Arial"/>
          <w:sz w:val="22"/>
          <w:szCs w:val="22"/>
        </w:rPr>
        <w:t>e</w:t>
      </w:r>
      <w:r w:rsidRPr="00770F21">
        <w:rPr>
          <w:rFonts w:ascii="AGaramond" w:hAnsi="AGaramond" w:cs="Arial"/>
          <w:sz w:val="22"/>
          <w:szCs w:val="22"/>
        </w:rPr>
        <w:t xml:space="preserve">sta se destina al gasto público de inversión o al gasto corriente procíclicos </w:t>
      </w:r>
      <w:proofErr w:type="gramStart"/>
      <w:r w:rsidRPr="00770F21">
        <w:rPr>
          <w:rFonts w:ascii="AGaramond" w:hAnsi="AGaramond" w:cs="Arial"/>
          <w:sz w:val="22"/>
          <w:szCs w:val="22"/>
        </w:rPr>
        <w:t>de acuerdo al</w:t>
      </w:r>
      <w:proofErr w:type="gramEnd"/>
      <w:r w:rsidRPr="00770F21">
        <w:rPr>
          <w:rFonts w:ascii="AGaramond" w:hAnsi="AGaramond" w:cs="Arial"/>
          <w:sz w:val="22"/>
          <w:szCs w:val="22"/>
        </w:rPr>
        <w:t xml:space="preserve"> signo y magnitud de choques en los términos de intercambio, de tal forma que se conforman reglas de acciones (juegos </w:t>
      </w:r>
      <w:r w:rsidR="00A828DE">
        <w:rPr>
          <w:rFonts w:ascii="AGaramond" w:hAnsi="AGaramond" w:cs="Arial"/>
          <w:sz w:val="22"/>
          <w:szCs w:val="22"/>
        </w:rPr>
        <w:t>b</w:t>
      </w:r>
      <w:r w:rsidRPr="00770F21">
        <w:rPr>
          <w:rFonts w:ascii="AGaramond" w:hAnsi="AGaramond" w:cs="Arial"/>
          <w:sz w:val="22"/>
          <w:szCs w:val="22"/>
        </w:rPr>
        <w:t>ayesianos) a favor de destinar recursos privados en búsqueda de captura de renta pública</w:t>
      </w:r>
      <w:r w:rsidRPr="00770F21">
        <w:rPr>
          <w:rStyle w:val="Refdenotaalpie"/>
          <w:rFonts w:ascii="AGaramond" w:hAnsi="AGaramond" w:cs="Arial"/>
          <w:sz w:val="22"/>
          <w:szCs w:val="22"/>
        </w:rPr>
        <w:footnoteReference w:id="7"/>
      </w:r>
      <w:r w:rsidRPr="00770F21">
        <w:rPr>
          <w:rFonts w:ascii="AGaramond" w:hAnsi="AGaramond" w:cs="Arial"/>
          <w:sz w:val="22"/>
          <w:szCs w:val="22"/>
        </w:rPr>
        <w:t>.</w:t>
      </w:r>
    </w:p>
    <w:p w14:paraId="75CCC127" w14:textId="2879E207" w:rsidR="00937DC4" w:rsidRPr="00770F21" w:rsidRDefault="00937DC4" w:rsidP="00801EA1">
      <w:pPr>
        <w:spacing w:after="240" w:line="360" w:lineRule="auto"/>
        <w:ind w:firstLine="284"/>
        <w:jc w:val="both"/>
        <w:rPr>
          <w:rFonts w:ascii="AGaramond" w:hAnsi="AGaramond" w:cs="Arial"/>
          <w:sz w:val="22"/>
          <w:szCs w:val="22"/>
        </w:rPr>
      </w:pPr>
      <w:r w:rsidRPr="00770F21">
        <w:rPr>
          <w:rFonts w:ascii="AGaramond" w:hAnsi="AGaramond" w:cs="Arial"/>
          <w:sz w:val="22"/>
          <w:szCs w:val="22"/>
        </w:rPr>
        <w:t xml:space="preserve">Por otra parte, el problema del principal y del agente, o de múltiples principales y múltiples agentes, se despliega plenamente ante el poder </w:t>
      </w:r>
      <w:r w:rsidRPr="00770F21">
        <w:rPr>
          <w:rFonts w:ascii="AGaramond" w:hAnsi="AGaramond" w:cs="Arial"/>
          <w:i/>
          <w:iCs/>
          <w:sz w:val="22"/>
          <w:szCs w:val="22"/>
        </w:rPr>
        <w:t>de</w:t>
      </w:r>
      <w:r w:rsidRPr="00770F21">
        <w:rPr>
          <w:rFonts w:ascii="AGaramond" w:hAnsi="AGaramond" w:cs="Arial"/>
          <w:sz w:val="22"/>
          <w:szCs w:val="22"/>
        </w:rPr>
        <w:t xml:space="preserve"> </w:t>
      </w:r>
      <w:r w:rsidRPr="00770F21">
        <w:rPr>
          <w:rFonts w:ascii="AGaramond" w:hAnsi="AGaramond" w:cs="Arial"/>
          <w:i/>
          <w:iCs/>
          <w:sz w:val="22"/>
          <w:szCs w:val="22"/>
        </w:rPr>
        <w:t>facto</w:t>
      </w:r>
      <w:r w:rsidRPr="00770F21">
        <w:rPr>
          <w:rFonts w:ascii="AGaramond" w:hAnsi="AGaramond" w:cs="Arial"/>
          <w:sz w:val="22"/>
          <w:szCs w:val="22"/>
        </w:rPr>
        <w:t xml:space="preserve"> que le otorga al agente la administración de cuantiosos recursos económicos públicos provenientes de activos no producidos, los cuales no tienen un origen fiscal-impositivo de parte de los ciudadanos contribuyentes (los principales)</w:t>
      </w:r>
      <w:r w:rsidR="00D83286">
        <w:rPr>
          <w:rFonts w:ascii="AGaramond" w:hAnsi="AGaramond" w:cs="Arial"/>
          <w:sz w:val="22"/>
          <w:szCs w:val="22"/>
        </w:rPr>
        <w:t>.</w:t>
      </w:r>
      <w:r w:rsidRPr="00770F21">
        <w:rPr>
          <w:rFonts w:ascii="AGaramond" w:hAnsi="AGaramond" w:cs="Arial"/>
          <w:sz w:val="22"/>
          <w:szCs w:val="22"/>
        </w:rPr>
        <w:t xml:space="preserve"> </w:t>
      </w:r>
      <w:r w:rsidR="00D83286">
        <w:rPr>
          <w:rFonts w:ascii="AGaramond" w:hAnsi="AGaramond" w:cs="Arial"/>
          <w:sz w:val="22"/>
          <w:szCs w:val="22"/>
        </w:rPr>
        <w:t>(</w:t>
      </w:r>
      <w:r w:rsidRPr="00770F21">
        <w:rPr>
          <w:rFonts w:ascii="AGaramond" w:hAnsi="AGaramond" w:cs="Arial"/>
          <w:sz w:val="22"/>
          <w:szCs w:val="22"/>
        </w:rPr>
        <w:t>Más información sobre este asunto en la próxima sección)</w:t>
      </w:r>
      <w:r w:rsidR="00D83286">
        <w:rPr>
          <w:rFonts w:ascii="AGaramond" w:hAnsi="AGaramond" w:cs="Arial"/>
          <w:sz w:val="22"/>
          <w:szCs w:val="22"/>
        </w:rPr>
        <w:t>.</w:t>
      </w:r>
    </w:p>
    <w:p w14:paraId="60C3379B" w14:textId="0729309B" w:rsidR="00937DC4" w:rsidRPr="00770F21" w:rsidRDefault="00937DC4" w:rsidP="00801EA1">
      <w:pPr>
        <w:spacing w:after="240" w:line="360" w:lineRule="auto"/>
        <w:ind w:firstLine="284"/>
        <w:jc w:val="both"/>
        <w:rPr>
          <w:rFonts w:ascii="AGaramond" w:hAnsi="AGaramond" w:cs="Arial"/>
          <w:sz w:val="22"/>
          <w:szCs w:val="22"/>
        </w:rPr>
      </w:pPr>
      <w:r w:rsidRPr="00770F21">
        <w:rPr>
          <w:rFonts w:ascii="AGaramond" w:hAnsi="AGaramond" w:cs="Arial"/>
          <w:sz w:val="22"/>
          <w:szCs w:val="22"/>
        </w:rPr>
        <w:t>Desde la perspectiva axiológica de Calderón y Castell</w:t>
      </w:r>
      <w:r w:rsidR="00801EA1">
        <w:rPr>
          <w:rFonts w:ascii="AGaramond" w:hAnsi="AGaramond" w:cs="Arial"/>
          <w:sz w:val="22"/>
          <w:szCs w:val="22"/>
        </w:rPr>
        <w:t>s</w:t>
      </w:r>
      <w:r w:rsidRPr="00770F21">
        <w:rPr>
          <w:rFonts w:ascii="AGaramond" w:hAnsi="AGaramond" w:cs="Arial"/>
          <w:sz w:val="22"/>
          <w:szCs w:val="22"/>
        </w:rPr>
        <w:t xml:space="preserve"> (</w:t>
      </w:r>
      <w:r w:rsidRPr="00770F21">
        <w:rPr>
          <w:rFonts w:ascii="AGaramond" w:hAnsi="AGaramond" w:cs="Arial"/>
          <w:i/>
          <w:iCs/>
          <w:sz w:val="22"/>
          <w:szCs w:val="22"/>
        </w:rPr>
        <w:t>ibidem</w:t>
      </w:r>
      <w:r w:rsidRPr="00770F21">
        <w:rPr>
          <w:rFonts w:ascii="AGaramond" w:hAnsi="AGaramond" w:cs="Arial"/>
          <w:sz w:val="22"/>
          <w:szCs w:val="22"/>
        </w:rPr>
        <w:t>), la corrupción del Estado en el modelo desarrollista es propia de la visión peyorativa del neoliberalismo: los intereses del individuo por encima de los intereses colectivos. Es importante destacar que la apología que hacen los autores de desviar recursos de las empresas públicas para la financiación de políticas redistributivas (el financiamiento del gasto público social desde las empresas públicas, p. 294) es contraria al bienestar social</w:t>
      </w:r>
      <w:r w:rsidRPr="00770F21">
        <w:rPr>
          <w:rStyle w:val="Refdenotaalpie"/>
          <w:rFonts w:ascii="AGaramond" w:hAnsi="AGaramond" w:cs="Arial"/>
          <w:sz w:val="22"/>
          <w:szCs w:val="22"/>
        </w:rPr>
        <w:footnoteReference w:id="8"/>
      </w:r>
      <w:r w:rsidRPr="00770F21">
        <w:rPr>
          <w:rFonts w:ascii="AGaramond" w:hAnsi="AGaramond" w:cs="Arial"/>
          <w:sz w:val="22"/>
          <w:szCs w:val="22"/>
        </w:rPr>
        <w:t>; es decir, estas acciones generan intertemporalmente pérdidas importantes para la sociedad en términos de:</w:t>
      </w:r>
    </w:p>
    <w:p w14:paraId="3C392973" w14:textId="77777777" w:rsidR="00937DC4" w:rsidRPr="00237115" w:rsidRDefault="00937DC4" w:rsidP="00937DC4">
      <w:pPr>
        <w:pStyle w:val="Prrafodelista"/>
        <w:numPr>
          <w:ilvl w:val="0"/>
          <w:numId w:val="35"/>
        </w:numPr>
        <w:spacing w:after="0" w:line="360" w:lineRule="auto"/>
        <w:jc w:val="both"/>
        <w:rPr>
          <w:rFonts w:ascii="AGaramond" w:hAnsi="AGaramond" w:cs="Arial"/>
        </w:rPr>
      </w:pPr>
      <w:r w:rsidRPr="00237115">
        <w:rPr>
          <w:rFonts w:ascii="AGaramond" w:hAnsi="AGaramond" w:cs="Arial"/>
        </w:rPr>
        <w:t>Descapitalización de las empresas públicas, no solo de capital físico y financiero, sino de capital humano.</w:t>
      </w:r>
    </w:p>
    <w:p w14:paraId="77F7E914" w14:textId="77777777" w:rsidR="00937DC4" w:rsidRPr="00237115" w:rsidRDefault="00937DC4" w:rsidP="00937DC4">
      <w:pPr>
        <w:pStyle w:val="Prrafodelista"/>
        <w:numPr>
          <w:ilvl w:val="0"/>
          <w:numId w:val="35"/>
        </w:numPr>
        <w:spacing w:after="0" w:line="360" w:lineRule="auto"/>
        <w:jc w:val="both"/>
        <w:rPr>
          <w:rFonts w:ascii="AGaramond" w:hAnsi="AGaramond" w:cs="Arial"/>
        </w:rPr>
      </w:pPr>
      <w:r w:rsidRPr="00237115">
        <w:rPr>
          <w:rFonts w:ascii="AGaramond" w:hAnsi="AGaramond" w:cs="Arial"/>
        </w:rPr>
        <w:lastRenderedPageBreak/>
        <w:t>Pérdida de bienestar por provisión ineficiente de bienes y servicios.</w:t>
      </w:r>
    </w:p>
    <w:p w14:paraId="7CB5AF54" w14:textId="77777777" w:rsidR="00937DC4" w:rsidRPr="00237115" w:rsidRDefault="00937DC4" w:rsidP="00937DC4">
      <w:pPr>
        <w:pStyle w:val="Prrafodelista"/>
        <w:numPr>
          <w:ilvl w:val="0"/>
          <w:numId w:val="35"/>
        </w:numPr>
        <w:spacing w:after="0" w:line="360" w:lineRule="auto"/>
        <w:jc w:val="both"/>
        <w:rPr>
          <w:rFonts w:ascii="AGaramond" w:hAnsi="AGaramond" w:cs="Arial"/>
        </w:rPr>
      </w:pPr>
      <w:r w:rsidRPr="00237115">
        <w:rPr>
          <w:rFonts w:ascii="AGaramond" w:hAnsi="AGaramond" w:cs="Arial"/>
        </w:rPr>
        <w:t>Corrupción. La financiación de gastos sociales por parte de empresas públicas es fuente frecuente de malversación de fondos.</w:t>
      </w:r>
    </w:p>
    <w:p w14:paraId="61142E83" w14:textId="43BE8A1F" w:rsidR="00937DC4" w:rsidRDefault="00937DC4" w:rsidP="00237115">
      <w:pPr>
        <w:pStyle w:val="Prrafodelista"/>
        <w:numPr>
          <w:ilvl w:val="0"/>
          <w:numId w:val="35"/>
        </w:numPr>
        <w:spacing w:line="360" w:lineRule="auto"/>
        <w:jc w:val="both"/>
        <w:rPr>
          <w:rFonts w:ascii="AGaramond" w:hAnsi="AGaramond" w:cs="Arial"/>
        </w:rPr>
      </w:pPr>
      <w:r w:rsidRPr="00237115">
        <w:rPr>
          <w:rFonts w:ascii="AGaramond" w:hAnsi="AGaramond" w:cs="Arial"/>
        </w:rPr>
        <w:t>Dislocación de las funciones del Estado como proveedor de bienes públicos y agente corrector de fallas de mercado (</w:t>
      </w:r>
      <w:r w:rsidR="00237115">
        <w:rPr>
          <w:rFonts w:ascii="AGaramond" w:hAnsi="AGaramond" w:cs="Arial"/>
        </w:rPr>
        <w:t>p. ej</w:t>
      </w:r>
      <w:r w:rsidRPr="00237115">
        <w:rPr>
          <w:rFonts w:ascii="AGaramond" w:hAnsi="AGaramond" w:cs="Arial"/>
        </w:rPr>
        <w:t>., inequidad distributiva).</w:t>
      </w:r>
    </w:p>
    <w:p w14:paraId="6A50E1A7" w14:textId="77777777" w:rsidR="00237115" w:rsidRDefault="00237115" w:rsidP="00237115">
      <w:pPr>
        <w:pStyle w:val="Prrafodelista"/>
        <w:spacing w:before="240" w:line="360" w:lineRule="auto"/>
        <w:ind w:left="284"/>
        <w:jc w:val="both"/>
        <w:rPr>
          <w:rFonts w:ascii="AGaramond" w:hAnsi="AGaramond" w:cs="Arial"/>
          <w:b/>
          <w:bCs/>
          <w:sz w:val="24"/>
          <w:szCs w:val="24"/>
        </w:rPr>
      </w:pPr>
      <w:bookmarkStart w:id="2" w:name="_Ref533009385"/>
    </w:p>
    <w:p w14:paraId="5E494150" w14:textId="7F0E7FFC" w:rsidR="00937DC4" w:rsidRDefault="00937DC4" w:rsidP="00237115">
      <w:pPr>
        <w:pStyle w:val="Prrafodelista"/>
        <w:numPr>
          <w:ilvl w:val="0"/>
          <w:numId w:val="34"/>
        </w:numPr>
        <w:spacing w:line="360" w:lineRule="auto"/>
        <w:ind w:left="284" w:firstLine="0"/>
        <w:jc w:val="both"/>
        <w:rPr>
          <w:rFonts w:ascii="AGaramond" w:hAnsi="AGaramond" w:cs="Arial"/>
          <w:b/>
          <w:bCs/>
          <w:sz w:val="24"/>
          <w:szCs w:val="24"/>
        </w:rPr>
      </w:pPr>
      <w:r w:rsidRPr="00237115">
        <w:rPr>
          <w:rFonts w:ascii="AGaramond" w:hAnsi="AGaramond" w:cs="Arial"/>
          <w:b/>
          <w:bCs/>
          <w:sz w:val="24"/>
          <w:szCs w:val="24"/>
        </w:rPr>
        <w:t>RENTA DE LOS RECURSOS NATURALES Y CORRUPCIÓN: EL CASO DE AMÉRICA LATINA</w:t>
      </w:r>
      <w:bookmarkEnd w:id="2"/>
    </w:p>
    <w:p w14:paraId="3B5B7F37" w14:textId="0804F2DA" w:rsidR="00937DC4" w:rsidRPr="00237115" w:rsidRDefault="00937DC4" w:rsidP="00237115">
      <w:pPr>
        <w:tabs>
          <w:tab w:val="left" w:pos="0"/>
        </w:tabs>
        <w:spacing w:after="240" w:line="360" w:lineRule="auto"/>
        <w:ind w:firstLine="284"/>
        <w:jc w:val="both"/>
        <w:rPr>
          <w:rFonts w:ascii="AGaramond" w:hAnsi="AGaramond" w:cs="Arial"/>
          <w:sz w:val="22"/>
          <w:szCs w:val="22"/>
        </w:rPr>
      </w:pPr>
      <w:r w:rsidRPr="00237115">
        <w:rPr>
          <w:rFonts w:ascii="AGaramond" w:hAnsi="AGaramond" w:cs="Arial"/>
          <w:sz w:val="22"/>
          <w:szCs w:val="22"/>
        </w:rPr>
        <w:t xml:space="preserve">Un aspecto clave en el análisis de la corrupción en América Latina es el manejo de la </w:t>
      </w:r>
      <w:r w:rsidRPr="00237115">
        <w:rPr>
          <w:rFonts w:ascii="AGaramond" w:hAnsi="AGaramond" w:cs="Arial"/>
          <w:i/>
          <w:iCs/>
          <w:sz w:val="22"/>
          <w:szCs w:val="22"/>
        </w:rPr>
        <w:t>renta económica proveniente de los recursos naturales</w:t>
      </w:r>
      <w:r w:rsidRPr="00237115">
        <w:rPr>
          <w:rFonts w:ascii="AGaramond" w:hAnsi="AGaramond" w:cs="Arial"/>
          <w:sz w:val="22"/>
          <w:szCs w:val="22"/>
        </w:rPr>
        <w:t xml:space="preserve"> (</w:t>
      </w:r>
      <w:proofErr w:type="spellStart"/>
      <w:r w:rsidRPr="00237115">
        <w:rPr>
          <w:rFonts w:ascii="AGaramond" w:hAnsi="AGaramond" w:cs="Arial"/>
          <w:sz w:val="22"/>
          <w:szCs w:val="22"/>
        </w:rPr>
        <w:t>REPRN</w:t>
      </w:r>
      <w:proofErr w:type="spellEnd"/>
      <w:r w:rsidRPr="00237115">
        <w:rPr>
          <w:rFonts w:ascii="AGaramond" w:hAnsi="AGaramond" w:cs="Arial"/>
          <w:sz w:val="22"/>
          <w:szCs w:val="22"/>
        </w:rPr>
        <w:t>)</w:t>
      </w:r>
      <w:r w:rsidRPr="00237115">
        <w:rPr>
          <w:rStyle w:val="Refdenotaalpie"/>
          <w:rFonts w:ascii="AGaramond" w:hAnsi="AGaramond" w:cs="Arial"/>
          <w:sz w:val="22"/>
          <w:szCs w:val="22"/>
        </w:rPr>
        <w:footnoteReference w:id="9"/>
      </w:r>
      <w:r w:rsidRPr="00237115">
        <w:rPr>
          <w:rFonts w:ascii="AGaramond" w:hAnsi="AGaramond" w:cs="Arial"/>
          <w:sz w:val="22"/>
          <w:szCs w:val="22"/>
        </w:rPr>
        <w:t xml:space="preserve">. Es decir, un </w:t>
      </w:r>
      <w:r w:rsidR="00237115">
        <w:rPr>
          <w:rFonts w:ascii="AGaramond" w:hAnsi="AGaramond" w:cs="Arial"/>
          <w:sz w:val="22"/>
          <w:szCs w:val="22"/>
        </w:rPr>
        <w:t>“</w:t>
      </w:r>
      <w:r w:rsidRPr="00237115">
        <w:rPr>
          <w:rFonts w:ascii="AGaramond" w:hAnsi="AGaramond" w:cs="Arial"/>
          <w:sz w:val="22"/>
          <w:szCs w:val="22"/>
        </w:rPr>
        <w:t>factor estructural</w:t>
      </w:r>
      <w:r w:rsidR="00237115">
        <w:rPr>
          <w:rFonts w:ascii="AGaramond" w:hAnsi="AGaramond" w:cs="Arial"/>
          <w:sz w:val="22"/>
          <w:szCs w:val="22"/>
        </w:rPr>
        <w:t>”</w:t>
      </w:r>
      <w:r w:rsidRPr="00237115">
        <w:rPr>
          <w:rFonts w:ascii="AGaramond" w:hAnsi="AGaramond" w:cs="Arial"/>
          <w:sz w:val="22"/>
          <w:szCs w:val="22"/>
        </w:rPr>
        <w:t xml:space="preserve">, omnipresente, es la renta económica derivada de activos no producidos (recursos naturales, minerales o no minerales). Esta renta económica tiene un impacto fiscal porque ella es recaudada impositivamente mediante regímenes fiscales </w:t>
      </w:r>
      <w:r w:rsidRPr="00237115">
        <w:rPr>
          <w:rFonts w:ascii="AGaramond" w:hAnsi="AGaramond" w:cs="Arial"/>
          <w:i/>
          <w:iCs/>
          <w:sz w:val="22"/>
          <w:szCs w:val="22"/>
        </w:rPr>
        <w:t>ad hoc</w:t>
      </w:r>
      <w:r w:rsidRPr="00237115">
        <w:rPr>
          <w:rFonts w:ascii="AGaramond" w:hAnsi="AGaramond" w:cs="Arial"/>
          <w:sz w:val="22"/>
          <w:szCs w:val="22"/>
        </w:rPr>
        <w:t xml:space="preserve"> (en el caso de recursos naturales de propiedad pública, en especial minerales) o mediante impuestos a las exportaciones (en el caso de recursos naturales de propiedad privada, en especial, pero no exclusivamente, de recursos no minerales, </w:t>
      </w:r>
      <w:r w:rsidR="00237115">
        <w:rPr>
          <w:rFonts w:ascii="AGaramond" w:hAnsi="AGaramond" w:cs="Arial"/>
          <w:sz w:val="22"/>
          <w:szCs w:val="22"/>
        </w:rPr>
        <w:t>p</w:t>
      </w:r>
      <w:r w:rsidRPr="00237115">
        <w:rPr>
          <w:rFonts w:ascii="AGaramond" w:hAnsi="AGaramond" w:cs="Arial"/>
          <w:sz w:val="22"/>
          <w:szCs w:val="22"/>
        </w:rPr>
        <w:t>.</w:t>
      </w:r>
      <w:r w:rsidR="00237115">
        <w:rPr>
          <w:rFonts w:ascii="AGaramond" w:hAnsi="AGaramond" w:cs="Arial"/>
          <w:sz w:val="22"/>
          <w:szCs w:val="22"/>
        </w:rPr>
        <w:t xml:space="preserve"> ej</w:t>
      </w:r>
      <w:r w:rsidRPr="00237115">
        <w:rPr>
          <w:rFonts w:ascii="AGaramond" w:hAnsi="AGaramond" w:cs="Arial"/>
          <w:sz w:val="22"/>
          <w:szCs w:val="22"/>
        </w:rPr>
        <w:t>., la tierra agrícolamente fértil)</w:t>
      </w:r>
      <w:r w:rsidRPr="00237115">
        <w:rPr>
          <w:rStyle w:val="Refdenotaalpie"/>
          <w:rFonts w:ascii="AGaramond" w:hAnsi="AGaramond" w:cs="Arial"/>
          <w:sz w:val="22"/>
          <w:szCs w:val="22"/>
        </w:rPr>
        <w:footnoteReference w:id="10"/>
      </w:r>
      <w:r w:rsidR="00237115">
        <w:rPr>
          <w:rFonts w:ascii="AGaramond" w:hAnsi="AGaramond" w:cs="Arial"/>
          <w:sz w:val="22"/>
          <w:szCs w:val="22"/>
        </w:rPr>
        <w:t>.</w:t>
      </w:r>
    </w:p>
    <w:p w14:paraId="7D158DBB" w14:textId="5DC4E4B5" w:rsidR="00937DC4" w:rsidRPr="00237115" w:rsidRDefault="00937DC4" w:rsidP="00237115">
      <w:pPr>
        <w:tabs>
          <w:tab w:val="left" w:pos="0"/>
        </w:tabs>
        <w:spacing w:after="240" w:line="360" w:lineRule="auto"/>
        <w:ind w:firstLine="284"/>
        <w:jc w:val="both"/>
        <w:rPr>
          <w:rFonts w:ascii="AGaramond" w:hAnsi="AGaramond" w:cs="Arial"/>
          <w:sz w:val="22"/>
          <w:szCs w:val="22"/>
        </w:rPr>
      </w:pPr>
      <w:r w:rsidRPr="00237115">
        <w:rPr>
          <w:rFonts w:ascii="AGaramond" w:hAnsi="AGaramond" w:cs="Arial"/>
          <w:sz w:val="22"/>
          <w:szCs w:val="22"/>
        </w:rPr>
        <w:t xml:space="preserve">La existencia y el manejo de la </w:t>
      </w:r>
      <w:proofErr w:type="spellStart"/>
      <w:r w:rsidRPr="00237115">
        <w:rPr>
          <w:rFonts w:ascii="AGaramond" w:hAnsi="AGaramond" w:cs="Arial"/>
          <w:sz w:val="22"/>
          <w:szCs w:val="22"/>
        </w:rPr>
        <w:t>REPRN</w:t>
      </w:r>
      <w:proofErr w:type="spellEnd"/>
      <w:r w:rsidRPr="00237115">
        <w:rPr>
          <w:rFonts w:ascii="AGaramond" w:hAnsi="AGaramond" w:cs="Arial"/>
          <w:sz w:val="22"/>
          <w:szCs w:val="22"/>
        </w:rPr>
        <w:t xml:space="preserve"> en América Latina es transversal al régimen político, y no ha cambiado en democracia: los administradores del Estado manejan la renta y, este hecho, desde la perspectiva del análisis de la corrupción del Estado, es fuente para acciones ilícitas (</w:t>
      </w:r>
      <w:r w:rsidR="00237115">
        <w:rPr>
          <w:rFonts w:ascii="AGaramond" w:hAnsi="AGaramond" w:cs="Arial"/>
          <w:sz w:val="22"/>
          <w:szCs w:val="22"/>
        </w:rPr>
        <w:t>s</w:t>
      </w:r>
      <w:r w:rsidRPr="00237115">
        <w:rPr>
          <w:rFonts w:ascii="AGaramond" w:hAnsi="AGaramond" w:cs="Arial"/>
          <w:sz w:val="22"/>
          <w:szCs w:val="22"/>
        </w:rPr>
        <w:t xml:space="preserve">e mencionó en la sección anterior el problema del principal y el agente y el </w:t>
      </w:r>
      <w:proofErr w:type="spellStart"/>
      <w:r w:rsidRPr="00237115">
        <w:rPr>
          <w:rFonts w:ascii="AGaramond" w:hAnsi="AGaramond" w:cs="Arial"/>
          <w:i/>
          <w:iCs/>
          <w:sz w:val="22"/>
          <w:szCs w:val="22"/>
        </w:rPr>
        <w:t>rent-seeking</w:t>
      </w:r>
      <w:proofErr w:type="spellEnd"/>
      <w:r w:rsidRPr="00237115">
        <w:rPr>
          <w:rFonts w:ascii="AGaramond" w:hAnsi="AGaramond" w:cs="Arial"/>
          <w:sz w:val="22"/>
          <w:szCs w:val="22"/>
        </w:rPr>
        <w:t xml:space="preserve"> como graves óbices para la administración de los recursos públicos en presencia de </w:t>
      </w:r>
      <w:proofErr w:type="spellStart"/>
      <w:r w:rsidRPr="00237115">
        <w:rPr>
          <w:rFonts w:ascii="AGaramond" w:hAnsi="AGaramond" w:cs="Arial"/>
          <w:sz w:val="22"/>
          <w:szCs w:val="22"/>
        </w:rPr>
        <w:t>REPRN</w:t>
      </w:r>
      <w:proofErr w:type="spellEnd"/>
      <w:r w:rsidRPr="00237115">
        <w:rPr>
          <w:rFonts w:ascii="AGaramond" w:hAnsi="AGaramond" w:cs="Arial"/>
          <w:sz w:val="22"/>
          <w:szCs w:val="22"/>
        </w:rPr>
        <w:t xml:space="preserve">: </w:t>
      </w:r>
      <w:r w:rsidR="00D83286">
        <w:rPr>
          <w:rFonts w:ascii="AGaramond" w:hAnsi="AGaramond" w:cs="Arial"/>
          <w:sz w:val="22"/>
          <w:szCs w:val="22"/>
        </w:rPr>
        <w:t>e</w:t>
      </w:r>
      <w:r w:rsidRPr="00237115">
        <w:rPr>
          <w:rFonts w:ascii="AGaramond" w:hAnsi="AGaramond" w:cs="Arial"/>
          <w:sz w:val="22"/>
          <w:szCs w:val="22"/>
        </w:rPr>
        <w:t xml:space="preserve">l grado de poder y discrecionalidad que otorgan los recursos económicos cuantiosos derivados de activos no producidos hace </w:t>
      </w:r>
      <w:r w:rsidR="00237115">
        <w:rPr>
          <w:rFonts w:ascii="AGaramond" w:hAnsi="AGaramond" w:cs="Arial"/>
          <w:sz w:val="22"/>
          <w:szCs w:val="22"/>
        </w:rPr>
        <w:t>“</w:t>
      </w:r>
      <w:proofErr w:type="spellStart"/>
      <w:r w:rsidRPr="00237115">
        <w:rPr>
          <w:rFonts w:ascii="AGaramond" w:hAnsi="AGaramond" w:cs="Arial"/>
          <w:sz w:val="22"/>
          <w:szCs w:val="22"/>
        </w:rPr>
        <w:t>inmonitoreable</w:t>
      </w:r>
      <w:proofErr w:type="spellEnd"/>
      <w:r w:rsidR="00237115">
        <w:rPr>
          <w:rFonts w:ascii="AGaramond" w:hAnsi="AGaramond" w:cs="Arial"/>
          <w:sz w:val="22"/>
          <w:szCs w:val="22"/>
        </w:rPr>
        <w:t>”</w:t>
      </w:r>
      <w:r w:rsidRPr="00237115">
        <w:rPr>
          <w:rFonts w:ascii="AGaramond" w:hAnsi="AGaramond" w:cs="Arial"/>
          <w:sz w:val="22"/>
          <w:szCs w:val="22"/>
        </w:rPr>
        <w:t xml:space="preserve"> la gestión pública de quienes administran el Estado por parte de la ciudadanía</w:t>
      </w:r>
      <w:bookmarkStart w:id="3" w:name="_Ref69369798"/>
      <w:r w:rsidRPr="00237115">
        <w:rPr>
          <w:rStyle w:val="Refdenotaalpie"/>
          <w:rFonts w:ascii="AGaramond" w:hAnsi="AGaramond" w:cs="Arial"/>
          <w:sz w:val="22"/>
          <w:szCs w:val="22"/>
        </w:rPr>
        <w:footnoteReference w:id="11"/>
      </w:r>
      <w:bookmarkEnd w:id="3"/>
      <w:r w:rsidRPr="00237115">
        <w:rPr>
          <w:rFonts w:ascii="AGaramond" w:hAnsi="AGaramond" w:cs="Arial"/>
          <w:sz w:val="22"/>
          <w:szCs w:val="22"/>
        </w:rPr>
        <w:t>)</w:t>
      </w:r>
      <w:r w:rsidR="00237115">
        <w:rPr>
          <w:rFonts w:ascii="AGaramond" w:hAnsi="AGaramond" w:cs="Arial"/>
          <w:sz w:val="22"/>
          <w:szCs w:val="22"/>
        </w:rPr>
        <w:t>.</w:t>
      </w:r>
    </w:p>
    <w:p w14:paraId="62DEE814" w14:textId="05C9BA14" w:rsidR="00937DC4" w:rsidRPr="00237115" w:rsidRDefault="00937DC4" w:rsidP="00237115">
      <w:pPr>
        <w:tabs>
          <w:tab w:val="left" w:pos="0"/>
        </w:tabs>
        <w:spacing w:after="240" w:line="360" w:lineRule="auto"/>
        <w:ind w:firstLine="284"/>
        <w:jc w:val="both"/>
        <w:rPr>
          <w:rFonts w:ascii="AGaramond" w:hAnsi="AGaramond" w:cs="Arial"/>
          <w:sz w:val="22"/>
          <w:szCs w:val="22"/>
        </w:rPr>
      </w:pPr>
      <w:r w:rsidRPr="00237115">
        <w:rPr>
          <w:rFonts w:ascii="AGaramond" w:hAnsi="AGaramond" w:cs="Arial"/>
          <w:sz w:val="22"/>
          <w:szCs w:val="22"/>
        </w:rPr>
        <w:lastRenderedPageBreak/>
        <w:t>En el caso de Venezuela, la democracia liberal instituida entre 1958 y 1998 no fue tal. Es decir, se asentó durante un per</w:t>
      </w:r>
      <w:r w:rsidR="00C72031">
        <w:rPr>
          <w:rFonts w:ascii="AGaramond" w:hAnsi="AGaramond" w:cs="Arial"/>
          <w:sz w:val="22"/>
          <w:szCs w:val="22"/>
        </w:rPr>
        <w:t>i</w:t>
      </w:r>
      <w:r w:rsidRPr="00237115">
        <w:rPr>
          <w:rFonts w:ascii="AGaramond" w:hAnsi="AGaramond" w:cs="Arial"/>
          <w:sz w:val="22"/>
          <w:szCs w:val="22"/>
        </w:rPr>
        <w:t xml:space="preserve">odo de cuarenta años un régimen democrático </w:t>
      </w:r>
      <w:proofErr w:type="spellStart"/>
      <w:r w:rsidRPr="00237115">
        <w:rPr>
          <w:rFonts w:ascii="AGaramond" w:hAnsi="AGaramond" w:cs="Arial"/>
          <w:sz w:val="22"/>
          <w:szCs w:val="22"/>
        </w:rPr>
        <w:t>pseudoliberal</w:t>
      </w:r>
      <w:proofErr w:type="spellEnd"/>
      <w:r w:rsidRPr="00237115">
        <w:rPr>
          <w:rFonts w:ascii="AGaramond" w:hAnsi="AGaramond" w:cs="Arial"/>
          <w:sz w:val="22"/>
          <w:szCs w:val="22"/>
        </w:rPr>
        <w:t xml:space="preserve">, en el cual existió </w:t>
      </w:r>
      <w:r w:rsidRPr="00237115">
        <w:rPr>
          <w:rFonts w:ascii="AGaramond" w:hAnsi="AGaramond" w:cs="Arial"/>
          <w:i/>
          <w:iCs/>
          <w:sz w:val="22"/>
          <w:szCs w:val="22"/>
        </w:rPr>
        <w:t xml:space="preserve">libertas a </w:t>
      </w:r>
      <w:proofErr w:type="spellStart"/>
      <w:r w:rsidRPr="00237115">
        <w:rPr>
          <w:rFonts w:ascii="AGaramond" w:hAnsi="AGaramond" w:cs="Arial"/>
          <w:i/>
          <w:iCs/>
          <w:sz w:val="22"/>
          <w:szCs w:val="22"/>
        </w:rPr>
        <w:t>coacione</w:t>
      </w:r>
      <w:proofErr w:type="spellEnd"/>
      <w:r w:rsidR="00C72031">
        <w:rPr>
          <w:rFonts w:ascii="AGaramond" w:hAnsi="AGaramond" w:cs="Arial"/>
          <w:sz w:val="22"/>
          <w:szCs w:val="22"/>
        </w:rPr>
        <w:t xml:space="preserve"> </w:t>
      </w:r>
      <w:r w:rsidRPr="00237115">
        <w:rPr>
          <w:rFonts w:ascii="AGaramond" w:hAnsi="AGaramond" w:cs="Arial"/>
          <w:sz w:val="22"/>
          <w:szCs w:val="22"/>
        </w:rPr>
        <w:t xml:space="preserve">(se emancipa a la población de la tiranía que le impide participar igualitariamente, como ciudadanos, en la escogencia de las autoridades públicas rectoras de la gestión del Estado), pero no hubo </w:t>
      </w:r>
      <w:r w:rsidRPr="00237115">
        <w:rPr>
          <w:rFonts w:ascii="AGaramond" w:hAnsi="AGaramond" w:cs="Arial"/>
          <w:i/>
          <w:iCs/>
          <w:sz w:val="22"/>
          <w:szCs w:val="22"/>
        </w:rPr>
        <w:t>libertas a miseria</w:t>
      </w:r>
      <w:r w:rsidRPr="00237115">
        <w:rPr>
          <w:rFonts w:ascii="AGaramond" w:hAnsi="AGaramond" w:cs="Arial"/>
          <w:sz w:val="22"/>
          <w:szCs w:val="22"/>
        </w:rPr>
        <w:t xml:space="preserve"> (que permita a la población recibir y asignar los ingresos provenientes de recursos naturales que por derecho le pertenecen, originándose así fuertes disparidades distributivas y malversación frecuente de recursos públicos)</w:t>
      </w:r>
      <w:r w:rsidR="00CB1DAC">
        <w:rPr>
          <w:rFonts w:ascii="AGaramond" w:hAnsi="AGaramond" w:cs="Arial"/>
          <w:sz w:val="22"/>
          <w:szCs w:val="22"/>
        </w:rPr>
        <w:t>.</w:t>
      </w:r>
      <w:r w:rsidRPr="00237115">
        <w:rPr>
          <w:rFonts w:ascii="AGaramond" w:hAnsi="AGaramond" w:cs="Arial"/>
          <w:sz w:val="22"/>
          <w:szCs w:val="22"/>
        </w:rPr>
        <w:t xml:space="preserve"> Se asistió</w:t>
      </w:r>
      <w:r w:rsidR="00C72031">
        <w:rPr>
          <w:rFonts w:ascii="AGaramond" w:hAnsi="AGaramond" w:cs="Arial"/>
          <w:sz w:val="22"/>
          <w:szCs w:val="22"/>
        </w:rPr>
        <w:t>,</w:t>
      </w:r>
      <w:r w:rsidRPr="00237115">
        <w:rPr>
          <w:rFonts w:ascii="AGaramond" w:hAnsi="AGaramond" w:cs="Arial"/>
          <w:sz w:val="22"/>
          <w:szCs w:val="22"/>
        </w:rPr>
        <w:t xml:space="preserve"> entonces</w:t>
      </w:r>
      <w:r w:rsidR="00C72031">
        <w:rPr>
          <w:rFonts w:ascii="AGaramond" w:hAnsi="AGaramond" w:cs="Arial"/>
          <w:sz w:val="22"/>
          <w:szCs w:val="22"/>
        </w:rPr>
        <w:t>,</w:t>
      </w:r>
      <w:r w:rsidRPr="00237115">
        <w:rPr>
          <w:rFonts w:ascii="AGaramond" w:hAnsi="AGaramond" w:cs="Arial"/>
          <w:sz w:val="22"/>
          <w:szCs w:val="22"/>
        </w:rPr>
        <w:t xml:space="preserve"> a una </w:t>
      </w:r>
      <w:r w:rsidR="00C72031">
        <w:rPr>
          <w:rFonts w:ascii="AGaramond" w:hAnsi="AGaramond" w:cs="Arial"/>
          <w:sz w:val="22"/>
          <w:szCs w:val="22"/>
        </w:rPr>
        <w:t>“</w:t>
      </w:r>
      <w:r w:rsidRPr="00237115">
        <w:rPr>
          <w:rFonts w:ascii="AGaramond" w:hAnsi="AGaramond" w:cs="Arial"/>
          <w:sz w:val="22"/>
          <w:szCs w:val="22"/>
        </w:rPr>
        <w:t>tiranía democrática</w:t>
      </w:r>
      <w:r w:rsidR="00C72031">
        <w:rPr>
          <w:rFonts w:ascii="AGaramond" w:hAnsi="AGaramond" w:cs="Arial"/>
          <w:sz w:val="22"/>
          <w:szCs w:val="22"/>
        </w:rPr>
        <w:t>”</w:t>
      </w:r>
      <w:r w:rsidRPr="00237115">
        <w:rPr>
          <w:rFonts w:ascii="AGaramond" w:hAnsi="AGaramond" w:cs="Arial"/>
          <w:sz w:val="22"/>
          <w:szCs w:val="22"/>
        </w:rPr>
        <w:t xml:space="preserve"> </w:t>
      </w:r>
      <w:sdt>
        <w:sdtPr>
          <w:rPr>
            <w:rFonts w:ascii="AGaramond" w:hAnsi="AGaramond" w:cs="Arial"/>
            <w:sz w:val="22"/>
            <w:szCs w:val="22"/>
          </w:rPr>
          <w:id w:val="-1375460362"/>
          <w:citation/>
        </w:sdtPr>
        <w:sdtEndPr/>
        <w:sdtContent>
          <w:r w:rsidRPr="00237115">
            <w:rPr>
              <w:rFonts w:ascii="AGaramond" w:hAnsi="AGaramond" w:cs="Arial"/>
              <w:sz w:val="22"/>
              <w:szCs w:val="22"/>
            </w:rPr>
            <w:fldChar w:fldCharType="begin"/>
          </w:r>
          <w:r w:rsidRPr="00237115">
            <w:rPr>
              <w:rFonts w:ascii="AGaramond" w:hAnsi="AGaramond" w:cs="Arial"/>
              <w:sz w:val="22"/>
              <w:szCs w:val="22"/>
            </w:rPr>
            <w:instrText xml:space="preserve"> CITATION Sav15 \l 8202 </w:instrText>
          </w:r>
          <w:r w:rsidRPr="00237115">
            <w:rPr>
              <w:rFonts w:ascii="AGaramond" w:hAnsi="AGaramond" w:cs="Arial"/>
              <w:sz w:val="22"/>
              <w:szCs w:val="22"/>
            </w:rPr>
            <w:fldChar w:fldCharType="separate"/>
          </w:r>
          <w:r w:rsidRPr="00237115">
            <w:rPr>
              <w:rFonts w:ascii="AGaramond" w:hAnsi="AGaramond" w:cs="Arial"/>
              <w:noProof/>
              <w:sz w:val="22"/>
              <w:szCs w:val="22"/>
            </w:rPr>
            <w:t>(Savater, 2015)</w:t>
          </w:r>
          <w:r w:rsidRPr="00237115">
            <w:rPr>
              <w:rFonts w:ascii="AGaramond" w:hAnsi="AGaramond" w:cs="Arial"/>
              <w:sz w:val="22"/>
              <w:szCs w:val="22"/>
            </w:rPr>
            <w:fldChar w:fldCharType="end"/>
          </w:r>
        </w:sdtContent>
      </w:sdt>
      <w:r w:rsidRPr="00237115">
        <w:rPr>
          <w:rFonts w:ascii="AGaramond" w:hAnsi="AGaramond" w:cs="Arial"/>
          <w:sz w:val="22"/>
          <w:szCs w:val="22"/>
        </w:rPr>
        <w:t xml:space="preserve">, impuesta por quienes administraron la </w:t>
      </w:r>
      <w:proofErr w:type="spellStart"/>
      <w:r w:rsidRPr="00237115">
        <w:rPr>
          <w:rFonts w:ascii="AGaramond" w:hAnsi="AGaramond" w:cs="Arial"/>
          <w:sz w:val="22"/>
          <w:szCs w:val="22"/>
        </w:rPr>
        <w:t>REPRN</w:t>
      </w:r>
      <w:proofErr w:type="spellEnd"/>
      <w:r w:rsidRPr="00237115">
        <w:rPr>
          <w:rFonts w:ascii="AGaramond" w:hAnsi="AGaramond" w:cs="Arial"/>
          <w:sz w:val="22"/>
          <w:szCs w:val="22"/>
        </w:rPr>
        <w:t xml:space="preserve">. Por tanto, se heredaron, </w:t>
      </w:r>
      <w:proofErr w:type="spellStart"/>
      <w:r w:rsidRPr="00237115">
        <w:rPr>
          <w:rFonts w:ascii="AGaramond" w:hAnsi="AGaramond" w:cs="Arial"/>
          <w:sz w:val="22"/>
          <w:szCs w:val="22"/>
        </w:rPr>
        <w:t>intergeneracionalmente</w:t>
      </w:r>
      <w:proofErr w:type="spellEnd"/>
      <w:r w:rsidRPr="00237115">
        <w:rPr>
          <w:rFonts w:ascii="AGaramond" w:hAnsi="AGaramond" w:cs="Arial"/>
          <w:sz w:val="22"/>
          <w:szCs w:val="22"/>
        </w:rPr>
        <w:t>, deficiencias de base en el diseño institucional que dieron espacio a acciones privadas y grupales, las cuales socavaron la propia existencia del régimen democrático, y del Estado, con consecuencias adversas al crecimiento y desarrollo económico (</w:t>
      </w:r>
      <w:r w:rsidR="00C72031" w:rsidRPr="00C72031">
        <w:rPr>
          <w:rFonts w:ascii="AGaramond" w:hAnsi="AGaramond" w:cs="Arial"/>
          <w:i/>
          <w:sz w:val="22"/>
          <w:szCs w:val="22"/>
        </w:rPr>
        <w:t>cfr</w:t>
      </w:r>
      <w:r w:rsidRPr="00237115">
        <w:rPr>
          <w:rFonts w:ascii="AGaramond" w:hAnsi="AGaramond" w:cs="Arial"/>
          <w:sz w:val="22"/>
          <w:szCs w:val="22"/>
        </w:rPr>
        <w:t xml:space="preserve">. </w:t>
      </w:r>
      <w:r w:rsidR="00C72031" w:rsidRPr="00C72031">
        <w:rPr>
          <w:rFonts w:ascii="AGaramond" w:hAnsi="AGaramond" w:cs="Arial"/>
          <w:noProof/>
          <w:sz w:val="22"/>
          <w:szCs w:val="22"/>
        </w:rPr>
        <w:t>Acemo</w:t>
      </w:r>
      <w:r w:rsidR="00C72031" w:rsidRPr="00C72031">
        <w:rPr>
          <w:rFonts w:ascii="Cambria" w:hAnsi="Cambria" w:cs="Cambria"/>
          <w:noProof/>
          <w:sz w:val="22"/>
          <w:szCs w:val="22"/>
        </w:rPr>
        <w:t>ğ</w:t>
      </w:r>
      <w:r w:rsidR="00C72031" w:rsidRPr="00C72031">
        <w:rPr>
          <w:rFonts w:ascii="AGaramond" w:hAnsi="AGaramond" w:cs="Arial"/>
          <w:noProof/>
          <w:sz w:val="22"/>
          <w:szCs w:val="22"/>
        </w:rPr>
        <w:t>lu</w:t>
      </w:r>
      <w:r w:rsidRPr="00237115">
        <w:rPr>
          <w:rFonts w:ascii="AGaramond" w:hAnsi="AGaramond" w:cs="Arial"/>
          <w:noProof/>
          <w:sz w:val="22"/>
          <w:szCs w:val="22"/>
        </w:rPr>
        <w:t xml:space="preserve">, Johnson </w:t>
      </w:r>
      <w:r w:rsidR="00C72031">
        <w:rPr>
          <w:rFonts w:ascii="AGaramond" w:hAnsi="AGaramond" w:cs="Arial"/>
          <w:noProof/>
          <w:sz w:val="22"/>
          <w:szCs w:val="22"/>
        </w:rPr>
        <w:t>y</w:t>
      </w:r>
      <w:r w:rsidRPr="00237115">
        <w:rPr>
          <w:rFonts w:ascii="AGaramond" w:hAnsi="AGaramond" w:cs="Arial"/>
          <w:noProof/>
          <w:sz w:val="22"/>
          <w:szCs w:val="22"/>
        </w:rPr>
        <w:t xml:space="preserve"> Robinson, 2005)</w:t>
      </w:r>
      <w:r w:rsidRPr="00237115">
        <w:rPr>
          <w:rFonts w:ascii="AGaramond" w:hAnsi="AGaramond" w:cs="Arial"/>
          <w:sz w:val="22"/>
          <w:szCs w:val="22"/>
        </w:rPr>
        <w:t>.</w:t>
      </w:r>
    </w:p>
    <w:p w14:paraId="1C7A3C9B" w14:textId="77777777" w:rsidR="00937DC4" w:rsidRPr="00C72031" w:rsidRDefault="00937DC4" w:rsidP="00C72031">
      <w:pPr>
        <w:pStyle w:val="Prrafodelista"/>
        <w:numPr>
          <w:ilvl w:val="0"/>
          <w:numId w:val="34"/>
        </w:numPr>
        <w:spacing w:line="360" w:lineRule="auto"/>
        <w:ind w:left="284" w:firstLine="0"/>
        <w:jc w:val="both"/>
        <w:rPr>
          <w:rFonts w:ascii="AGaramond" w:hAnsi="AGaramond" w:cs="Arial"/>
          <w:b/>
          <w:bCs/>
          <w:sz w:val="24"/>
          <w:szCs w:val="24"/>
        </w:rPr>
      </w:pPr>
      <w:bookmarkStart w:id="4" w:name="_Ref533009397"/>
      <w:bookmarkStart w:id="5" w:name="_Ref69368384"/>
      <w:r w:rsidRPr="00C72031">
        <w:rPr>
          <w:rFonts w:ascii="AGaramond" w:hAnsi="AGaramond" w:cs="Arial"/>
          <w:b/>
          <w:bCs/>
          <w:sz w:val="24"/>
          <w:szCs w:val="24"/>
        </w:rPr>
        <w:t>UN MODELO SENCILLO DE JUEGOS REPETIDOS SOBRE LOS INCENTIVOS PARA ACCIONES ILÍCITAS POR PARTE DE FUNCIONARIOS PÚBLICOS</w:t>
      </w:r>
      <w:bookmarkEnd w:id="4"/>
      <w:r w:rsidRPr="00C72031">
        <w:rPr>
          <w:rStyle w:val="Refdenotaalpie"/>
          <w:rFonts w:ascii="AGaramond" w:hAnsi="AGaramond" w:cs="Arial"/>
          <w:b/>
          <w:bCs/>
          <w:sz w:val="24"/>
          <w:szCs w:val="24"/>
        </w:rPr>
        <w:footnoteReference w:id="12"/>
      </w:r>
      <w:bookmarkEnd w:id="5"/>
    </w:p>
    <w:p w14:paraId="1873CB05" w14:textId="3C17D922" w:rsidR="00937DC4" w:rsidRPr="00A64BDD" w:rsidRDefault="00937DC4" w:rsidP="00A64BDD">
      <w:pPr>
        <w:spacing w:after="240" w:line="360" w:lineRule="auto"/>
        <w:ind w:firstLine="284"/>
        <w:jc w:val="both"/>
        <w:rPr>
          <w:rFonts w:ascii="AGaramond" w:hAnsi="AGaramond" w:cs="Arial"/>
          <w:sz w:val="22"/>
          <w:szCs w:val="22"/>
        </w:rPr>
      </w:pPr>
      <w:r w:rsidRPr="00A64BDD">
        <w:rPr>
          <w:rFonts w:ascii="AGaramond" w:hAnsi="AGaramond" w:cs="Arial"/>
          <w:sz w:val="22"/>
          <w:szCs w:val="22"/>
        </w:rPr>
        <w:t xml:space="preserve">La frase célebre del político venezolano Gonzalo Barrios </w:t>
      </w:r>
      <w:r w:rsidR="00A64BDD" w:rsidRPr="00A64BDD">
        <w:rPr>
          <w:rFonts w:ascii="AGaramond" w:hAnsi="AGaramond" w:cs="Arial"/>
          <w:sz w:val="22"/>
          <w:szCs w:val="22"/>
        </w:rPr>
        <w:t>con</w:t>
      </w:r>
      <w:r w:rsidRPr="00A64BDD">
        <w:rPr>
          <w:rFonts w:ascii="AGaramond" w:hAnsi="AGaramond" w:cs="Arial"/>
          <w:sz w:val="22"/>
          <w:szCs w:val="22"/>
        </w:rPr>
        <w:t xml:space="preserve"> relación a las razones para el peculado en los cargos públicos</w:t>
      </w:r>
      <w:r w:rsidRPr="00A64BDD">
        <w:rPr>
          <w:rStyle w:val="Refdenotaalpie"/>
          <w:rFonts w:ascii="AGaramond" w:hAnsi="AGaramond" w:cs="Arial"/>
          <w:sz w:val="22"/>
          <w:szCs w:val="22"/>
        </w:rPr>
        <w:footnoteReference w:id="13"/>
      </w:r>
      <w:r w:rsidRPr="00A64BDD">
        <w:rPr>
          <w:rFonts w:ascii="AGaramond" w:hAnsi="AGaramond" w:cs="Arial"/>
          <w:sz w:val="22"/>
          <w:szCs w:val="22"/>
        </w:rPr>
        <w:t xml:space="preserve"> muestra la dimensión del agente individual a cargo de la administración del Estado: en un país con ingentes </w:t>
      </w:r>
      <w:proofErr w:type="spellStart"/>
      <w:r w:rsidRPr="00A64BDD">
        <w:rPr>
          <w:rFonts w:ascii="AGaramond" w:hAnsi="AGaramond" w:cs="Arial"/>
          <w:sz w:val="22"/>
          <w:szCs w:val="22"/>
        </w:rPr>
        <w:t>REPRN</w:t>
      </w:r>
      <w:proofErr w:type="spellEnd"/>
      <w:r w:rsidRPr="00A64BDD">
        <w:rPr>
          <w:rFonts w:ascii="AGaramond" w:hAnsi="AGaramond" w:cs="Arial"/>
          <w:sz w:val="22"/>
          <w:szCs w:val="22"/>
        </w:rPr>
        <w:t xml:space="preserve">, asociado al </w:t>
      </w:r>
      <w:proofErr w:type="spellStart"/>
      <w:r w:rsidRPr="00A64BDD">
        <w:rPr>
          <w:rFonts w:ascii="AGaramond" w:hAnsi="AGaramond" w:cs="Arial"/>
          <w:i/>
          <w:iCs/>
          <w:sz w:val="22"/>
          <w:szCs w:val="22"/>
        </w:rPr>
        <w:t>rent-seeking</w:t>
      </w:r>
      <w:proofErr w:type="spellEnd"/>
      <w:r w:rsidR="00A64BDD" w:rsidRPr="00A64BDD">
        <w:rPr>
          <w:rFonts w:ascii="AGaramond" w:hAnsi="AGaramond" w:cs="Arial"/>
          <w:i/>
          <w:iCs/>
          <w:sz w:val="22"/>
          <w:szCs w:val="22"/>
        </w:rPr>
        <w:t xml:space="preserve"> </w:t>
      </w:r>
      <w:r w:rsidRPr="00A64BDD">
        <w:rPr>
          <w:rFonts w:ascii="AGaramond" w:hAnsi="AGaramond" w:cs="Arial"/>
          <w:sz w:val="22"/>
          <w:szCs w:val="22"/>
        </w:rPr>
        <w:t xml:space="preserve">y al problema del principal y el agente, surge la dimensión individual del agente administrador del Estado. Desde esta perspectiva, la explicación de la corrupción del Estado yace en la matriz de incentivos (matriz de pagos o matriz de </w:t>
      </w:r>
      <w:proofErr w:type="spellStart"/>
      <w:r w:rsidRPr="00A64BDD">
        <w:rPr>
          <w:rFonts w:ascii="AGaramond" w:hAnsi="AGaramond" w:cs="Arial"/>
          <w:i/>
          <w:iCs/>
          <w:sz w:val="22"/>
          <w:szCs w:val="22"/>
        </w:rPr>
        <w:t>payoffs</w:t>
      </w:r>
      <w:proofErr w:type="spellEnd"/>
      <w:r w:rsidRPr="00A64BDD">
        <w:rPr>
          <w:rFonts w:ascii="AGaramond" w:hAnsi="AGaramond" w:cs="Arial"/>
          <w:sz w:val="22"/>
          <w:szCs w:val="22"/>
        </w:rPr>
        <w:t xml:space="preserve">) que enfrenta el agente, la cual obedece al diseño institucional </w:t>
      </w:r>
      <w:r w:rsidRPr="00A64BDD">
        <w:rPr>
          <w:rFonts w:ascii="AGaramond" w:hAnsi="AGaramond" w:cs="Arial"/>
          <w:noProof/>
          <w:sz w:val="22"/>
          <w:szCs w:val="22"/>
        </w:rPr>
        <w:t>(Baumol, 1990)</w:t>
      </w:r>
      <w:r w:rsidRPr="00A64BDD">
        <w:rPr>
          <w:rStyle w:val="Refdenotaalpie"/>
          <w:rFonts w:ascii="AGaramond" w:hAnsi="AGaramond" w:cs="Arial"/>
          <w:sz w:val="22"/>
          <w:szCs w:val="22"/>
        </w:rPr>
        <w:footnoteReference w:id="14"/>
      </w:r>
      <w:r w:rsidRPr="00A64BDD">
        <w:rPr>
          <w:rFonts w:ascii="AGaramond" w:hAnsi="AGaramond" w:cs="Arial"/>
          <w:sz w:val="22"/>
          <w:szCs w:val="22"/>
        </w:rPr>
        <w:t xml:space="preserve">. Esta explicación invalida la concepción de la corrupción del Estado como rasgo cultural. De hecho, como </w:t>
      </w:r>
      <w:r w:rsidRPr="00A64BDD">
        <w:rPr>
          <w:rFonts w:ascii="AGaramond" w:hAnsi="AGaramond" w:cs="Arial"/>
          <w:sz w:val="22"/>
          <w:szCs w:val="22"/>
        </w:rPr>
        <w:lastRenderedPageBreak/>
        <w:t xml:space="preserve">bien lo demuestra </w:t>
      </w:r>
      <w:proofErr w:type="spellStart"/>
      <w:r w:rsidRPr="00A64BDD">
        <w:rPr>
          <w:rFonts w:ascii="AGaramond" w:hAnsi="AGaramond" w:cs="Arial"/>
          <w:sz w:val="22"/>
          <w:szCs w:val="22"/>
        </w:rPr>
        <w:t>Baumol</w:t>
      </w:r>
      <w:proofErr w:type="spellEnd"/>
      <w:r w:rsidRPr="00A64BDD">
        <w:rPr>
          <w:rFonts w:ascii="AGaramond" w:hAnsi="AGaramond" w:cs="Arial"/>
          <w:sz w:val="22"/>
          <w:szCs w:val="22"/>
        </w:rPr>
        <w:t>, la corrupción del Estado (</w:t>
      </w:r>
      <w:r w:rsidR="00A64BDD" w:rsidRPr="00A64BDD">
        <w:rPr>
          <w:rFonts w:ascii="AGaramond" w:hAnsi="AGaramond" w:cs="Arial"/>
          <w:sz w:val="22"/>
          <w:szCs w:val="22"/>
        </w:rPr>
        <w:t>“</w:t>
      </w:r>
      <w:proofErr w:type="spellStart"/>
      <w:r w:rsidRPr="005928DC">
        <w:rPr>
          <w:rFonts w:ascii="AGaramond" w:hAnsi="AGaramond" w:cs="Arial"/>
          <w:sz w:val="22"/>
          <w:szCs w:val="22"/>
        </w:rPr>
        <w:t>political</w:t>
      </w:r>
      <w:proofErr w:type="spellEnd"/>
      <w:r w:rsidRPr="005928DC">
        <w:rPr>
          <w:rFonts w:ascii="AGaramond" w:hAnsi="AGaramond" w:cs="Arial"/>
          <w:sz w:val="22"/>
          <w:szCs w:val="22"/>
        </w:rPr>
        <w:t xml:space="preserve"> </w:t>
      </w:r>
      <w:proofErr w:type="spellStart"/>
      <w:r w:rsidRPr="005928DC">
        <w:rPr>
          <w:rFonts w:ascii="AGaramond" w:hAnsi="AGaramond" w:cs="Arial"/>
          <w:sz w:val="22"/>
          <w:szCs w:val="22"/>
        </w:rPr>
        <w:t>moneymaking</w:t>
      </w:r>
      <w:proofErr w:type="spellEnd"/>
      <w:r w:rsidR="00A64BDD" w:rsidRPr="005928DC">
        <w:rPr>
          <w:rFonts w:ascii="AGaramond" w:hAnsi="AGaramond" w:cs="Arial"/>
          <w:sz w:val="22"/>
          <w:szCs w:val="22"/>
        </w:rPr>
        <w:t>”</w:t>
      </w:r>
      <w:r w:rsidRPr="00A64BDD">
        <w:rPr>
          <w:rFonts w:ascii="AGaramond" w:hAnsi="AGaramond" w:cs="Arial"/>
          <w:sz w:val="22"/>
          <w:szCs w:val="22"/>
        </w:rPr>
        <w:t>) es cultural e históricamente transversal a las sociedades en diferentes per</w:t>
      </w:r>
      <w:r w:rsidR="00A64BDD" w:rsidRPr="00A64BDD">
        <w:rPr>
          <w:rFonts w:ascii="AGaramond" w:hAnsi="AGaramond" w:cs="Arial"/>
          <w:sz w:val="22"/>
          <w:szCs w:val="22"/>
        </w:rPr>
        <w:t>i</w:t>
      </w:r>
      <w:r w:rsidRPr="00A64BDD">
        <w:rPr>
          <w:rFonts w:ascii="AGaramond" w:hAnsi="AGaramond" w:cs="Arial"/>
          <w:sz w:val="22"/>
          <w:szCs w:val="22"/>
        </w:rPr>
        <w:t xml:space="preserve">odos históricos. </w:t>
      </w:r>
    </w:p>
    <w:p w14:paraId="2D4047F3" w14:textId="3E574A88" w:rsidR="00937DC4" w:rsidRPr="00A64BDD" w:rsidRDefault="00937DC4" w:rsidP="00A64BDD">
      <w:pPr>
        <w:spacing w:after="240" w:line="360" w:lineRule="auto"/>
        <w:ind w:firstLine="284"/>
        <w:jc w:val="both"/>
        <w:rPr>
          <w:rFonts w:ascii="AGaramond" w:hAnsi="AGaramond" w:cs="Arial"/>
          <w:sz w:val="22"/>
          <w:szCs w:val="22"/>
        </w:rPr>
      </w:pPr>
      <w:r w:rsidRPr="00A64BDD">
        <w:rPr>
          <w:rFonts w:ascii="AGaramond" w:hAnsi="AGaramond" w:cs="Arial"/>
          <w:sz w:val="22"/>
          <w:szCs w:val="22"/>
        </w:rPr>
        <w:t xml:space="preserve">Esta sección aborda la corrupción tanto desde la dimensión individual, en términos del valor presente de una matriz de pago, como desde la interacción estratégica del agente administrador del Estado; en el caso de la segunda, se hace uso de la representación hipotética de una situación (juego) simultánea, y otra repetida, al cual se enfrenta un funcionario público respecto del resto de funcionarios. (Nótese que se hace omisión de los aspectos deontológicos, los cuales ofrecen </w:t>
      </w:r>
      <w:r w:rsidR="00A64BDD" w:rsidRPr="00A64BDD">
        <w:rPr>
          <w:rFonts w:ascii="AGaramond" w:hAnsi="AGaramond" w:cs="Arial"/>
          <w:sz w:val="22"/>
          <w:szCs w:val="22"/>
        </w:rPr>
        <w:t>“</w:t>
      </w:r>
      <w:r w:rsidRPr="00A64BDD">
        <w:rPr>
          <w:rFonts w:ascii="AGaramond" w:hAnsi="AGaramond" w:cs="Arial"/>
          <w:sz w:val="22"/>
          <w:szCs w:val="22"/>
        </w:rPr>
        <w:t>muy pocas salidas</w:t>
      </w:r>
      <w:r w:rsidR="00A64BDD" w:rsidRPr="00A64BDD">
        <w:rPr>
          <w:rFonts w:ascii="AGaramond" w:hAnsi="AGaramond" w:cs="Arial"/>
          <w:sz w:val="22"/>
          <w:szCs w:val="22"/>
        </w:rPr>
        <w:t>”</w:t>
      </w:r>
      <w:r w:rsidRPr="00A64BDD">
        <w:rPr>
          <w:rFonts w:ascii="AGaramond" w:hAnsi="AGaramond" w:cs="Arial"/>
          <w:sz w:val="22"/>
          <w:szCs w:val="22"/>
        </w:rPr>
        <w:t>, desde las perspectivas del diseño institucional)</w:t>
      </w:r>
      <w:r w:rsidR="00A64BDD" w:rsidRPr="00A64BDD">
        <w:rPr>
          <w:rFonts w:ascii="AGaramond" w:hAnsi="AGaramond" w:cs="Arial"/>
          <w:sz w:val="22"/>
          <w:szCs w:val="22"/>
        </w:rPr>
        <w:t>.</w:t>
      </w:r>
    </w:p>
    <w:p w14:paraId="1614F38C" w14:textId="77777777" w:rsidR="00937DC4" w:rsidRPr="007C60A7" w:rsidRDefault="00937DC4" w:rsidP="00937DC4">
      <w:pPr>
        <w:pStyle w:val="Ttulo2"/>
        <w:spacing w:after="240"/>
        <w:rPr>
          <w:rFonts w:ascii="AGaramond" w:hAnsi="AGaramond" w:cs="Arial"/>
          <w:b w:val="0"/>
          <w:bCs w:val="0"/>
          <w:i/>
          <w:iCs/>
          <w:color w:val="auto"/>
          <w:sz w:val="24"/>
          <w:szCs w:val="24"/>
        </w:rPr>
      </w:pPr>
      <w:r w:rsidRPr="007C60A7">
        <w:rPr>
          <w:rFonts w:ascii="AGaramond" w:hAnsi="AGaramond" w:cs="Arial"/>
          <w:b w:val="0"/>
          <w:bCs w:val="0"/>
          <w:i/>
          <w:iCs/>
          <w:color w:val="auto"/>
          <w:sz w:val="24"/>
          <w:szCs w:val="24"/>
        </w:rPr>
        <w:t>Dimensión individual</w:t>
      </w:r>
    </w:p>
    <w:p w14:paraId="3CCFF32A" w14:textId="6E1B4BCE" w:rsidR="00937DC4" w:rsidRPr="007C60A7" w:rsidRDefault="00937DC4" w:rsidP="007C60A7">
      <w:pPr>
        <w:spacing w:after="240" w:line="360" w:lineRule="auto"/>
        <w:ind w:firstLine="284"/>
        <w:jc w:val="both"/>
        <w:rPr>
          <w:rFonts w:ascii="AGaramond" w:hAnsi="AGaramond" w:cs="Arial"/>
          <w:sz w:val="22"/>
          <w:szCs w:val="22"/>
        </w:rPr>
      </w:pPr>
      <w:r w:rsidRPr="007C60A7">
        <w:rPr>
          <w:rFonts w:ascii="AGaramond" w:hAnsi="AGaramond" w:cs="Arial"/>
          <w:sz w:val="22"/>
          <w:szCs w:val="22"/>
        </w:rPr>
        <w:t xml:space="preserve">Supóngase que un agente es elegido para un alto cargo público dentro de un régimen político electoral (la alternabilidad en el poder de las diferentes organizaciones, </w:t>
      </w:r>
      <w:r w:rsidRPr="007C60A7">
        <w:rPr>
          <w:rFonts w:ascii="AGaramond" w:hAnsi="AGaramond" w:cs="Arial"/>
          <w:i/>
          <w:iCs/>
          <w:sz w:val="22"/>
          <w:szCs w:val="22"/>
        </w:rPr>
        <w:t>i.</w:t>
      </w:r>
      <w:r w:rsidR="007C60A7" w:rsidRPr="007C60A7">
        <w:rPr>
          <w:rFonts w:ascii="AGaramond" w:hAnsi="AGaramond" w:cs="Arial"/>
          <w:i/>
          <w:iCs/>
          <w:sz w:val="22"/>
          <w:szCs w:val="22"/>
        </w:rPr>
        <w:t xml:space="preserve"> </w:t>
      </w:r>
      <w:r w:rsidRPr="007C60A7">
        <w:rPr>
          <w:rFonts w:ascii="AGaramond" w:hAnsi="AGaramond" w:cs="Arial"/>
          <w:i/>
          <w:iCs/>
          <w:sz w:val="22"/>
          <w:szCs w:val="22"/>
        </w:rPr>
        <w:t>e.</w:t>
      </w:r>
      <w:r w:rsidRPr="007C60A7">
        <w:rPr>
          <w:rFonts w:ascii="AGaramond" w:hAnsi="AGaramond" w:cs="Arial"/>
          <w:sz w:val="22"/>
          <w:szCs w:val="22"/>
        </w:rPr>
        <w:t>, partidos políticos que compiten por el poder es un rasgo definitorio, aunque no único, de los regímenes democráticos). Asúmase que dicho agente estará encargado de administrar parte de la renta económica de activos no producidos del país (</w:t>
      </w:r>
      <w:r w:rsidR="007C60A7">
        <w:rPr>
          <w:rFonts w:ascii="AGaramond" w:hAnsi="AGaramond" w:cs="Arial"/>
          <w:sz w:val="22"/>
          <w:szCs w:val="22"/>
        </w:rPr>
        <w:t>p. ej.</w:t>
      </w:r>
      <w:r w:rsidRPr="007C60A7">
        <w:rPr>
          <w:rFonts w:ascii="AGaramond" w:hAnsi="AGaramond" w:cs="Arial"/>
          <w:sz w:val="22"/>
          <w:szCs w:val="22"/>
        </w:rPr>
        <w:t>, ingresos petroleros), y tiene certeza</w:t>
      </w:r>
      <w:r w:rsidR="005928DC">
        <w:rPr>
          <w:rFonts w:ascii="AGaramond" w:hAnsi="AGaramond" w:cs="Arial"/>
          <w:sz w:val="22"/>
          <w:szCs w:val="22"/>
        </w:rPr>
        <w:t xml:space="preserve"> de</w:t>
      </w:r>
      <w:r w:rsidRPr="007C60A7">
        <w:rPr>
          <w:rFonts w:ascii="AGaramond" w:hAnsi="AGaramond" w:cs="Arial"/>
          <w:sz w:val="22"/>
          <w:szCs w:val="22"/>
        </w:rPr>
        <w:t xml:space="preserve"> que después de su gestión no podrá optar de nuevo al cargo presente; sin embargo, sus acciones tendrán una repercusión permanente para sí y para la sociedad. Presúmase que:</w:t>
      </w:r>
    </w:p>
    <w:p w14:paraId="10B059AB" w14:textId="77777777" w:rsidR="00937DC4" w:rsidRPr="007C60A7" w:rsidRDefault="00937DC4" w:rsidP="00937DC4">
      <w:pPr>
        <w:pStyle w:val="Prrafodelista"/>
        <w:numPr>
          <w:ilvl w:val="0"/>
          <w:numId w:val="36"/>
        </w:numPr>
        <w:spacing w:line="360" w:lineRule="auto"/>
        <w:jc w:val="both"/>
        <w:rPr>
          <w:rFonts w:ascii="AGaramond" w:hAnsi="AGaramond" w:cs="Arial"/>
        </w:rPr>
      </w:pPr>
      <w:r w:rsidRPr="007C60A7">
        <w:rPr>
          <w:rFonts w:ascii="AGaramond" w:hAnsi="AGaramond" w:cs="Arial"/>
        </w:rPr>
        <w:t>El agente sabe que tiene un límite temporal máximo en el cargo y tiene una certeza contractual de que, después del término de su gestión, sería compensado por un flujo constante de ingresos equivalente a su remuneración actual;</w:t>
      </w:r>
    </w:p>
    <w:p w14:paraId="586CAC91" w14:textId="70E3C611" w:rsidR="00937DC4" w:rsidRPr="007C60A7" w:rsidRDefault="007C60A7" w:rsidP="00937DC4">
      <w:pPr>
        <w:pStyle w:val="Prrafodelista"/>
        <w:numPr>
          <w:ilvl w:val="0"/>
          <w:numId w:val="36"/>
        </w:numPr>
        <w:spacing w:line="360" w:lineRule="auto"/>
        <w:jc w:val="both"/>
        <w:rPr>
          <w:rFonts w:ascii="AGaramond" w:hAnsi="AGaramond" w:cs="Arial"/>
        </w:rPr>
      </w:pPr>
      <w:r>
        <w:rPr>
          <w:rFonts w:ascii="AGaramond" w:hAnsi="AGaramond" w:cs="Arial"/>
        </w:rPr>
        <w:t>t</w:t>
      </w:r>
      <w:r w:rsidR="00937DC4" w:rsidRPr="007C60A7">
        <w:rPr>
          <w:rFonts w:ascii="AGaramond" w:hAnsi="AGaramond" w:cs="Arial"/>
        </w:rPr>
        <w:t xml:space="preserve">iene la posibilidad de apropiarse en tiempo presente de una cantidad de recursos públicos, </w:t>
      </w:r>
      <m:oMath>
        <m:r>
          <m:rPr>
            <m:sty m:val="bi"/>
          </m:rPr>
          <w:rPr>
            <w:rFonts w:ascii="Cambria Math" w:hAnsi="Cambria Math" w:cs="Arial"/>
          </w:rPr>
          <m:t>M</m:t>
        </m:r>
      </m:oMath>
      <w:r w:rsidR="00937DC4" w:rsidRPr="007C60A7">
        <w:rPr>
          <w:rFonts w:ascii="AGaramond" w:hAnsi="AGaramond" w:cs="Arial"/>
        </w:rPr>
        <w:t xml:space="preserve">; </w:t>
      </w:r>
    </w:p>
    <w:p w14:paraId="5C252066" w14:textId="400D5B8C" w:rsidR="00937DC4" w:rsidRPr="007C60A7" w:rsidRDefault="007C60A7" w:rsidP="00937DC4">
      <w:pPr>
        <w:pStyle w:val="Prrafodelista"/>
        <w:numPr>
          <w:ilvl w:val="0"/>
          <w:numId w:val="36"/>
        </w:numPr>
        <w:spacing w:line="360" w:lineRule="auto"/>
        <w:jc w:val="both"/>
        <w:rPr>
          <w:rFonts w:ascii="AGaramond" w:hAnsi="AGaramond" w:cs="Arial"/>
        </w:rPr>
      </w:pPr>
      <w:r>
        <w:rPr>
          <w:rFonts w:ascii="AGaramond" w:hAnsi="AGaramond" w:cs="Arial"/>
        </w:rPr>
        <w:t>e</w:t>
      </w:r>
      <w:r w:rsidR="00937DC4" w:rsidRPr="007C60A7">
        <w:rPr>
          <w:rFonts w:ascii="AGaramond" w:hAnsi="AGaramond" w:cs="Arial"/>
        </w:rPr>
        <w:t xml:space="preserve">n caso de un manejo ilícito de recursos públicos, corre el riesgo de ser penalizado con años de cárcel y daños reputacionales equivalente a una cantidad fija de dinero, </w:t>
      </w:r>
      <m:oMath>
        <m:r>
          <m:rPr>
            <m:sty m:val="bi"/>
          </m:rPr>
          <w:rPr>
            <w:rFonts w:ascii="Cambria Math" w:hAnsi="Cambria Math" w:cs="Arial"/>
          </w:rPr>
          <m:t>P</m:t>
        </m:r>
      </m:oMath>
      <w:r w:rsidR="00937DC4" w:rsidRPr="007C60A7">
        <w:rPr>
          <w:rFonts w:ascii="AGaramond" w:eastAsiaTheme="minorEastAsia" w:hAnsi="AGaramond" w:cs="Arial"/>
          <w:bCs/>
        </w:rPr>
        <w:t>,</w:t>
      </w:r>
      <w:r w:rsidR="00937DC4" w:rsidRPr="007C60A7">
        <w:rPr>
          <w:rFonts w:ascii="AGaramond" w:hAnsi="AGaramond" w:cs="Arial"/>
        </w:rPr>
        <w:t xml:space="preserve"> que tuviese que erogar, la cual se mantiene en el tiempo, y cuya ocurrencia está afectada por la transparencia y operatividad de la administración pública y del sistema de justicia</w:t>
      </w:r>
      <w:r>
        <w:rPr>
          <w:rFonts w:ascii="Times New Roman" w:hAnsi="Times New Roman" w:cs="Times New Roman"/>
        </w:rPr>
        <w:t xml:space="preserve"> –</w:t>
      </w:r>
      <w:r w:rsidR="00937DC4" w:rsidRPr="007C60A7">
        <w:rPr>
          <w:rFonts w:ascii="AGaramond" w:hAnsi="AGaramond" w:cs="Arial"/>
        </w:rPr>
        <w:t xml:space="preserve">por ejemplo, una elasticidad </w:t>
      </w:r>
      <m:oMath>
        <m:r>
          <m:rPr>
            <m:sty m:val="bi"/>
          </m:rPr>
          <w:rPr>
            <w:rFonts w:ascii="Cambria Math" w:hAnsi="Cambria Math" w:cs="Arial"/>
          </w:rPr>
          <m:t>γ</m:t>
        </m:r>
      </m:oMath>
      <w:r w:rsidR="00937DC4" w:rsidRPr="007C60A7">
        <w:rPr>
          <w:rFonts w:ascii="AGaramond" w:hAnsi="AGaramond" w:cs="Arial"/>
        </w:rPr>
        <w:t xml:space="preserve"> con valores entre cero y uno</w:t>
      </w:r>
      <w:r>
        <w:rPr>
          <w:rFonts w:ascii="AGaramond" w:hAnsi="AGaramond" w:cs="Arial"/>
        </w:rPr>
        <w:t>–</w:t>
      </w:r>
      <w:r w:rsidR="00937DC4" w:rsidRPr="007C60A7">
        <w:rPr>
          <w:rFonts w:ascii="AGaramond" w:hAnsi="AGaramond" w:cs="Arial"/>
        </w:rPr>
        <w:t xml:space="preserve">; </w:t>
      </w:r>
    </w:p>
    <w:p w14:paraId="1758CE36" w14:textId="1F5D008F" w:rsidR="00937DC4" w:rsidRPr="007C60A7" w:rsidRDefault="007C60A7" w:rsidP="00937DC4">
      <w:pPr>
        <w:pStyle w:val="Prrafodelista"/>
        <w:numPr>
          <w:ilvl w:val="0"/>
          <w:numId w:val="36"/>
        </w:numPr>
        <w:spacing w:line="360" w:lineRule="auto"/>
        <w:jc w:val="both"/>
        <w:rPr>
          <w:rFonts w:ascii="AGaramond" w:hAnsi="AGaramond" w:cs="Arial"/>
        </w:rPr>
      </w:pPr>
      <w:r>
        <w:rPr>
          <w:rFonts w:ascii="AGaramond" w:hAnsi="AGaramond" w:cs="Arial"/>
        </w:rPr>
        <w:t>c</w:t>
      </w:r>
      <w:r w:rsidR="00937DC4" w:rsidRPr="007C60A7">
        <w:rPr>
          <w:rFonts w:ascii="AGaramond" w:hAnsi="AGaramond" w:cs="Arial"/>
        </w:rPr>
        <w:t xml:space="preserve">omo contraparte, un manejo probo de recursos, le daría en el tiempo corriente una cantidad de recursos </w:t>
      </w:r>
      <m:oMath>
        <m:r>
          <m:rPr>
            <m:sty m:val="bi"/>
          </m:rPr>
          <w:rPr>
            <w:rFonts w:ascii="Cambria Math" w:hAnsi="Cambria Math" w:cs="Arial"/>
          </w:rPr>
          <m:t>I</m:t>
        </m:r>
      </m:oMath>
      <w:r w:rsidR="00937DC4" w:rsidRPr="007C60A7">
        <w:rPr>
          <w:rFonts w:ascii="AGaramond" w:hAnsi="AGaramond" w:cs="Arial"/>
        </w:rPr>
        <w:t>, el cual se mantiene constante en el tiempo.</w:t>
      </w:r>
    </w:p>
    <w:p w14:paraId="44EBA956" w14:textId="69D1583E" w:rsidR="00937DC4" w:rsidRPr="007C60A7" w:rsidRDefault="00937DC4" w:rsidP="007C60A7">
      <w:pPr>
        <w:spacing w:after="240" w:line="360" w:lineRule="auto"/>
        <w:ind w:firstLine="284"/>
        <w:jc w:val="both"/>
        <w:rPr>
          <w:rFonts w:ascii="AGaramond" w:hAnsi="AGaramond" w:cs="Arial"/>
          <w:sz w:val="22"/>
          <w:szCs w:val="22"/>
          <w:lang w:val="es-BO"/>
        </w:rPr>
      </w:pPr>
      <w:r w:rsidRPr="007C60A7">
        <w:rPr>
          <w:rFonts w:ascii="AGaramond" w:hAnsi="AGaramond" w:cs="Arial"/>
          <w:sz w:val="22"/>
          <w:szCs w:val="22"/>
        </w:rPr>
        <w:t xml:space="preserve">Desde el punto del valor presente de las compensaciones y penalizaciones, las acciones a favor de la sociedad (deontológicamente, el manejo probo de recursos) de este agente dependerán de su tasa subjetiva futura de descuento, </w:t>
      </w:r>
      <m:oMath>
        <m:r>
          <m:rPr>
            <m:sty m:val="bi"/>
          </m:rPr>
          <w:rPr>
            <w:rFonts w:ascii="Cambria Math" w:hAnsi="Cambria Math" w:cs="Arial"/>
            <w:sz w:val="22"/>
            <w:szCs w:val="22"/>
          </w:rPr>
          <m:t>r</m:t>
        </m:r>
      </m:oMath>
      <w:r w:rsidRPr="007C60A7">
        <w:rPr>
          <w:rFonts w:ascii="AGaramond" w:eastAsiaTheme="minorEastAsia" w:hAnsi="AGaramond" w:cs="Arial"/>
          <w:sz w:val="22"/>
          <w:szCs w:val="22"/>
        </w:rPr>
        <w:t>,</w:t>
      </w:r>
      <w:r w:rsidRPr="007C60A7">
        <w:rPr>
          <w:rFonts w:ascii="AGaramond" w:hAnsi="AGaramond" w:cs="Arial"/>
          <w:sz w:val="22"/>
          <w:szCs w:val="22"/>
        </w:rPr>
        <w:t xml:space="preserve"> teniendo también en consideración, en tiempo presente: la compensación por la gestión proba de recursos; la cantidad de recursos públicos susceptibles de apropiación privada; el monto monetario equivalente de la penalización; </w:t>
      </w:r>
      <w:r w:rsidRPr="007C60A7">
        <w:rPr>
          <w:rFonts w:ascii="AGaramond" w:hAnsi="AGaramond" w:cs="Arial"/>
          <w:sz w:val="22"/>
          <w:szCs w:val="22"/>
        </w:rPr>
        <w:lastRenderedPageBreak/>
        <w:t xml:space="preserve">y la transparencia de la administración pública y la efectividad del sistema administrativo y judicial, (parámetro </w:t>
      </w:r>
      <w:r w:rsidRPr="007C60A7">
        <w:rPr>
          <w:rFonts w:ascii="AGaramond" w:hAnsi="AGaramond" w:cs="Arial"/>
          <w:i/>
          <w:iCs/>
          <w:sz w:val="22"/>
          <w:szCs w:val="22"/>
        </w:rPr>
        <w:t>gamma</w:t>
      </w:r>
      <w:r w:rsidRPr="007C60A7">
        <w:rPr>
          <w:rFonts w:ascii="AGaramond" w:hAnsi="AGaramond" w:cs="Arial"/>
          <w:sz w:val="22"/>
          <w:szCs w:val="22"/>
        </w:rPr>
        <w:t xml:space="preserve">). </w:t>
      </w:r>
      <w:r w:rsidRPr="007C60A7">
        <w:rPr>
          <w:rFonts w:ascii="AGaramond" w:hAnsi="AGaramond" w:cs="Arial"/>
          <w:sz w:val="22"/>
          <w:szCs w:val="22"/>
          <w:lang w:val="es-BO"/>
        </w:rPr>
        <w:t>Algebraicamente:</w:t>
      </w:r>
    </w:p>
    <w:p w14:paraId="1FCC192B" w14:textId="77777777" w:rsidR="00937DC4" w:rsidRPr="007C60A7" w:rsidRDefault="00937DC4" w:rsidP="00937DC4">
      <w:pPr>
        <w:pStyle w:val="Prrafodelista"/>
        <w:numPr>
          <w:ilvl w:val="0"/>
          <w:numId w:val="37"/>
        </w:numPr>
        <w:spacing w:line="360" w:lineRule="auto"/>
        <w:jc w:val="both"/>
        <w:rPr>
          <w:rFonts w:ascii="AGaramond" w:eastAsiaTheme="minorEastAsia" w:hAnsi="AGaramond" w:cs="Arial"/>
        </w:rPr>
      </w:pPr>
      <m:oMath>
        <m:r>
          <w:rPr>
            <w:rFonts w:ascii="Cambria Math" w:hAnsi="Cambria Math" w:cs="Arial"/>
          </w:rPr>
          <m:t>I+</m:t>
        </m:r>
        <m:f>
          <m:fPr>
            <m:ctrlPr>
              <w:rPr>
                <w:rFonts w:ascii="Cambria Math" w:hAnsi="Cambria Math" w:cs="Arial"/>
                <w:i/>
              </w:rPr>
            </m:ctrlPr>
          </m:fPr>
          <m:num>
            <m:r>
              <w:rPr>
                <w:rFonts w:ascii="Cambria Math" w:hAnsi="Cambria Math" w:cs="Arial"/>
              </w:rPr>
              <m:t>I</m:t>
            </m:r>
          </m:num>
          <m:den>
            <m:r>
              <w:rPr>
                <w:rFonts w:ascii="Cambria Math" w:hAnsi="Cambria Math" w:cs="Arial"/>
              </w:rPr>
              <m:t>r</m:t>
            </m:r>
          </m:den>
        </m:f>
        <m:r>
          <w:rPr>
            <w:rFonts w:ascii="Cambria Math" w:hAnsi="Cambria Math" w:cs="Arial"/>
          </w:rPr>
          <m:t>&gt;M-</m:t>
        </m:r>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P</m:t>
                </m:r>
              </m:e>
              <m:sup>
                <m:r>
                  <w:rPr>
                    <w:rFonts w:ascii="Cambria Math" w:hAnsi="Cambria Math" w:cs="Arial"/>
                  </w:rPr>
                  <m:t>γ</m:t>
                </m:r>
              </m:sup>
            </m:sSup>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P</m:t>
                    </m:r>
                  </m:e>
                  <m:sup>
                    <m:r>
                      <w:rPr>
                        <w:rFonts w:ascii="Cambria Math" w:hAnsi="Cambria Math" w:cs="Arial"/>
                      </w:rPr>
                      <m:t>γ</m:t>
                    </m:r>
                  </m:sup>
                </m:sSup>
              </m:num>
              <m:den>
                <m:r>
                  <w:rPr>
                    <w:rFonts w:ascii="Cambria Math" w:hAnsi="Cambria Math" w:cs="Arial"/>
                  </w:rPr>
                  <m:t>r</m:t>
                </m:r>
              </m:den>
            </m:f>
          </m:e>
        </m:d>
        <m:r>
          <w:rPr>
            <w:rFonts w:ascii="Cambria Math" w:hAnsi="Cambria Math" w:cs="Arial"/>
          </w:rPr>
          <m:t>⇔r&lt;</m:t>
        </m:r>
        <m:f>
          <m:fPr>
            <m:ctrlPr>
              <w:rPr>
                <w:rFonts w:ascii="Cambria Math" w:hAnsi="Cambria Math" w:cs="Arial"/>
                <w:i/>
              </w:rPr>
            </m:ctrlPr>
          </m:fPr>
          <m:num>
            <m:r>
              <w:rPr>
                <w:rFonts w:ascii="Cambria Math" w:hAnsi="Cambria Math" w:cs="Arial"/>
              </w:rPr>
              <m:t>I+</m:t>
            </m:r>
            <m:sSup>
              <m:sSupPr>
                <m:ctrlPr>
                  <w:rPr>
                    <w:rFonts w:ascii="Cambria Math" w:hAnsi="Cambria Math" w:cs="Arial"/>
                    <w:i/>
                  </w:rPr>
                </m:ctrlPr>
              </m:sSupPr>
              <m:e>
                <m:r>
                  <w:rPr>
                    <w:rFonts w:ascii="Cambria Math" w:hAnsi="Cambria Math" w:cs="Arial"/>
                  </w:rPr>
                  <m:t>P</m:t>
                </m:r>
              </m:e>
              <m:sup>
                <m:r>
                  <w:rPr>
                    <w:rFonts w:ascii="Cambria Math" w:hAnsi="Cambria Math" w:cs="Arial"/>
                  </w:rPr>
                  <m:t>γ</m:t>
                </m:r>
              </m:sup>
            </m:sSup>
          </m:num>
          <m:den>
            <m:d>
              <m:dPr>
                <m:ctrlPr>
                  <w:rPr>
                    <w:rFonts w:ascii="Cambria Math" w:hAnsi="Cambria Math" w:cs="Arial"/>
                    <w:i/>
                  </w:rPr>
                </m:ctrlPr>
              </m:dPr>
              <m:e>
                <m:r>
                  <w:rPr>
                    <w:rFonts w:ascii="Cambria Math" w:hAnsi="Cambria Math" w:cs="Arial"/>
                  </w:rPr>
                  <m:t>M-</m:t>
                </m:r>
                <m:sSup>
                  <m:sSupPr>
                    <m:ctrlPr>
                      <w:rPr>
                        <w:rFonts w:ascii="Cambria Math" w:hAnsi="Cambria Math" w:cs="Arial"/>
                        <w:i/>
                      </w:rPr>
                    </m:ctrlPr>
                  </m:sSupPr>
                  <m:e>
                    <m:r>
                      <w:rPr>
                        <w:rFonts w:ascii="Cambria Math" w:hAnsi="Cambria Math" w:cs="Arial"/>
                      </w:rPr>
                      <m:t>P</m:t>
                    </m:r>
                  </m:e>
                  <m:sup>
                    <m:r>
                      <w:rPr>
                        <w:rFonts w:ascii="Cambria Math" w:hAnsi="Cambria Math" w:cs="Arial"/>
                      </w:rPr>
                      <m:t>γ</m:t>
                    </m:r>
                  </m:sup>
                </m:sSup>
              </m:e>
            </m:d>
            <m:r>
              <w:rPr>
                <w:rFonts w:ascii="Cambria Math" w:hAnsi="Cambria Math" w:cs="Arial"/>
              </w:rPr>
              <m:t>-I</m:t>
            </m:r>
          </m:den>
        </m:f>
      </m:oMath>
    </w:p>
    <w:p w14:paraId="73EE40B0" w14:textId="051A303C" w:rsidR="00937DC4" w:rsidRPr="007C60A7" w:rsidRDefault="00937DC4" w:rsidP="00AC2EE3">
      <w:pPr>
        <w:spacing w:after="240" w:line="360" w:lineRule="auto"/>
        <w:ind w:firstLine="284"/>
        <w:jc w:val="both"/>
        <w:rPr>
          <w:rFonts w:ascii="AGaramond" w:eastAsiaTheme="minorEastAsia" w:hAnsi="AGaramond" w:cs="Arial"/>
          <w:sz w:val="22"/>
          <w:szCs w:val="22"/>
        </w:rPr>
      </w:pPr>
      <w:r w:rsidRPr="007C60A7">
        <w:rPr>
          <w:rFonts w:ascii="AGaramond" w:hAnsi="AGaramond" w:cs="Arial"/>
          <w:sz w:val="22"/>
          <w:szCs w:val="22"/>
        </w:rPr>
        <w:t xml:space="preserve">La interpretación de este resultado es notable: en la medida que los recursos a administrar son cuantiosos </w:t>
      </w:r>
      <w:r w:rsidRPr="007C60A7">
        <w:rPr>
          <w:rFonts w:ascii="AGaramond" w:eastAsiaTheme="minorEastAsia" w:hAnsi="AGaramond" w:cs="Arial"/>
          <w:sz w:val="22"/>
          <w:szCs w:val="22"/>
        </w:rPr>
        <w:t>(</w:t>
      </w:r>
      <m:oMath>
        <m:r>
          <m:rPr>
            <m:sty m:val="bi"/>
          </m:rPr>
          <w:rPr>
            <w:rFonts w:ascii="Cambria Math" w:hAnsi="Cambria Math" w:cs="Arial"/>
            <w:sz w:val="22"/>
            <w:szCs w:val="22"/>
          </w:rPr>
          <m:t>M</m:t>
        </m:r>
      </m:oMath>
      <w:r w:rsidRPr="007C60A7">
        <w:rPr>
          <w:rFonts w:ascii="AGaramond" w:eastAsiaTheme="minorEastAsia" w:hAnsi="AGaramond" w:cs="Arial"/>
          <w:sz w:val="22"/>
          <w:szCs w:val="22"/>
        </w:rPr>
        <w:t xml:space="preserve"> es grande), menores son los incentivos para un manejo alineado con los intereses de la sociedad</w:t>
      </w:r>
      <w:r w:rsidRPr="007C60A7">
        <w:rPr>
          <w:rStyle w:val="Refdenotaalpie"/>
          <w:rFonts w:ascii="AGaramond" w:eastAsiaTheme="minorEastAsia" w:hAnsi="AGaramond" w:cs="Arial"/>
          <w:sz w:val="22"/>
          <w:szCs w:val="22"/>
        </w:rPr>
        <w:footnoteReference w:id="15"/>
      </w:r>
      <w:r w:rsidRPr="007C60A7">
        <w:rPr>
          <w:rFonts w:ascii="AGaramond" w:eastAsiaTheme="minorEastAsia" w:hAnsi="AGaramond" w:cs="Arial"/>
          <w:sz w:val="22"/>
          <w:szCs w:val="22"/>
        </w:rPr>
        <w:t xml:space="preserve">. (La tasa de descuento sería exigentemente baja para el buen comportamiento del funcionario público: una excepción, </w:t>
      </w:r>
      <w:proofErr w:type="gramStart"/>
      <w:r w:rsidRPr="007C60A7">
        <w:rPr>
          <w:rFonts w:ascii="AGaramond" w:eastAsiaTheme="minorEastAsia" w:hAnsi="AGaramond" w:cs="Arial"/>
          <w:sz w:val="22"/>
          <w:szCs w:val="22"/>
        </w:rPr>
        <w:t>de acuerdo a</w:t>
      </w:r>
      <w:proofErr w:type="gramEnd"/>
      <w:r w:rsidRPr="007C60A7">
        <w:rPr>
          <w:rFonts w:ascii="AGaramond" w:eastAsiaTheme="minorEastAsia" w:hAnsi="AGaramond" w:cs="Arial"/>
          <w:sz w:val="22"/>
          <w:szCs w:val="22"/>
        </w:rPr>
        <w:t xml:space="preserve"> Gonzalo Barrios). De hecho, todo lo demás constante, la tasa de variación de </w:t>
      </w:r>
      <m:oMath>
        <m:r>
          <m:rPr>
            <m:sty m:val="bi"/>
          </m:rPr>
          <w:rPr>
            <w:rFonts w:ascii="Cambria Math" w:eastAsiaTheme="minorEastAsia" w:hAnsi="Cambria Math" w:cs="Arial"/>
            <w:sz w:val="22"/>
            <w:szCs w:val="22"/>
          </w:rPr>
          <m:t>r</m:t>
        </m:r>
      </m:oMath>
      <w:r w:rsidRPr="007C60A7">
        <w:rPr>
          <w:rFonts w:ascii="AGaramond" w:eastAsiaTheme="minorEastAsia" w:hAnsi="AGaramond" w:cs="Arial"/>
          <w:sz w:val="22"/>
          <w:szCs w:val="22"/>
        </w:rPr>
        <w:t xml:space="preserve"> respecto de </w:t>
      </w:r>
      <m:oMath>
        <m:r>
          <m:rPr>
            <m:sty m:val="bi"/>
          </m:rPr>
          <w:rPr>
            <w:rFonts w:ascii="Cambria Math" w:eastAsiaTheme="minorEastAsia" w:hAnsi="Cambria Math" w:cs="Arial"/>
            <w:sz w:val="22"/>
            <w:szCs w:val="22"/>
          </w:rPr>
          <m:t>M</m:t>
        </m:r>
      </m:oMath>
      <w:r w:rsidRPr="007C60A7">
        <w:rPr>
          <w:rFonts w:ascii="AGaramond" w:eastAsiaTheme="minorEastAsia" w:hAnsi="AGaramond" w:cs="Arial"/>
          <w:sz w:val="22"/>
          <w:szCs w:val="22"/>
        </w:rPr>
        <w:t xml:space="preserve"> es decreciente</w:t>
      </w:r>
      <w:r w:rsidRPr="007C60A7">
        <w:rPr>
          <w:rStyle w:val="Refdenotaalpie"/>
          <w:rFonts w:ascii="AGaramond" w:eastAsiaTheme="minorEastAsia" w:hAnsi="AGaramond" w:cs="Arial"/>
          <w:sz w:val="22"/>
          <w:szCs w:val="22"/>
        </w:rPr>
        <w:footnoteReference w:id="16"/>
      </w:r>
      <w:r w:rsidRPr="007C60A7">
        <w:rPr>
          <w:rFonts w:ascii="AGaramond" w:eastAsiaTheme="minorEastAsia" w:hAnsi="AGaramond" w:cs="Arial"/>
          <w:sz w:val="22"/>
          <w:szCs w:val="22"/>
        </w:rPr>
        <w:t xml:space="preserve"> (ver Simulación 1 en el </w:t>
      </w:r>
      <w:r w:rsidRPr="007C60A7">
        <w:rPr>
          <w:rFonts w:ascii="AGaramond" w:eastAsiaTheme="minorEastAsia" w:hAnsi="AGaramond" w:cs="Arial"/>
          <w:sz w:val="22"/>
          <w:szCs w:val="22"/>
        </w:rPr>
        <w:fldChar w:fldCharType="begin"/>
      </w:r>
      <w:r w:rsidRPr="007C60A7">
        <w:rPr>
          <w:rFonts w:ascii="AGaramond" w:eastAsiaTheme="minorEastAsia" w:hAnsi="AGaramond" w:cs="Arial"/>
          <w:sz w:val="22"/>
          <w:szCs w:val="22"/>
        </w:rPr>
        <w:instrText xml:space="preserve"> REF _Ref78263177 \h  \* MERGEFORMAT </w:instrText>
      </w:r>
      <w:r w:rsidRPr="007C60A7">
        <w:rPr>
          <w:rFonts w:ascii="AGaramond" w:eastAsiaTheme="minorEastAsia" w:hAnsi="AGaramond" w:cs="Arial"/>
          <w:sz w:val="22"/>
          <w:szCs w:val="22"/>
        </w:rPr>
      </w:r>
      <w:r w:rsidRPr="007C60A7">
        <w:rPr>
          <w:rFonts w:ascii="AGaramond" w:eastAsiaTheme="minorEastAsia" w:hAnsi="AGaramond" w:cs="Arial"/>
          <w:sz w:val="22"/>
          <w:szCs w:val="22"/>
        </w:rPr>
        <w:fldChar w:fldCharType="separate"/>
      </w:r>
      <w:r w:rsidR="008076E6" w:rsidRPr="008076E6">
        <w:rPr>
          <w:rFonts w:ascii="AGaramond" w:hAnsi="AGaramond" w:cs="Arial"/>
          <w:sz w:val="22"/>
          <w:szCs w:val="22"/>
        </w:rPr>
        <w:t>APÉNDICE</w:t>
      </w:r>
      <w:r w:rsidRPr="007C60A7">
        <w:rPr>
          <w:rFonts w:ascii="AGaramond" w:eastAsiaTheme="minorEastAsia" w:hAnsi="AGaramond" w:cs="Arial"/>
          <w:sz w:val="22"/>
          <w:szCs w:val="22"/>
        </w:rPr>
        <w:fldChar w:fldCharType="end"/>
      </w:r>
      <w:r w:rsidRPr="007C60A7">
        <w:rPr>
          <w:rFonts w:ascii="AGaramond" w:eastAsiaTheme="minorEastAsia" w:hAnsi="AGaramond" w:cs="Arial"/>
          <w:sz w:val="22"/>
          <w:szCs w:val="22"/>
        </w:rPr>
        <w:t xml:space="preserve">), lo cual significa que la remuneración del funcionario, </w:t>
      </w:r>
      <m:oMath>
        <m:r>
          <m:rPr>
            <m:sty m:val="bi"/>
          </m:rPr>
          <w:rPr>
            <w:rFonts w:ascii="Cambria Math" w:eastAsiaTheme="minorEastAsia" w:hAnsi="Cambria Math" w:cs="Arial"/>
            <w:sz w:val="22"/>
            <w:szCs w:val="22"/>
          </w:rPr>
          <m:t>I</m:t>
        </m:r>
      </m:oMath>
      <w:r w:rsidRPr="007C60A7">
        <w:rPr>
          <w:rFonts w:ascii="AGaramond" w:eastAsiaTheme="minorEastAsia" w:hAnsi="AGaramond" w:cs="Arial"/>
          <w:sz w:val="22"/>
          <w:szCs w:val="22"/>
        </w:rPr>
        <w:t xml:space="preserve">, el grado de penalización, </w:t>
      </w:r>
      <m:oMath>
        <m:r>
          <m:rPr>
            <m:sty m:val="bi"/>
          </m:rPr>
          <w:rPr>
            <w:rFonts w:ascii="Cambria Math" w:eastAsiaTheme="minorEastAsia" w:hAnsi="Cambria Math" w:cs="Arial"/>
            <w:sz w:val="22"/>
            <w:szCs w:val="22"/>
          </w:rPr>
          <m:t>P</m:t>
        </m:r>
      </m:oMath>
      <w:r w:rsidRPr="007C60A7">
        <w:rPr>
          <w:rFonts w:ascii="AGaramond" w:eastAsiaTheme="minorEastAsia" w:hAnsi="AGaramond" w:cs="Arial"/>
          <w:sz w:val="22"/>
          <w:szCs w:val="22"/>
        </w:rPr>
        <w:t xml:space="preserve">, y de transparencia y eficacia, </w:t>
      </w:r>
      <m:oMath>
        <m:r>
          <m:rPr>
            <m:sty m:val="bi"/>
          </m:rPr>
          <w:rPr>
            <w:rFonts w:ascii="Cambria Math" w:eastAsiaTheme="minorEastAsia" w:hAnsi="Cambria Math" w:cs="Arial"/>
            <w:sz w:val="22"/>
            <w:szCs w:val="22"/>
          </w:rPr>
          <m:t>γ</m:t>
        </m:r>
      </m:oMath>
      <w:r w:rsidRPr="007C60A7">
        <w:rPr>
          <w:rFonts w:ascii="AGaramond" w:eastAsiaTheme="minorEastAsia" w:hAnsi="AGaramond" w:cs="Arial"/>
          <w:b/>
          <w:bCs/>
          <w:sz w:val="22"/>
          <w:szCs w:val="22"/>
        </w:rPr>
        <w:t xml:space="preserve">, </w:t>
      </w:r>
      <w:r w:rsidRPr="007C60A7">
        <w:rPr>
          <w:rFonts w:ascii="AGaramond" w:eastAsiaTheme="minorEastAsia" w:hAnsi="AGaramond" w:cs="Arial"/>
          <w:sz w:val="22"/>
          <w:szCs w:val="22"/>
        </w:rPr>
        <w:t xml:space="preserve">deberían aumentar en la medida que el volumen de recursos públicos se incrementa para así desincentivar actos ilícitos. </w:t>
      </w:r>
    </w:p>
    <w:p w14:paraId="16349760" w14:textId="669AEA3E" w:rsidR="00937DC4" w:rsidRPr="007C60A7" w:rsidRDefault="00937DC4" w:rsidP="00AC2EE3">
      <w:pPr>
        <w:spacing w:after="240" w:line="360" w:lineRule="auto"/>
        <w:ind w:firstLine="284"/>
        <w:jc w:val="both"/>
        <w:rPr>
          <w:rFonts w:ascii="AGaramond" w:eastAsiaTheme="minorEastAsia" w:hAnsi="AGaramond" w:cs="Arial"/>
          <w:bCs/>
          <w:sz w:val="22"/>
          <w:szCs w:val="22"/>
        </w:rPr>
      </w:pPr>
      <w:r w:rsidRPr="007C60A7">
        <w:rPr>
          <w:rFonts w:ascii="AGaramond" w:eastAsiaTheme="minorEastAsia" w:hAnsi="AGaramond" w:cs="Arial"/>
          <w:sz w:val="22"/>
          <w:szCs w:val="22"/>
        </w:rPr>
        <w:t xml:space="preserve">Desde una perspectiva histórica, lo expuesto tiene capacidad explicativa en cuánto al surgimiento de casos de corrupción, por ejemplo, en la administración pública en Venezuela a partir la década de los setenta del siglo pasado: </w:t>
      </w:r>
      <w:r w:rsidR="003F4F28">
        <w:rPr>
          <w:rFonts w:ascii="AGaramond" w:eastAsiaTheme="minorEastAsia" w:hAnsi="AGaramond" w:cs="Arial"/>
          <w:sz w:val="22"/>
          <w:szCs w:val="22"/>
        </w:rPr>
        <w:t>l</w:t>
      </w:r>
      <w:r w:rsidRPr="007C60A7">
        <w:rPr>
          <w:rFonts w:ascii="AGaramond" w:eastAsiaTheme="minorEastAsia" w:hAnsi="AGaramond" w:cs="Arial"/>
          <w:sz w:val="22"/>
          <w:szCs w:val="22"/>
        </w:rPr>
        <w:t xml:space="preserve">a </w:t>
      </w:r>
      <w:proofErr w:type="spellStart"/>
      <w:r w:rsidRPr="007C60A7">
        <w:rPr>
          <w:rFonts w:ascii="AGaramond" w:eastAsiaTheme="minorEastAsia" w:hAnsi="AGaramond" w:cs="Arial"/>
          <w:sz w:val="22"/>
          <w:szCs w:val="22"/>
        </w:rPr>
        <w:t>prociclicidad</w:t>
      </w:r>
      <w:proofErr w:type="spellEnd"/>
      <w:r w:rsidRPr="007C60A7">
        <w:rPr>
          <w:rFonts w:ascii="AGaramond" w:eastAsiaTheme="minorEastAsia" w:hAnsi="AGaramond" w:cs="Arial"/>
          <w:sz w:val="22"/>
          <w:szCs w:val="22"/>
        </w:rPr>
        <w:t xml:space="preserve"> fiscal heredada de per</w:t>
      </w:r>
      <w:r w:rsidR="00AC6E9E">
        <w:rPr>
          <w:rFonts w:ascii="AGaramond" w:eastAsiaTheme="minorEastAsia" w:hAnsi="AGaramond" w:cs="Arial"/>
          <w:sz w:val="22"/>
          <w:szCs w:val="22"/>
        </w:rPr>
        <w:t>i</w:t>
      </w:r>
      <w:r w:rsidRPr="007C60A7">
        <w:rPr>
          <w:rFonts w:ascii="AGaramond" w:eastAsiaTheme="minorEastAsia" w:hAnsi="AGaramond" w:cs="Arial"/>
          <w:sz w:val="22"/>
          <w:szCs w:val="22"/>
        </w:rPr>
        <w:t xml:space="preserve">odos previos significó que los choques positivos en los términos de intercambio, </w:t>
      </w:r>
      <w:proofErr w:type="spellStart"/>
      <w:r w:rsidRPr="007C60A7">
        <w:rPr>
          <w:rFonts w:ascii="AGaramond" w:eastAsiaTheme="minorEastAsia" w:hAnsi="AGaramond" w:cs="Arial"/>
          <w:i/>
          <w:iCs/>
          <w:sz w:val="22"/>
          <w:szCs w:val="22"/>
        </w:rPr>
        <w:t>terms</w:t>
      </w:r>
      <w:proofErr w:type="spellEnd"/>
      <w:r w:rsidRPr="007C60A7">
        <w:rPr>
          <w:rFonts w:ascii="AGaramond" w:eastAsiaTheme="minorEastAsia" w:hAnsi="AGaramond" w:cs="Arial"/>
          <w:i/>
          <w:iCs/>
          <w:sz w:val="22"/>
          <w:szCs w:val="22"/>
        </w:rPr>
        <w:t xml:space="preserve"> </w:t>
      </w:r>
      <w:proofErr w:type="spellStart"/>
      <w:r w:rsidRPr="007C60A7">
        <w:rPr>
          <w:rFonts w:ascii="AGaramond" w:eastAsiaTheme="minorEastAsia" w:hAnsi="AGaramond" w:cs="Arial"/>
          <w:i/>
          <w:iCs/>
          <w:sz w:val="22"/>
          <w:szCs w:val="22"/>
        </w:rPr>
        <w:t>of</w:t>
      </w:r>
      <w:proofErr w:type="spellEnd"/>
      <w:r w:rsidRPr="007C60A7">
        <w:rPr>
          <w:rFonts w:ascii="AGaramond" w:eastAsiaTheme="minorEastAsia" w:hAnsi="AGaramond" w:cs="Arial"/>
          <w:i/>
          <w:iCs/>
          <w:sz w:val="22"/>
          <w:szCs w:val="22"/>
        </w:rPr>
        <w:t xml:space="preserve"> </w:t>
      </w:r>
      <w:proofErr w:type="spellStart"/>
      <w:r w:rsidRPr="007C60A7">
        <w:rPr>
          <w:rFonts w:ascii="AGaramond" w:eastAsiaTheme="minorEastAsia" w:hAnsi="AGaramond" w:cs="Arial"/>
          <w:i/>
          <w:iCs/>
          <w:sz w:val="22"/>
          <w:szCs w:val="22"/>
        </w:rPr>
        <w:t>trade</w:t>
      </w:r>
      <w:proofErr w:type="spellEnd"/>
      <w:r w:rsidRPr="007C60A7">
        <w:rPr>
          <w:rFonts w:ascii="AGaramond" w:eastAsiaTheme="minorEastAsia" w:hAnsi="AGaramond" w:cs="Arial"/>
          <w:i/>
          <w:iCs/>
          <w:sz w:val="22"/>
          <w:szCs w:val="22"/>
        </w:rPr>
        <w:t xml:space="preserve"> </w:t>
      </w:r>
      <w:r w:rsidRPr="007C60A7">
        <w:rPr>
          <w:rFonts w:ascii="AGaramond" w:eastAsiaTheme="minorEastAsia" w:hAnsi="AGaramond" w:cs="Arial"/>
          <w:sz w:val="22"/>
          <w:szCs w:val="22"/>
        </w:rPr>
        <w:t>(</w:t>
      </w:r>
      <w:proofErr w:type="spellStart"/>
      <w:r w:rsidRPr="007C60A7">
        <w:rPr>
          <w:rFonts w:ascii="AGaramond" w:eastAsiaTheme="minorEastAsia" w:hAnsi="AGaramond" w:cs="Arial"/>
          <w:sz w:val="22"/>
          <w:szCs w:val="22"/>
        </w:rPr>
        <w:t>ToT</w:t>
      </w:r>
      <w:proofErr w:type="spellEnd"/>
      <w:r w:rsidRPr="007C60A7">
        <w:rPr>
          <w:rFonts w:ascii="AGaramond" w:eastAsiaTheme="minorEastAsia" w:hAnsi="AGaramond" w:cs="Arial"/>
          <w:sz w:val="22"/>
          <w:szCs w:val="22"/>
        </w:rPr>
        <w:t>), se tradujeron en aumentos ingentes del gasto público, y por consiguiente, de la cantidad de recursos fiscales sujeta a apropiación privada (</w:t>
      </w:r>
      <w:r w:rsidRPr="00AC2EE3">
        <w:rPr>
          <w:rFonts w:ascii="AGaramond" w:eastAsiaTheme="minorEastAsia" w:hAnsi="AGaramond" w:cs="Arial"/>
          <w:i/>
          <w:iCs/>
          <w:sz w:val="22"/>
          <w:szCs w:val="22"/>
        </w:rPr>
        <w:t>i.</w:t>
      </w:r>
      <w:r w:rsidR="00AC2EE3" w:rsidRPr="00AC2EE3">
        <w:rPr>
          <w:rFonts w:ascii="AGaramond" w:eastAsiaTheme="minorEastAsia" w:hAnsi="AGaramond" w:cs="Arial"/>
          <w:i/>
          <w:iCs/>
          <w:sz w:val="22"/>
          <w:szCs w:val="22"/>
        </w:rPr>
        <w:t xml:space="preserve"> </w:t>
      </w:r>
      <w:r w:rsidRPr="00AC2EE3">
        <w:rPr>
          <w:rFonts w:ascii="AGaramond" w:eastAsiaTheme="minorEastAsia" w:hAnsi="AGaramond" w:cs="Arial"/>
          <w:i/>
          <w:iCs/>
          <w:sz w:val="22"/>
          <w:szCs w:val="22"/>
        </w:rPr>
        <w:t>e</w:t>
      </w:r>
      <w:r w:rsidRPr="007C60A7">
        <w:rPr>
          <w:rFonts w:ascii="AGaramond" w:eastAsiaTheme="minorEastAsia" w:hAnsi="AGaramond" w:cs="Arial"/>
          <w:sz w:val="22"/>
          <w:szCs w:val="22"/>
        </w:rPr>
        <w:t xml:space="preserve">., </w:t>
      </w:r>
      <m:oMath>
        <m:r>
          <m:rPr>
            <m:sty m:val="bi"/>
          </m:rPr>
          <w:rPr>
            <w:rFonts w:ascii="Cambria Math" w:hAnsi="Cambria Math" w:cs="Arial"/>
            <w:sz w:val="22"/>
            <w:szCs w:val="22"/>
          </w:rPr>
          <m:t>M</m:t>
        </m:r>
      </m:oMath>
      <w:r w:rsidRPr="007C60A7">
        <w:rPr>
          <w:rFonts w:ascii="AGaramond" w:eastAsiaTheme="minorEastAsia" w:hAnsi="AGaramond" w:cs="Arial"/>
          <w:bCs/>
          <w:sz w:val="22"/>
          <w:szCs w:val="22"/>
        </w:rPr>
        <w:t>), lo cual, en ausencia de diseños de mecanismos o arreglos institucionales adecuados (</w:t>
      </w:r>
      <w:r w:rsidRPr="00AC2EE3">
        <w:rPr>
          <w:rFonts w:ascii="AGaramond" w:eastAsiaTheme="minorEastAsia" w:hAnsi="AGaramond" w:cs="Arial"/>
          <w:bCs/>
          <w:i/>
          <w:iCs/>
          <w:sz w:val="22"/>
          <w:szCs w:val="22"/>
        </w:rPr>
        <w:t>i.</w:t>
      </w:r>
      <w:r w:rsidR="00AC2EE3" w:rsidRPr="00AC2EE3">
        <w:rPr>
          <w:rFonts w:ascii="AGaramond" w:eastAsiaTheme="minorEastAsia" w:hAnsi="AGaramond" w:cs="Arial"/>
          <w:bCs/>
          <w:i/>
          <w:iCs/>
          <w:sz w:val="22"/>
          <w:szCs w:val="22"/>
        </w:rPr>
        <w:t xml:space="preserve"> </w:t>
      </w:r>
      <w:r w:rsidRPr="00AC2EE3">
        <w:rPr>
          <w:rFonts w:ascii="AGaramond" w:eastAsiaTheme="minorEastAsia" w:hAnsi="AGaramond" w:cs="Arial"/>
          <w:bCs/>
          <w:i/>
          <w:iCs/>
          <w:sz w:val="22"/>
          <w:szCs w:val="22"/>
        </w:rPr>
        <w:t>e</w:t>
      </w:r>
      <w:r w:rsidRPr="007C60A7">
        <w:rPr>
          <w:rFonts w:ascii="AGaramond" w:eastAsiaTheme="minorEastAsia" w:hAnsi="AGaramond" w:cs="Arial"/>
          <w:bCs/>
          <w:sz w:val="22"/>
          <w:szCs w:val="22"/>
        </w:rPr>
        <w:t xml:space="preserve">., </w:t>
      </w:r>
      <m:oMath>
        <m:r>
          <m:rPr>
            <m:sty m:val="bi"/>
          </m:rPr>
          <w:rPr>
            <w:rFonts w:ascii="Cambria Math" w:eastAsiaTheme="minorEastAsia" w:hAnsi="Cambria Math" w:cs="Arial"/>
            <w:sz w:val="22"/>
            <w:szCs w:val="22"/>
          </w:rPr>
          <m:t>I</m:t>
        </m:r>
      </m:oMath>
      <w:r w:rsidRPr="007C60A7">
        <w:rPr>
          <w:rFonts w:ascii="AGaramond" w:eastAsiaTheme="minorEastAsia" w:hAnsi="AGaramond" w:cs="Arial"/>
          <w:sz w:val="22"/>
          <w:szCs w:val="22"/>
        </w:rPr>
        <w:t xml:space="preserve">, </w:t>
      </w:r>
      <m:oMath>
        <m:r>
          <m:rPr>
            <m:sty m:val="bi"/>
          </m:rPr>
          <w:rPr>
            <w:rFonts w:ascii="Cambria Math" w:eastAsiaTheme="minorEastAsia" w:hAnsi="Cambria Math" w:cs="Arial"/>
            <w:sz w:val="22"/>
            <w:szCs w:val="22"/>
          </w:rPr>
          <m:t>P</m:t>
        </m:r>
      </m:oMath>
      <w:r w:rsidRPr="007C60A7">
        <w:rPr>
          <w:rFonts w:ascii="AGaramond" w:eastAsiaTheme="minorEastAsia" w:hAnsi="AGaramond" w:cs="Arial"/>
          <w:sz w:val="22"/>
          <w:szCs w:val="22"/>
        </w:rPr>
        <w:t xml:space="preserve"> y </w:t>
      </w:r>
      <m:oMath>
        <m:r>
          <m:rPr>
            <m:sty m:val="bi"/>
          </m:rPr>
          <w:rPr>
            <w:rFonts w:ascii="Cambria Math" w:eastAsiaTheme="minorEastAsia" w:hAnsi="Cambria Math" w:cs="Arial"/>
            <w:sz w:val="22"/>
            <w:szCs w:val="22"/>
          </w:rPr>
          <m:t>γ</m:t>
        </m:r>
      </m:oMath>
      <w:r w:rsidRPr="007C60A7">
        <w:rPr>
          <w:rFonts w:ascii="AGaramond" w:eastAsiaTheme="minorEastAsia" w:hAnsi="AGaramond" w:cs="Arial"/>
          <w:sz w:val="22"/>
          <w:szCs w:val="22"/>
        </w:rPr>
        <w:t>)</w:t>
      </w:r>
      <w:r w:rsidRPr="007C60A7">
        <w:rPr>
          <w:rFonts w:ascii="AGaramond" w:eastAsiaTheme="minorEastAsia" w:hAnsi="AGaramond" w:cs="Arial"/>
          <w:bCs/>
          <w:sz w:val="22"/>
          <w:szCs w:val="22"/>
        </w:rPr>
        <w:t xml:space="preserve"> constituyeron incentivos a favor de los intereses privados de los administradores del Estado en detrimento del bienestar público</w:t>
      </w:r>
      <w:r w:rsidRPr="007C60A7">
        <w:rPr>
          <w:rStyle w:val="Refdenotaalpie"/>
          <w:rFonts w:ascii="AGaramond" w:eastAsiaTheme="minorEastAsia" w:hAnsi="AGaramond" w:cs="Arial"/>
          <w:bCs/>
          <w:sz w:val="22"/>
          <w:szCs w:val="22"/>
        </w:rPr>
        <w:footnoteReference w:id="17"/>
      </w:r>
      <w:r w:rsidRPr="007C60A7">
        <w:rPr>
          <w:rFonts w:ascii="AGaramond" w:eastAsiaTheme="minorEastAsia" w:hAnsi="AGaramond" w:cs="Arial"/>
          <w:bCs/>
          <w:sz w:val="22"/>
          <w:szCs w:val="22"/>
        </w:rPr>
        <w:t xml:space="preserve">. Por supuesto, cuando cambia el signo del choque en </w:t>
      </w:r>
      <w:proofErr w:type="spellStart"/>
      <w:r w:rsidRPr="007C60A7">
        <w:rPr>
          <w:rFonts w:ascii="AGaramond" w:eastAsiaTheme="minorEastAsia" w:hAnsi="AGaramond" w:cs="Arial"/>
          <w:bCs/>
          <w:sz w:val="22"/>
          <w:szCs w:val="22"/>
        </w:rPr>
        <w:t>ToT</w:t>
      </w:r>
      <w:proofErr w:type="spellEnd"/>
      <w:r w:rsidRPr="007C60A7">
        <w:rPr>
          <w:rFonts w:ascii="AGaramond" w:eastAsiaTheme="minorEastAsia" w:hAnsi="AGaramond" w:cs="Arial"/>
          <w:bCs/>
          <w:sz w:val="22"/>
          <w:szCs w:val="22"/>
        </w:rPr>
        <w:t xml:space="preserve"> a negativo (</w:t>
      </w:r>
      <w:r w:rsidR="00AC2EE3">
        <w:rPr>
          <w:rFonts w:ascii="AGaramond" w:eastAsiaTheme="minorEastAsia" w:hAnsi="AGaramond" w:cs="Arial"/>
          <w:bCs/>
          <w:sz w:val="22"/>
          <w:szCs w:val="22"/>
        </w:rPr>
        <w:t>p. ej</w:t>
      </w:r>
      <w:r w:rsidRPr="007C60A7">
        <w:rPr>
          <w:rFonts w:ascii="AGaramond" w:eastAsiaTheme="minorEastAsia" w:hAnsi="AGaramond" w:cs="Arial"/>
          <w:bCs/>
          <w:sz w:val="22"/>
          <w:szCs w:val="22"/>
        </w:rPr>
        <w:t xml:space="preserve">., décadas de los ochenta y noventa en Venezuela), se contrae </w:t>
      </w:r>
      <m:oMath>
        <m:r>
          <m:rPr>
            <m:sty m:val="bi"/>
          </m:rPr>
          <w:rPr>
            <w:rFonts w:ascii="Cambria Math" w:hAnsi="Cambria Math" w:cs="Arial"/>
            <w:sz w:val="22"/>
            <w:szCs w:val="22"/>
          </w:rPr>
          <m:t>M</m:t>
        </m:r>
      </m:oMath>
      <w:r w:rsidRPr="007C60A7">
        <w:rPr>
          <w:rFonts w:ascii="AGaramond" w:eastAsiaTheme="minorEastAsia" w:hAnsi="AGaramond" w:cs="Arial"/>
          <w:b/>
          <w:sz w:val="22"/>
          <w:szCs w:val="22"/>
        </w:rPr>
        <w:t xml:space="preserve"> </w:t>
      </w:r>
      <w:r w:rsidRPr="007C60A7">
        <w:rPr>
          <w:rFonts w:ascii="AGaramond" w:eastAsiaTheme="minorEastAsia" w:hAnsi="AGaramond" w:cs="Arial"/>
          <w:bCs/>
          <w:sz w:val="22"/>
          <w:szCs w:val="22"/>
        </w:rPr>
        <w:t xml:space="preserve">en términos reales, pero </w:t>
      </w:r>
      <m:oMath>
        <m:r>
          <m:rPr>
            <m:sty m:val="bi"/>
          </m:rPr>
          <w:rPr>
            <w:rFonts w:ascii="Cambria Math" w:eastAsiaTheme="minorEastAsia" w:hAnsi="Cambria Math" w:cs="Arial"/>
            <w:sz w:val="22"/>
            <w:szCs w:val="22"/>
          </w:rPr>
          <m:t>I</m:t>
        </m:r>
      </m:oMath>
      <w:r w:rsidRPr="007C60A7">
        <w:rPr>
          <w:rFonts w:ascii="AGaramond" w:eastAsiaTheme="minorEastAsia" w:hAnsi="AGaramond" w:cs="Arial"/>
          <w:bCs/>
          <w:sz w:val="22"/>
          <w:szCs w:val="22"/>
        </w:rPr>
        <w:t>, en términos reales,</w:t>
      </w:r>
      <w:r w:rsidRPr="007C60A7">
        <w:rPr>
          <w:rFonts w:ascii="AGaramond" w:eastAsiaTheme="minorEastAsia" w:hAnsi="AGaramond" w:cs="Arial"/>
          <w:b/>
          <w:sz w:val="22"/>
          <w:szCs w:val="22"/>
        </w:rPr>
        <w:t xml:space="preserve"> </w:t>
      </w:r>
      <w:r w:rsidRPr="007C60A7">
        <w:rPr>
          <w:rFonts w:ascii="AGaramond" w:eastAsiaTheme="minorEastAsia" w:hAnsi="AGaramond" w:cs="Arial"/>
          <w:bCs/>
          <w:sz w:val="22"/>
          <w:szCs w:val="22"/>
        </w:rPr>
        <w:t>decrece mucho más rápido porque el ajuste fiscal generalmente no se hace reduciendo el tamaño del sector público (lo cual es políticamente muy costoso</w:t>
      </w:r>
      <w:r w:rsidRPr="007C60A7">
        <w:rPr>
          <w:rStyle w:val="Refdenotaalpie"/>
          <w:rFonts w:ascii="AGaramond" w:eastAsiaTheme="minorEastAsia" w:hAnsi="AGaramond" w:cs="Arial"/>
          <w:bCs/>
          <w:sz w:val="22"/>
          <w:szCs w:val="22"/>
        </w:rPr>
        <w:footnoteReference w:id="18"/>
      </w:r>
      <w:r w:rsidRPr="007C60A7">
        <w:rPr>
          <w:rFonts w:ascii="AGaramond" w:eastAsiaTheme="minorEastAsia" w:hAnsi="AGaramond" w:cs="Arial"/>
          <w:bCs/>
          <w:sz w:val="22"/>
          <w:szCs w:val="22"/>
        </w:rPr>
        <w:t xml:space="preserve">), sino disminuyendo los ingresos de los funcionarios públicos. </w:t>
      </w:r>
      <w:r w:rsidRPr="007C60A7">
        <w:rPr>
          <w:rFonts w:ascii="AGaramond" w:eastAsiaTheme="minorEastAsia" w:hAnsi="AGaramond" w:cs="Arial"/>
          <w:bCs/>
          <w:sz w:val="22"/>
          <w:szCs w:val="22"/>
        </w:rPr>
        <w:lastRenderedPageBreak/>
        <w:t>Lo anterior se traduce en una disminución del lado derecho de inecuación 1 y</w:t>
      </w:r>
      <w:r w:rsidRPr="007C60A7">
        <w:rPr>
          <w:rFonts w:ascii="AGaramond" w:eastAsiaTheme="minorEastAsia" w:hAnsi="AGaramond" w:cs="Arial"/>
          <w:b/>
          <w:sz w:val="22"/>
          <w:szCs w:val="22"/>
        </w:rPr>
        <w:t xml:space="preserve"> </w:t>
      </w:r>
      <w:r w:rsidRPr="007C60A7">
        <w:rPr>
          <w:rFonts w:ascii="AGaramond" w:eastAsiaTheme="minorEastAsia" w:hAnsi="AGaramond" w:cs="Arial"/>
          <w:bCs/>
          <w:sz w:val="22"/>
          <w:szCs w:val="22"/>
        </w:rPr>
        <w:t xml:space="preserve">mayores incentivos para la malversación de fondos. (Ver Simulación 5 en el </w:t>
      </w:r>
      <w:r w:rsidRPr="007C60A7">
        <w:rPr>
          <w:rFonts w:ascii="AGaramond" w:eastAsiaTheme="minorEastAsia" w:hAnsi="AGaramond" w:cs="Arial"/>
          <w:bCs/>
          <w:sz w:val="22"/>
          <w:szCs w:val="22"/>
        </w:rPr>
        <w:fldChar w:fldCharType="begin"/>
      </w:r>
      <w:r w:rsidRPr="007C60A7">
        <w:rPr>
          <w:rFonts w:ascii="AGaramond" w:eastAsiaTheme="minorEastAsia" w:hAnsi="AGaramond" w:cs="Arial"/>
          <w:bCs/>
          <w:sz w:val="22"/>
          <w:szCs w:val="22"/>
        </w:rPr>
        <w:instrText xml:space="preserve"> REF _Ref78263177 \h  \* MERGEFORMAT </w:instrText>
      </w:r>
      <w:r w:rsidRPr="007C60A7">
        <w:rPr>
          <w:rFonts w:ascii="AGaramond" w:eastAsiaTheme="minorEastAsia" w:hAnsi="AGaramond" w:cs="Arial"/>
          <w:bCs/>
          <w:sz w:val="22"/>
          <w:szCs w:val="22"/>
        </w:rPr>
      </w:r>
      <w:r w:rsidRPr="007C60A7">
        <w:rPr>
          <w:rFonts w:ascii="AGaramond" w:eastAsiaTheme="minorEastAsia" w:hAnsi="AGaramond" w:cs="Arial"/>
          <w:bCs/>
          <w:sz w:val="22"/>
          <w:szCs w:val="22"/>
        </w:rPr>
        <w:fldChar w:fldCharType="separate"/>
      </w:r>
      <w:r w:rsidR="008076E6" w:rsidRPr="008076E6">
        <w:rPr>
          <w:rFonts w:ascii="AGaramond" w:hAnsi="AGaramond" w:cs="Arial"/>
          <w:sz w:val="22"/>
          <w:szCs w:val="22"/>
        </w:rPr>
        <w:t>APÉNDICE</w:t>
      </w:r>
      <w:r w:rsidRPr="007C60A7">
        <w:rPr>
          <w:rFonts w:ascii="AGaramond" w:eastAsiaTheme="minorEastAsia" w:hAnsi="AGaramond" w:cs="Arial"/>
          <w:bCs/>
          <w:sz w:val="22"/>
          <w:szCs w:val="22"/>
        </w:rPr>
        <w:fldChar w:fldCharType="end"/>
      </w:r>
      <w:r w:rsidRPr="007C60A7">
        <w:rPr>
          <w:rFonts w:ascii="AGaramond" w:eastAsiaTheme="minorEastAsia" w:hAnsi="AGaramond" w:cs="Arial"/>
          <w:bCs/>
          <w:sz w:val="22"/>
          <w:szCs w:val="22"/>
        </w:rPr>
        <w:t>)</w:t>
      </w:r>
      <w:r w:rsidR="00AC2EE3">
        <w:rPr>
          <w:rFonts w:ascii="AGaramond" w:eastAsiaTheme="minorEastAsia" w:hAnsi="AGaramond" w:cs="Arial"/>
          <w:bCs/>
          <w:sz w:val="22"/>
          <w:szCs w:val="22"/>
        </w:rPr>
        <w:t>.</w:t>
      </w:r>
    </w:p>
    <w:p w14:paraId="7AA00607" w14:textId="5086CA59" w:rsidR="00937DC4" w:rsidRPr="007C60A7" w:rsidRDefault="00937DC4" w:rsidP="00AC2EE3">
      <w:pPr>
        <w:spacing w:after="240" w:line="360" w:lineRule="auto"/>
        <w:ind w:firstLine="284"/>
        <w:jc w:val="both"/>
        <w:rPr>
          <w:rFonts w:ascii="AGaramond" w:eastAsiaTheme="minorEastAsia" w:hAnsi="AGaramond" w:cs="Arial"/>
          <w:sz w:val="22"/>
          <w:szCs w:val="22"/>
        </w:rPr>
      </w:pPr>
      <w:r w:rsidRPr="007C60A7">
        <w:rPr>
          <w:rFonts w:ascii="AGaramond" w:eastAsiaTheme="minorEastAsia" w:hAnsi="AGaramond" w:cs="Arial"/>
          <w:sz w:val="22"/>
          <w:szCs w:val="22"/>
        </w:rPr>
        <w:t xml:space="preserve">Análogamente, la tasa de variación de </w:t>
      </w:r>
      <m:oMath>
        <m:r>
          <m:rPr>
            <m:sty m:val="bi"/>
          </m:rPr>
          <w:rPr>
            <w:rFonts w:ascii="Cambria Math" w:eastAsiaTheme="minorEastAsia" w:hAnsi="Cambria Math" w:cs="Arial"/>
            <w:sz w:val="22"/>
            <w:szCs w:val="22"/>
          </w:rPr>
          <m:t>r</m:t>
        </m:r>
      </m:oMath>
      <w:r w:rsidRPr="007C60A7">
        <w:rPr>
          <w:rFonts w:ascii="AGaramond" w:eastAsiaTheme="minorEastAsia" w:hAnsi="AGaramond" w:cs="Arial"/>
          <w:sz w:val="22"/>
          <w:szCs w:val="22"/>
        </w:rPr>
        <w:t xml:space="preserve"> respecto de </w:t>
      </w:r>
      <m:oMath>
        <m:r>
          <m:rPr>
            <m:sty m:val="bi"/>
          </m:rPr>
          <w:rPr>
            <w:rFonts w:ascii="Cambria Math" w:eastAsiaTheme="minorEastAsia" w:hAnsi="Cambria Math" w:cs="Arial"/>
            <w:sz w:val="22"/>
            <w:szCs w:val="22"/>
          </w:rPr>
          <m:t>I</m:t>
        </m:r>
      </m:oMath>
      <w:r w:rsidRPr="007C60A7">
        <w:rPr>
          <w:rFonts w:ascii="AGaramond" w:eastAsiaTheme="minorEastAsia" w:hAnsi="AGaramond" w:cs="Arial"/>
          <w:sz w:val="22"/>
          <w:szCs w:val="22"/>
        </w:rPr>
        <w:t xml:space="preserve">, </w:t>
      </w:r>
      <m:oMath>
        <m:r>
          <m:rPr>
            <m:sty m:val="bi"/>
          </m:rPr>
          <w:rPr>
            <w:rFonts w:ascii="Cambria Math" w:eastAsiaTheme="minorEastAsia" w:hAnsi="Cambria Math" w:cs="Arial"/>
            <w:sz w:val="22"/>
            <w:szCs w:val="22"/>
          </w:rPr>
          <m:t>P</m:t>
        </m:r>
      </m:oMath>
      <w:r w:rsidRPr="007C60A7">
        <w:rPr>
          <w:rFonts w:ascii="AGaramond" w:eastAsiaTheme="minorEastAsia" w:hAnsi="AGaramond" w:cs="Arial"/>
          <w:sz w:val="22"/>
          <w:szCs w:val="22"/>
        </w:rPr>
        <w:t xml:space="preserve"> y </w:t>
      </w:r>
      <m:oMath>
        <m:r>
          <m:rPr>
            <m:sty m:val="bi"/>
          </m:rPr>
          <w:rPr>
            <w:rFonts w:ascii="Cambria Math" w:eastAsiaTheme="minorEastAsia" w:hAnsi="Cambria Math" w:cs="Arial"/>
            <w:sz w:val="22"/>
            <w:szCs w:val="22"/>
          </w:rPr>
          <m:t>γ</m:t>
        </m:r>
      </m:oMath>
      <w:r w:rsidRPr="007C60A7">
        <w:rPr>
          <w:rFonts w:ascii="AGaramond" w:eastAsiaTheme="minorEastAsia" w:hAnsi="AGaramond" w:cs="Arial"/>
          <w:b/>
          <w:bCs/>
          <w:sz w:val="22"/>
          <w:szCs w:val="22"/>
        </w:rPr>
        <w:t xml:space="preserve"> </w:t>
      </w:r>
      <w:r w:rsidRPr="007C60A7">
        <w:rPr>
          <w:rFonts w:ascii="AGaramond" w:eastAsiaTheme="minorEastAsia" w:hAnsi="AGaramond" w:cs="Arial"/>
          <w:sz w:val="22"/>
          <w:szCs w:val="22"/>
        </w:rPr>
        <w:t>es positiva</w:t>
      </w:r>
      <w:r w:rsidRPr="007C60A7">
        <w:rPr>
          <w:rStyle w:val="Refdenotaalpie"/>
          <w:rFonts w:ascii="AGaramond" w:eastAsiaTheme="minorEastAsia" w:hAnsi="AGaramond" w:cs="Arial"/>
          <w:sz w:val="22"/>
          <w:szCs w:val="22"/>
        </w:rPr>
        <w:footnoteReference w:id="19"/>
      </w:r>
      <w:r w:rsidRPr="007C60A7">
        <w:rPr>
          <w:rFonts w:ascii="AGaramond" w:eastAsiaTheme="minorEastAsia" w:hAnsi="AGaramond" w:cs="Arial"/>
          <w:sz w:val="22"/>
          <w:szCs w:val="22"/>
        </w:rPr>
        <w:t xml:space="preserve"> (ver </w:t>
      </w:r>
      <w:r w:rsidR="003C530F">
        <w:rPr>
          <w:rFonts w:ascii="AGaramond" w:eastAsiaTheme="minorEastAsia" w:hAnsi="AGaramond" w:cs="Arial"/>
          <w:sz w:val="22"/>
          <w:szCs w:val="22"/>
        </w:rPr>
        <w:t>S</w:t>
      </w:r>
      <w:r w:rsidRPr="007C60A7">
        <w:rPr>
          <w:rFonts w:ascii="AGaramond" w:eastAsiaTheme="minorEastAsia" w:hAnsi="AGaramond" w:cs="Arial"/>
          <w:sz w:val="22"/>
          <w:szCs w:val="22"/>
        </w:rPr>
        <w:t xml:space="preserve">imulaciones 2-4 en el </w:t>
      </w:r>
      <w:r w:rsidRPr="007C60A7">
        <w:rPr>
          <w:rFonts w:ascii="AGaramond" w:eastAsiaTheme="minorEastAsia" w:hAnsi="AGaramond" w:cs="Arial"/>
          <w:sz w:val="22"/>
          <w:szCs w:val="22"/>
        </w:rPr>
        <w:fldChar w:fldCharType="begin"/>
      </w:r>
      <w:r w:rsidRPr="007C60A7">
        <w:rPr>
          <w:rFonts w:ascii="AGaramond" w:eastAsiaTheme="minorEastAsia" w:hAnsi="AGaramond" w:cs="Arial"/>
          <w:sz w:val="22"/>
          <w:szCs w:val="22"/>
        </w:rPr>
        <w:instrText xml:space="preserve"> REF _Ref78263177 \h  \* MERGEFORMAT </w:instrText>
      </w:r>
      <w:r w:rsidRPr="007C60A7">
        <w:rPr>
          <w:rFonts w:ascii="AGaramond" w:eastAsiaTheme="minorEastAsia" w:hAnsi="AGaramond" w:cs="Arial"/>
          <w:sz w:val="22"/>
          <w:szCs w:val="22"/>
        </w:rPr>
      </w:r>
      <w:r w:rsidRPr="007C60A7">
        <w:rPr>
          <w:rFonts w:ascii="AGaramond" w:eastAsiaTheme="minorEastAsia" w:hAnsi="AGaramond" w:cs="Arial"/>
          <w:sz w:val="22"/>
          <w:szCs w:val="22"/>
        </w:rPr>
        <w:fldChar w:fldCharType="separate"/>
      </w:r>
      <w:r w:rsidR="008076E6" w:rsidRPr="008076E6">
        <w:rPr>
          <w:rFonts w:ascii="AGaramond" w:hAnsi="AGaramond" w:cs="Arial"/>
          <w:sz w:val="22"/>
          <w:szCs w:val="22"/>
        </w:rPr>
        <w:t>APÉNDICE</w:t>
      </w:r>
      <w:r w:rsidRPr="007C60A7">
        <w:rPr>
          <w:rFonts w:ascii="AGaramond" w:eastAsiaTheme="minorEastAsia" w:hAnsi="AGaramond" w:cs="Arial"/>
          <w:sz w:val="22"/>
          <w:szCs w:val="22"/>
        </w:rPr>
        <w:fldChar w:fldCharType="end"/>
      </w:r>
      <w:r w:rsidRPr="007C60A7">
        <w:rPr>
          <w:rFonts w:ascii="AGaramond" w:eastAsiaTheme="minorEastAsia" w:hAnsi="AGaramond" w:cs="Arial"/>
          <w:sz w:val="22"/>
          <w:szCs w:val="22"/>
        </w:rPr>
        <w:t>): esto es, en términos de la tasa de descuento del agente administrador del Estado, una mejor compensación, aumentos en la penalización e incrementos en la transparencia de la administración pública y eficacia de la administración de justicia representan mayores incentivos para gestión pública a favor de la sociedad.</w:t>
      </w:r>
      <w:r w:rsidRPr="007C60A7">
        <w:rPr>
          <w:rFonts w:ascii="AGaramond" w:hAnsi="AGaramond"/>
          <w:sz w:val="22"/>
          <w:szCs w:val="22"/>
        </w:rPr>
        <w:t xml:space="preserve"> </w:t>
      </w:r>
      <w:r w:rsidRPr="007C60A7">
        <w:rPr>
          <w:rFonts w:ascii="AGaramond" w:eastAsiaTheme="minorEastAsia" w:hAnsi="AGaramond" w:cs="Arial"/>
          <w:sz w:val="22"/>
          <w:szCs w:val="22"/>
        </w:rPr>
        <w:t xml:space="preserve">Por tanto, los hacedores de políticas públicas deben centrar su actuación en lado derecho de la inecuación 1, </w:t>
      </w:r>
      <w:r w:rsidRPr="003C530F">
        <w:rPr>
          <w:rFonts w:ascii="AGaramond" w:eastAsiaTheme="minorEastAsia" w:hAnsi="AGaramond" w:cs="Arial"/>
          <w:i/>
          <w:iCs/>
          <w:sz w:val="22"/>
          <w:szCs w:val="22"/>
        </w:rPr>
        <w:t>i.</w:t>
      </w:r>
      <w:r w:rsidR="003C530F" w:rsidRPr="003C530F">
        <w:rPr>
          <w:rFonts w:ascii="AGaramond" w:eastAsiaTheme="minorEastAsia" w:hAnsi="AGaramond" w:cs="Arial"/>
          <w:i/>
          <w:iCs/>
          <w:sz w:val="22"/>
          <w:szCs w:val="22"/>
        </w:rPr>
        <w:t xml:space="preserve"> </w:t>
      </w:r>
      <w:r w:rsidRPr="003C530F">
        <w:rPr>
          <w:rFonts w:ascii="AGaramond" w:eastAsiaTheme="minorEastAsia" w:hAnsi="AGaramond" w:cs="Arial"/>
          <w:i/>
          <w:iCs/>
          <w:sz w:val="22"/>
          <w:szCs w:val="22"/>
        </w:rPr>
        <w:t>e</w:t>
      </w:r>
      <w:r w:rsidRPr="007C60A7">
        <w:rPr>
          <w:rFonts w:ascii="AGaramond" w:eastAsiaTheme="minorEastAsia" w:hAnsi="AGaramond" w:cs="Arial"/>
          <w:sz w:val="22"/>
          <w:szCs w:val="22"/>
        </w:rPr>
        <w:t xml:space="preserve">., en la matriz de pagos. Como corolario, los argumentos éticos o normativos de la corrupción, aunque son los favoritos de la opinión pública y de algunos pensadores, nada ayudan a mitigar este comportamiento; los hacedores de políticas públicas (y los académicos) que insisten en argumentos axiológicos hacen un mal trabajo: la sociedad les encarga la tarea de administrar los asuntos del Estado o el diseño de mecanismos apropiados a las condiciones socioeconómicas (más aún, en un país con dotaciones abundantes de recursos naturales) para maximizar, </w:t>
      </w:r>
      <w:r w:rsidRPr="007C60A7">
        <w:rPr>
          <w:rFonts w:ascii="AGaramond" w:eastAsiaTheme="minorEastAsia" w:hAnsi="AGaramond" w:cs="Arial"/>
          <w:sz w:val="22"/>
          <w:szCs w:val="22"/>
          <w:u w:val="single"/>
        </w:rPr>
        <w:t>dinámicamente</w:t>
      </w:r>
      <w:r w:rsidRPr="007C60A7">
        <w:rPr>
          <w:rFonts w:ascii="AGaramond" w:eastAsiaTheme="minorEastAsia" w:hAnsi="AGaramond" w:cs="Arial"/>
          <w:sz w:val="22"/>
          <w:szCs w:val="22"/>
        </w:rPr>
        <w:t>, (</w:t>
      </w:r>
      <w:r w:rsidRPr="003C530F">
        <w:rPr>
          <w:rFonts w:ascii="AGaramond" w:eastAsiaTheme="minorEastAsia" w:hAnsi="AGaramond" w:cs="Arial"/>
          <w:i/>
          <w:iCs/>
          <w:sz w:val="22"/>
          <w:szCs w:val="22"/>
        </w:rPr>
        <w:t>i.</w:t>
      </w:r>
      <w:r w:rsidR="003C530F" w:rsidRPr="003C530F">
        <w:rPr>
          <w:rFonts w:ascii="AGaramond" w:eastAsiaTheme="minorEastAsia" w:hAnsi="AGaramond" w:cs="Arial"/>
          <w:i/>
          <w:iCs/>
          <w:sz w:val="22"/>
          <w:szCs w:val="22"/>
        </w:rPr>
        <w:t xml:space="preserve"> </w:t>
      </w:r>
      <w:r w:rsidRPr="003C530F">
        <w:rPr>
          <w:rFonts w:ascii="AGaramond" w:eastAsiaTheme="minorEastAsia" w:hAnsi="AGaramond" w:cs="Arial"/>
          <w:i/>
          <w:iCs/>
          <w:sz w:val="22"/>
          <w:szCs w:val="22"/>
        </w:rPr>
        <w:t>e.</w:t>
      </w:r>
      <w:r w:rsidRPr="007C60A7">
        <w:rPr>
          <w:rFonts w:ascii="AGaramond" w:eastAsiaTheme="minorEastAsia" w:hAnsi="AGaramond" w:cs="Arial"/>
          <w:sz w:val="22"/>
          <w:szCs w:val="22"/>
        </w:rPr>
        <w:t xml:space="preserve">, intertemporalmente) el bienestar social. </w:t>
      </w:r>
    </w:p>
    <w:p w14:paraId="681437AC" w14:textId="36F0C280" w:rsidR="00937DC4" w:rsidRPr="007C60A7" w:rsidRDefault="00937DC4" w:rsidP="00AC2EE3">
      <w:pPr>
        <w:pStyle w:val="Prrafodelista"/>
        <w:spacing w:after="240" w:line="360" w:lineRule="auto"/>
        <w:ind w:left="0" w:firstLine="284"/>
        <w:jc w:val="both"/>
        <w:rPr>
          <w:rFonts w:ascii="AGaramond" w:hAnsi="AGaramond" w:cs="Arial"/>
        </w:rPr>
      </w:pPr>
      <w:r w:rsidRPr="007C60A7">
        <w:rPr>
          <w:rFonts w:ascii="AGaramond" w:hAnsi="AGaramond" w:cs="Arial"/>
        </w:rPr>
        <w:t xml:space="preserve">En el caso de que los ingresos por manejo probo no se mantuviesen en el tiempo (situación común en los nuevos contratos de la administración pública para aliviar la carga de pasivos laborales), habría más incentivos para la corrupción, pues </w:t>
      </w:r>
      <w:r w:rsidR="001E1F52">
        <w:rPr>
          <w:rFonts w:ascii="AGaramond" w:hAnsi="AGaramond" w:cs="Arial"/>
        </w:rPr>
        <w:t>“so</w:t>
      </w:r>
      <w:r w:rsidRPr="007C60A7">
        <w:rPr>
          <w:rFonts w:ascii="AGaramond" w:hAnsi="AGaramond" w:cs="Arial"/>
        </w:rPr>
        <w:t>lo se contaría con el garrote</w:t>
      </w:r>
      <w:r w:rsidR="001E1F52">
        <w:rPr>
          <w:rFonts w:ascii="AGaramond" w:hAnsi="AGaramond" w:cs="Arial"/>
        </w:rPr>
        <w:t>”</w:t>
      </w:r>
      <m:oMath>
        <m:r>
          <w:rPr>
            <w:rStyle w:val="Refdenotaalpie"/>
            <w:rFonts w:ascii="Cambria Math" w:hAnsi="Cambria Math" w:cs="Arial"/>
            <w:i/>
          </w:rPr>
          <w:footnoteReference w:id="20"/>
        </m:r>
      </m:oMath>
      <w:r w:rsidRPr="007C60A7">
        <w:rPr>
          <w:rFonts w:ascii="AGaramond" w:hAnsi="AGaramond" w:cs="Arial"/>
        </w:rPr>
        <w:t xml:space="preserve">: </w:t>
      </w:r>
    </w:p>
    <w:p w14:paraId="6AA8A882" w14:textId="77777777" w:rsidR="00937DC4" w:rsidRPr="007C60A7" w:rsidRDefault="00937DC4" w:rsidP="00937DC4">
      <w:pPr>
        <w:pStyle w:val="Prrafodelista"/>
        <w:jc w:val="both"/>
        <w:rPr>
          <w:rFonts w:ascii="AGaramond" w:eastAsiaTheme="minorEastAsia" w:hAnsi="AGaramond" w:cs="Arial"/>
        </w:rPr>
      </w:pPr>
    </w:p>
    <w:p w14:paraId="63557A10" w14:textId="2FB0C69F" w:rsidR="00937DC4" w:rsidRPr="001E1F52" w:rsidRDefault="00937DC4" w:rsidP="001E1F52">
      <w:pPr>
        <w:pStyle w:val="Prrafodelista"/>
        <w:numPr>
          <w:ilvl w:val="0"/>
          <w:numId w:val="37"/>
        </w:numPr>
        <w:spacing w:line="360" w:lineRule="auto"/>
        <w:jc w:val="both"/>
        <w:rPr>
          <w:rFonts w:ascii="AGaramond" w:hAnsi="AGaramond" w:cs="Arial"/>
        </w:rPr>
      </w:pPr>
      <m:oMath>
        <m:r>
          <w:rPr>
            <w:rFonts w:ascii="Cambria Math" w:hAnsi="Cambria Math" w:cs="Arial"/>
          </w:rPr>
          <m:t>r&lt;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P</m:t>
                </m:r>
              </m:e>
              <m:sup>
                <m:r>
                  <w:rPr>
                    <w:rFonts w:ascii="Cambria Math" w:hAnsi="Cambria Math" w:cs="Arial"/>
                  </w:rPr>
                  <m:t>γ</m:t>
                </m:r>
              </m:sup>
            </m:sSup>
          </m:num>
          <m:den>
            <m:r>
              <w:rPr>
                <w:rFonts w:ascii="Cambria Math" w:hAnsi="Cambria Math" w:cs="Arial"/>
              </w:rPr>
              <m:t>(M-</m:t>
            </m:r>
            <m:sSup>
              <m:sSupPr>
                <m:ctrlPr>
                  <w:rPr>
                    <w:rFonts w:ascii="Cambria Math" w:hAnsi="Cambria Math" w:cs="Arial"/>
                    <w:i/>
                  </w:rPr>
                </m:ctrlPr>
              </m:sSupPr>
              <m:e>
                <m:r>
                  <w:rPr>
                    <w:rFonts w:ascii="Cambria Math" w:hAnsi="Cambria Math" w:cs="Arial"/>
                  </w:rPr>
                  <m:t>P</m:t>
                </m:r>
              </m:e>
              <m:sup>
                <m:r>
                  <w:rPr>
                    <w:rFonts w:ascii="Cambria Math" w:hAnsi="Cambria Math" w:cs="Arial"/>
                  </w:rPr>
                  <m:t>γ</m:t>
                </m:r>
              </m:sup>
            </m:sSup>
            <m:r>
              <w:rPr>
                <w:rFonts w:ascii="Cambria Math" w:hAnsi="Cambria Math" w:cs="Arial"/>
              </w:rPr>
              <m:t>)-I</m:t>
            </m:r>
          </m:den>
        </m:f>
      </m:oMath>
      <w:r w:rsidRPr="007C60A7">
        <w:rPr>
          <w:rFonts w:ascii="AGaramond" w:eastAsiaTheme="minorEastAsia" w:hAnsi="AGaramond" w:cs="Arial"/>
        </w:rPr>
        <w:t xml:space="preserve"> </w:t>
      </w:r>
    </w:p>
    <w:p w14:paraId="2BC07D50" w14:textId="77777777" w:rsidR="001E1F52" w:rsidRPr="007C60A7" w:rsidRDefault="001E1F52" w:rsidP="001E1F52">
      <w:pPr>
        <w:pStyle w:val="Prrafodelista"/>
        <w:spacing w:line="360" w:lineRule="auto"/>
        <w:jc w:val="both"/>
        <w:rPr>
          <w:rFonts w:ascii="AGaramond" w:hAnsi="AGaramond" w:cs="Arial"/>
        </w:rPr>
      </w:pPr>
    </w:p>
    <w:p w14:paraId="613894CC" w14:textId="7DDAD68B" w:rsidR="00937DC4" w:rsidRPr="00611B92" w:rsidRDefault="00937DC4" w:rsidP="001E1F52">
      <w:pPr>
        <w:pStyle w:val="Prrafodelista"/>
        <w:spacing w:line="360" w:lineRule="auto"/>
        <w:ind w:left="0" w:firstLine="284"/>
        <w:jc w:val="both"/>
        <w:rPr>
          <w:rFonts w:ascii="AGaramond" w:hAnsi="AGaramond" w:cs="Arial"/>
          <w:color w:val="FF0000"/>
          <w:sz w:val="24"/>
          <w:szCs w:val="24"/>
        </w:rPr>
      </w:pPr>
      <w:r w:rsidRPr="007C60A7">
        <w:rPr>
          <w:rFonts w:ascii="AGaramond" w:hAnsi="AGaramond" w:cs="Arial"/>
        </w:rPr>
        <w:t xml:space="preserve">Como consecuencia del análisis no normativo (no axiológico) anterior, la actuación proba de los agentes públicos constituye un </w:t>
      </w:r>
      <w:r w:rsidRPr="007C60A7">
        <w:rPr>
          <w:rFonts w:ascii="AGaramond" w:hAnsi="AGaramond" w:cs="Arial"/>
          <w:i/>
          <w:iCs/>
        </w:rPr>
        <w:t>equilibrio de Nash</w:t>
      </w:r>
      <w:r w:rsidRPr="007C60A7">
        <w:rPr>
          <w:rFonts w:ascii="AGaramond" w:hAnsi="AGaramond" w:cs="Arial"/>
        </w:rPr>
        <w:t>, si</w:t>
      </w:r>
      <w:r w:rsidR="001E1F52">
        <w:rPr>
          <w:rFonts w:ascii="AGaramond" w:hAnsi="AGaramond" w:cs="Arial"/>
        </w:rPr>
        <w:t>,</w:t>
      </w:r>
      <w:r w:rsidRPr="007C60A7">
        <w:rPr>
          <w:rFonts w:ascii="AGaramond" w:hAnsi="AGaramond" w:cs="Arial"/>
        </w:rPr>
        <w:t xml:space="preserve"> y solo si</w:t>
      </w:r>
      <w:r w:rsidR="001E1F52">
        <w:rPr>
          <w:rFonts w:ascii="AGaramond" w:hAnsi="AGaramond" w:cs="Arial"/>
        </w:rPr>
        <w:t>,</w:t>
      </w:r>
      <w:r w:rsidRPr="007C60A7">
        <w:rPr>
          <w:rFonts w:ascii="AGaramond" w:hAnsi="AGaramond" w:cs="Arial"/>
        </w:rPr>
        <w:t xml:space="preserve"> la tasa subjetiva de descuento de los agentes es suficientemente baja respecto de la relación ingresos, penalidad y recursos públicos disponibles para la apropiación privada; es decir, si la penalidad es alta, la transparencia (información) de las cuentas públicas es elevada, y si los ingresos después de ejercer un cargo público de responsabilidad garantizan un estándar de vida al exfuncionario cónsono con el estatus y valoración social de su profesión. </w:t>
      </w:r>
    </w:p>
    <w:p w14:paraId="52B13FE8" w14:textId="77777777" w:rsidR="00937DC4" w:rsidRPr="00285874" w:rsidRDefault="00937DC4" w:rsidP="00285874">
      <w:pPr>
        <w:pStyle w:val="Ttulo2"/>
        <w:spacing w:after="240" w:line="360" w:lineRule="auto"/>
        <w:jc w:val="both"/>
        <w:rPr>
          <w:rFonts w:ascii="AGaramond" w:hAnsi="AGaramond" w:cs="Arial"/>
          <w:b w:val="0"/>
          <w:bCs w:val="0"/>
          <w:i/>
          <w:iCs/>
          <w:color w:val="auto"/>
          <w:sz w:val="24"/>
          <w:szCs w:val="24"/>
        </w:rPr>
      </w:pPr>
      <w:r w:rsidRPr="00285874">
        <w:rPr>
          <w:rFonts w:ascii="AGaramond" w:hAnsi="AGaramond" w:cs="Arial"/>
          <w:b w:val="0"/>
          <w:bCs w:val="0"/>
          <w:i/>
          <w:iCs/>
          <w:color w:val="auto"/>
          <w:sz w:val="24"/>
          <w:szCs w:val="24"/>
        </w:rPr>
        <w:lastRenderedPageBreak/>
        <w:t>¿Cuándo la corrupción del Estado es un fenómeno prevalente?</w:t>
      </w:r>
    </w:p>
    <w:p w14:paraId="74ED9366" w14:textId="375CF059" w:rsidR="00937DC4" w:rsidRPr="00285874" w:rsidRDefault="00937DC4" w:rsidP="00285874">
      <w:pPr>
        <w:spacing w:after="240" w:line="360" w:lineRule="auto"/>
        <w:ind w:firstLine="284"/>
        <w:jc w:val="both"/>
        <w:rPr>
          <w:rFonts w:ascii="AGaramond" w:hAnsi="AGaramond" w:cs="Arial"/>
          <w:sz w:val="22"/>
          <w:szCs w:val="22"/>
        </w:rPr>
      </w:pPr>
      <w:r w:rsidRPr="00285874">
        <w:rPr>
          <w:rFonts w:ascii="AGaramond" w:hAnsi="AGaramond" w:cs="Arial"/>
          <w:sz w:val="22"/>
          <w:szCs w:val="22"/>
        </w:rPr>
        <w:t>Es importante contextualizar la actuación de funcionario público (</w:t>
      </w:r>
      <w:r w:rsidR="00285874" w:rsidRPr="00285874">
        <w:rPr>
          <w:rFonts w:ascii="AGaramond" w:hAnsi="AGaramond" w:cs="Arial"/>
          <w:sz w:val="22"/>
          <w:szCs w:val="22"/>
        </w:rPr>
        <w:t>p. ej</w:t>
      </w:r>
      <w:r w:rsidRPr="00285874">
        <w:rPr>
          <w:rFonts w:ascii="AGaramond" w:hAnsi="AGaramond" w:cs="Arial"/>
          <w:sz w:val="22"/>
          <w:szCs w:val="22"/>
        </w:rPr>
        <w:t xml:space="preserve">., </w:t>
      </w:r>
      <w:r w:rsidRPr="00285874">
        <w:rPr>
          <w:rFonts w:ascii="AGaramond" w:hAnsi="AGaramond" w:cs="Arial"/>
          <w:i/>
          <w:iCs/>
          <w:sz w:val="22"/>
          <w:szCs w:val="22"/>
        </w:rPr>
        <w:t xml:space="preserve">funcionario </w:t>
      </w:r>
      <w:r w:rsidRPr="00285874">
        <w:rPr>
          <w:rFonts w:ascii="AGaramond" w:hAnsi="AGaramond" w:cs="Arial"/>
          <w:sz w:val="22"/>
          <w:szCs w:val="22"/>
        </w:rPr>
        <w:t>A) respecto del resto de funcionarios. En general, las acciones de un individuo están condicionadas al conjunto de acciones del resto de agentes que intervienen en una situación determinada. A tal fin, se presenta el siguiente juego simultáneo hipotético:</w:t>
      </w:r>
    </w:p>
    <w:p w14:paraId="593CB460" w14:textId="77777777" w:rsidR="00937DC4" w:rsidRPr="00611B92" w:rsidRDefault="00937DC4" w:rsidP="00937DC4">
      <w:pPr>
        <w:pStyle w:val="Descripcin"/>
        <w:keepNext/>
        <w:rPr>
          <w:rFonts w:ascii="AGaramond" w:hAnsi="AGaramond" w:cs="Arial"/>
          <w:sz w:val="24"/>
          <w:szCs w:val="24"/>
        </w:rPr>
      </w:pPr>
      <w:r w:rsidRPr="00611B92">
        <w:rPr>
          <w:rFonts w:ascii="AGaramond" w:hAnsi="AGaramond" w:cs="Arial"/>
          <w:sz w:val="24"/>
          <w:szCs w:val="24"/>
        </w:rPr>
        <w:t>Actuación de un funcionario público respecto del resto</w:t>
      </w:r>
    </w:p>
    <w:p w14:paraId="08E0BEB0" w14:textId="77777777" w:rsidR="00937DC4" w:rsidRPr="00611B92" w:rsidRDefault="00937DC4" w:rsidP="00285874">
      <w:pPr>
        <w:spacing w:after="240" w:line="360" w:lineRule="auto"/>
        <w:jc w:val="center"/>
        <w:rPr>
          <w:rFonts w:ascii="AGaramond" w:hAnsi="AGaramond" w:cs="Arial"/>
        </w:rPr>
      </w:pPr>
      <w:r w:rsidRPr="00611B92">
        <w:rPr>
          <w:rFonts w:ascii="AGaramond" w:hAnsi="AGaramond"/>
          <w:noProof/>
          <w:lang w:val="es-ES" w:eastAsia="es-ES"/>
        </w:rPr>
        <w:drawing>
          <wp:inline distT="0" distB="0" distL="0" distR="0" wp14:anchorId="671F0AA5" wp14:editId="2CE844C4">
            <wp:extent cx="3457575" cy="809625"/>
            <wp:effectExtent l="0" t="0" r="9525" b="952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7575" cy="809625"/>
                    </a:xfrm>
                    <a:prstGeom prst="rect">
                      <a:avLst/>
                    </a:prstGeom>
                    <a:noFill/>
                    <a:ln>
                      <a:noFill/>
                    </a:ln>
                  </pic:spPr>
                </pic:pic>
              </a:graphicData>
            </a:graphic>
          </wp:inline>
        </w:drawing>
      </w:r>
    </w:p>
    <w:p w14:paraId="31002A6C" w14:textId="77777777" w:rsidR="00937DC4" w:rsidRPr="00285874" w:rsidRDefault="00937DC4" w:rsidP="00285874">
      <w:pPr>
        <w:spacing w:after="240" w:line="360" w:lineRule="auto"/>
        <w:ind w:firstLine="284"/>
        <w:jc w:val="both"/>
        <w:rPr>
          <w:rFonts w:ascii="AGaramond" w:eastAsiaTheme="minorEastAsia" w:hAnsi="AGaramond" w:cs="Arial"/>
          <w:sz w:val="22"/>
          <w:szCs w:val="22"/>
        </w:rPr>
      </w:pPr>
      <w:r w:rsidRPr="00285874">
        <w:rPr>
          <w:rFonts w:ascii="AGaramond" w:hAnsi="AGaramond" w:cs="Arial"/>
          <w:sz w:val="22"/>
          <w:szCs w:val="22"/>
        </w:rPr>
        <w:t>El pago (</w:t>
      </w:r>
      <w:proofErr w:type="spellStart"/>
      <w:r w:rsidRPr="00285874">
        <w:rPr>
          <w:rFonts w:ascii="AGaramond" w:hAnsi="AGaramond" w:cs="Arial"/>
          <w:i/>
          <w:iCs/>
          <w:sz w:val="22"/>
          <w:szCs w:val="22"/>
        </w:rPr>
        <w:t>payoff</w:t>
      </w:r>
      <w:proofErr w:type="spellEnd"/>
      <w:r w:rsidRPr="00285874">
        <w:rPr>
          <w:rFonts w:ascii="AGaramond" w:hAnsi="AGaramond" w:cs="Arial"/>
          <w:sz w:val="22"/>
          <w:szCs w:val="22"/>
        </w:rPr>
        <w:t xml:space="preserve">) derivado de actuaciones lícitas es </w:t>
      </w:r>
      <m:oMath>
        <m:r>
          <m:rPr>
            <m:sty m:val="bi"/>
          </m:rPr>
          <w:rPr>
            <w:rFonts w:ascii="Cambria Math" w:hAnsi="Cambria Math" w:cs="Arial"/>
            <w:sz w:val="22"/>
            <w:szCs w:val="22"/>
          </w:rPr>
          <m:t>I</m:t>
        </m:r>
      </m:oMath>
      <w:r w:rsidRPr="00285874">
        <w:rPr>
          <w:rFonts w:ascii="AGaramond" w:eastAsiaTheme="minorEastAsia" w:hAnsi="AGaramond" w:cs="Arial"/>
          <w:sz w:val="22"/>
          <w:szCs w:val="22"/>
        </w:rPr>
        <w:t xml:space="preserve">, mientras que el pago neto por actuaciones ilícitas, cuando el resto de </w:t>
      </w:r>
      <w:proofErr w:type="gramStart"/>
      <w:r w:rsidRPr="00285874">
        <w:rPr>
          <w:rFonts w:ascii="AGaramond" w:eastAsiaTheme="minorEastAsia" w:hAnsi="AGaramond" w:cs="Arial"/>
          <w:sz w:val="22"/>
          <w:szCs w:val="22"/>
        </w:rPr>
        <w:t>funcionarios</w:t>
      </w:r>
      <w:proofErr w:type="gramEnd"/>
      <w:r w:rsidRPr="00285874">
        <w:rPr>
          <w:rFonts w:ascii="AGaramond" w:eastAsiaTheme="minorEastAsia" w:hAnsi="AGaramond" w:cs="Arial"/>
          <w:sz w:val="22"/>
          <w:szCs w:val="22"/>
        </w:rPr>
        <w:t xml:space="preserve"> ejecutan actuaciones lícitas, es </w:t>
      </w:r>
      <m:oMath>
        <m:r>
          <m:rPr>
            <m:sty m:val="bi"/>
          </m:rPr>
          <w:rPr>
            <w:rFonts w:ascii="Cambria Math" w:eastAsiaTheme="minorEastAsia" w:hAnsi="Cambria Math" w:cs="Arial"/>
            <w:sz w:val="22"/>
            <w:szCs w:val="22"/>
          </w:rPr>
          <m:t>M-</m:t>
        </m:r>
        <m:sSup>
          <m:sSupPr>
            <m:ctrlPr>
              <w:rPr>
                <w:rFonts w:ascii="Cambria Math" w:eastAsiaTheme="minorEastAsia" w:hAnsi="Cambria Math" w:cs="Arial"/>
                <w:b/>
                <w:bCs/>
                <w:i/>
                <w:sz w:val="22"/>
                <w:szCs w:val="22"/>
              </w:rPr>
            </m:ctrlPr>
          </m:sSupPr>
          <m:e>
            <m:r>
              <m:rPr>
                <m:sty m:val="bi"/>
              </m:rPr>
              <w:rPr>
                <w:rFonts w:ascii="Cambria Math" w:eastAsiaTheme="minorEastAsia" w:hAnsi="Cambria Math" w:cs="Arial"/>
                <w:sz w:val="22"/>
                <w:szCs w:val="22"/>
              </w:rPr>
              <m:t>P</m:t>
            </m:r>
          </m:e>
          <m:sup>
            <m:r>
              <m:rPr>
                <m:sty m:val="bi"/>
              </m:rPr>
              <w:rPr>
                <w:rFonts w:ascii="Cambria Math" w:eastAsiaTheme="minorEastAsia" w:hAnsi="Cambria Math" w:cs="Arial"/>
                <w:sz w:val="22"/>
                <w:szCs w:val="22"/>
              </w:rPr>
              <m:t>γ</m:t>
            </m:r>
          </m:sup>
        </m:sSup>
      </m:oMath>
      <w:r w:rsidRPr="00285874">
        <w:rPr>
          <w:rFonts w:ascii="AGaramond" w:eastAsiaTheme="minorEastAsia" w:hAnsi="AGaramond" w:cs="Arial"/>
          <w:sz w:val="22"/>
          <w:szCs w:val="22"/>
        </w:rPr>
        <w:t>.</w:t>
      </w:r>
      <w:r w:rsidRPr="00285874">
        <w:rPr>
          <w:rFonts w:ascii="AGaramond" w:eastAsiaTheme="minorEastAsia" w:hAnsi="AGaramond" w:cs="Arial"/>
          <w:b/>
          <w:bCs/>
          <w:sz w:val="22"/>
          <w:szCs w:val="22"/>
        </w:rPr>
        <w:t xml:space="preserve"> </w:t>
      </w:r>
      <w:r w:rsidRPr="00285874">
        <w:rPr>
          <w:rFonts w:ascii="AGaramond" w:eastAsiaTheme="minorEastAsia" w:hAnsi="AGaramond" w:cs="Arial"/>
          <w:sz w:val="22"/>
          <w:szCs w:val="22"/>
        </w:rPr>
        <w:t xml:space="preserve">Cuando los actos ilícitos son prevalentes (situación típica de fallas de Estado), el pago es </w:t>
      </w:r>
      <m:oMath>
        <m:r>
          <m:rPr>
            <m:sty m:val="bi"/>
          </m:rPr>
          <w:rPr>
            <w:rFonts w:ascii="Cambria Math" w:eastAsiaTheme="minorEastAsia" w:hAnsi="Cambria Math" w:cs="Arial"/>
            <w:sz w:val="22"/>
            <w:szCs w:val="22"/>
          </w:rPr>
          <m:t>m,m</m:t>
        </m:r>
      </m:oMath>
      <w:r w:rsidRPr="00285874">
        <w:rPr>
          <w:rFonts w:ascii="AGaramond" w:eastAsiaTheme="minorEastAsia" w:hAnsi="AGaramond" w:cs="Arial"/>
          <w:sz w:val="22"/>
          <w:szCs w:val="22"/>
        </w:rPr>
        <w:t>. Analícese la situación (juego) bajo tres premisas, considerando solo los equilibrios de Nash en estrategias puras</w:t>
      </w:r>
      <w:r w:rsidRPr="00285874">
        <w:rPr>
          <w:rStyle w:val="Refdenotaalpie"/>
          <w:rFonts w:ascii="AGaramond" w:eastAsiaTheme="minorEastAsia" w:hAnsi="AGaramond" w:cs="Arial"/>
          <w:sz w:val="22"/>
          <w:szCs w:val="22"/>
        </w:rPr>
        <w:footnoteReference w:id="21"/>
      </w:r>
      <w:r w:rsidRPr="00285874">
        <w:rPr>
          <w:rFonts w:ascii="AGaramond" w:eastAsiaTheme="minorEastAsia" w:hAnsi="AGaramond" w:cs="Arial"/>
          <w:sz w:val="22"/>
          <w:szCs w:val="22"/>
        </w:rPr>
        <w:t xml:space="preserve">: </w:t>
      </w:r>
    </w:p>
    <w:p w14:paraId="6E684BD2" w14:textId="77777777" w:rsidR="00937DC4" w:rsidRPr="00611B92" w:rsidRDefault="00937DC4" w:rsidP="00285874">
      <w:pPr>
        <w:pStyle w:val="Ttulo3"/>
        <w:numPr>
          <w:ilvl w:val="0"/>
          <w:numId w:val="40"/>
        </w:numPr>
        <w:spacing w:after="240" w:line="360" w:lineRule="auto"/>
        <w:rPr>
          <w:rFonts w:ascii="AGaramond" w:hAnsi="AGaramond" w:cs="Arial"/>
          <w:i/>
          <w:iCs/>
          <w:color w:val="auto"/>
        </w:rPr>
      </w:pPr>
      <m:oMath>
        <m:r>
          <m:rPr>
            <m:sty m:val="bi"/>
          </m:rPr>
          <w:rPr>
            <w:rFonts w:ascii="Cambria Math" w:hAnsi="Cambria Math" w:cs="Arial"/>
            <w:color w:val="auto"/>
          </w:rPr>
          <m:t>m&lt;I&lt;</m:t>
        </m:r>
        <m:d>
          <m:dPr>
            <m:ctrlPr>
              <w:rPr>
                <w:rFonts w:ascii="Cambria Math" w:hAnsi="Cambria Math" w:cs="Arial"/>
                <w:i/>
                <w:iCs/>
                <w:color w:val="auto"/>
              </w:rPr>
            </m:ctrlPr>
          </m:dPr>
          <m:e>
            <m:r>
              <m:rPr>
                <m:sty m:val="bi"/>
              </m:rPr>
              <w:rPr>
                <w:rFonts w:ascii="Cambria Math" w:hAnsi="Cambria Math" w:cs="Arial"/>
                <w:color w:val="auto"/>
              </w:rPr>
              <m:t>M-</m:t>
            </m:r>
            <m:sSup>
              <m:sSupPr>
                <m:ctrlPr>
                  <w:rPr>
                    <w:rFonts w:ascii="Cambria Math" w:hAnsi="Cambria Math" w:cs="Arial"/>
                    <w:i/>
                    <w:iCs/>
                    <w:color w:val="auto"/>
                  </w:rPr>
                </m:ctrlPr>
              </m:sSupPr>
              <m:e>
                <m:r>
                  <m:rPr>
                    <m:sty m:val="bi"/>
                  </m:rPr>
                  <w:rPr>
                    <w:rFonts w:ascii="Cambria Math" w:hAnsi="Cambria Math" w:cs="Arial"/>
                    <w:color w:val="auto"/>
                  </w:rPr>
                  <m:t>P</m:t>
                </m:r>
              </m:e>
              <m:sup>
                <m:r>
                  <m:rPr>
                    <m:sty m:val="bi"/>
                  </m:rPr>
                  <w:rPr>
                    <w:rFonts w:ascii="Cambria Math" w:hAnsi="Cambria Math" w:cs="Arial"/>
                    <w:color w:val="auto"/>
                  </w:rPr>
                  <m:t>γ</m:t>
                </m:r>
              </m:sup>
            </m:sSup>
          </m:e>
        </m:d>
      </m:oMath>
      <w:r w:rsidRPr="00611B92">
        <w:rPr>
          <w:rFonts w:ascii="AGaramond" w:hAnsi="AGaramond" w:cs="Arial"/>
          <w:i/>
          <w:iCs/>
          <w:color w:val="auto"/>
        </w:rPr>
        <w:t xml:space="preserve"> </w:t>
      </w:r>
    </w:p>
    <w:p w14:paraId="3231A848" w14:textId="173F6B94" w:rsidR="00937DC4" w:rsidRPr="00285874" w:rsidRDefault="00937DC4" w:rsidP="00285874">
      <w:pPr>
        <w:spacing w:after="240" w:line="360" w:lineRule="auto"/>
        <w:ind w:firstLine="284"/>
        <w:jc w:val="both"/>
        <w:rPr>
          <w:rFonts w:ascii="AGaramond" w:eastAsiaTheme="minorEastAsia" w:hAnsi="AGaramond" w:cs="Arial"/>
          <w:iCs/>
          <w:sz w:val="22"/>
          <w:szCs w:val="22"/>
        </w:rPr>
      </w:pPr>
      <w:r w:rsidRPr="00285874">
        <w:rPr>
          <w:rFonts w:ascii="AGaramond" w:eastAsiaTheme="minorEastAsia" w:hAnsi="AGaramond" w:cs="Arial"/>
          <w:sz w:val="22"/>
          <w:szCs w:val="22"/>
        </w:rPr>
        <w:t>Esta es la situación más común en la administración pública para funcionarios con cargos de mediano y alto rango de responsabilidad: los recursos que manejan los funcionarios públicos sobrepasan sus ingresos, pero existe un riesgo de penalización que algún funcionario público no necesariamente estaría dispuesto a correr o existe la percepción de que la situación catastrófica del desmantelamiento del Estado (</w:t>
      </w:r>
      <m:oMath>
        <m:r>
          <m:rPr>
            <m:sty m:val="bi"/>
          </m:rPr>
          <w:rPr>
            <w:rFonts w:ascii="Cambria Math" w:eastAsiaTheme="minorEastAsia" w:hAnsi="Cambria Math" w:cs="Arial"/>
            <w:sz w:val="22"/>
            <w:szCs w:val="22"/>
          </w:rPr>
          <m:t>m,m</m:t>
        </m:r>
      </m:oMath>
      <w:r w:rsidRPr="00285874">
        <w:rPr>
          <w:rFonts w:ascii="AGaramond" w:eastAsiaTheme="minorEastAsia" w:hAnsi="AGaramond" w:cs="Arial"/>
          <w:sz w:val="22"/>
          <w:szCs w:val="22"/>
        </w:rPr>
        <w:t>) debe evitarse porque perjudicaría a todos. Ocurren, por tanto, actos lícitos e ilícitos</w:t>
      </w:r>
      <w:r w:rsidR="00345D41">
        <w:rPr>
          <w:rFonts w:ascii="AGaramond" w:eastAsiaTheme="minorEastAsia" w:hAnsi="AGaramond" w:cs="Arial"/>
          <w:sz w:val="22"/>
          <w:szCs w:val="22"/>
        </w:rPr>
        <w:t>;</w:t>
      </w:r>
      <w:r w:rsidRPr="00285874">
        <w:rPr>
          <w:rFonts w:ascii="AGaramond" w:eastAsiaTheme="minorEastAsia" w:hAnsi="AGaramond" w:cs="Arial"/>
          <w:sz w:val="22"/>
          <w:szCs w:val="22"/>
        </w:rPr>
        <w:t xml:space="preserve"> es decir, dos equilibrios de Nash en </w:t>
      </w:r>
      <w:r w:rsidR="005245F2">
        <w:rPr>
          <w:rFonts w:ascii="AGaramond" w:eastAsiaTheme="minorEastAsia" w:hAnsi="AGaramond" w:cs="Arial"/>
          <w:sz w:val="22"/>
          <w:szCs w:val="22"/>
        </w:rPr>
        <w:t>estrategias</w:t>
      </w:r>
      <w:r w:rsidRPr="00285874">
        <w:rPr>
          <w:rFonts w:ascii="AGaramond" w:eastAsiaTheme="minorEastAsia" w:hAnsi="AGaramond" w:cs="Arial"/>
          <w:sz w:val="22"/>
          <w:szCs w:val="22"/>
        </w:rPr>
        <w:t xml:space="preserve"> puras: (</w:t>
      </w:r>
      <m:oMath>
        <m:r>
          <w:rPr>
            <w:rFonts w:ascii="Cambria Math" w:hAnsi="Cambria Math" w:cs="Arial"/>
            <w:sz w:val="22"/>
            <w:szCs w:val="22"/>
          </w:rPr>
          <m:t>M-</m:t>
        </m:r>
        <m:sSup>
          <m:sSupPr>
            <m:ctrlPr>
              <w:rPr>
                <w:rFonts w:ascii="Cambria Math" w:hAnsi="Cambria Math" w:cs="Arial"/>
                <w:i/>
                <w:iCs/>
                <w:sz w:val="22"/>
                <w:szCs w:val="22"/>
              </w:rPr>
            </m:ctrlPr>
          </m:sSupPr>
          <m:e>
            <m:r>
              <w:rPr>
                <w:rFonts w:ascii="Cambria Math" w:hAnsi="Cambria Math" w:cs="Arial"/>
                <w:sz w:val="22"/>
                <w:szCs w:val="22"/>
              </w:rPr>
              <m:t>P</m:t>
            </m:r>
          </m:e>
          <m:sup>
            <m:r>
              <w:rPr>
                <w:rFonts w:ascii="Cambria Math" w:hAnsi="Cambria Math" w:cs="Arial"/>
                <w:sz w:val="22"/>
                <w:szCs w:val="22"/>
              </w:rPr>
              <m:t>γ</m:t>
            </m:r>
          </m:sup>
        </m:sSup>
        <m:r>
          <w:rPr>
            <w:rFonts w:ascii="Cambria Math" w:hAnsi="Cambria Math" w:cs="Arial"/>
            <w:sz w:val="22"/>
            <w:szCs w:val="22"/>
          </w:rPr>
          <m:t>,</m:t>
        </m:r>
        <m:r>
          <m:rPr>
            <m:sty m:val="bi"/>
          </m:rPr>
          <w:rPr>
            <w:rFonts w:ascii="Cambria Math" w:hAnsi="Cambria Math" w:cs="Arial"/>
            <w:sz w:val="22"/>
            <w:szCs w:val="22"/>
          </w:rPr>
          <m:t>I</m:t>
        </m:r>
        <m:r>
          <w:rPr>
            <w:rFonts w:ascii="Cambria Math" w:hAnsi="Cambria Math" w:cs="Arial"/>
            <w:sz w:val="22"/>
            <w:szCs w:val="22"/>
          </w:rPr>
          <m:t>)</m:t>
        </m:r>
      </m:oMath>
      <w:r w:rsidRPr="00285874">
        <w:rPr>
          <w:rFonts w:ascii="AGaramond" w:eastAsiaTheme="minorEastAsia" w:hAnsi="AGaramond" w:cs="Arial"/>
          <w:iCs/>
          <w:sz w:val="22"/>
          <w:szCs w:val="22"/>
        </w:rPr>
        <w:t xml:space="preserve"> e (</w:t>
      </w:r>
      <m:oMath>
        <m:r>
          <m:rPr>
            <m:sty m:val="bi"/>
          </m:rPr>
          <w:rPr>
            <w:rFonts w:ascii="Cambria Math" w:eastAsiaTheme="minorEastAsia" w:hAnsi="Cambria Math" w:cs="Arial"/>
            <w:sz w:val="22"/>
            <w:szCs w:val="22"/>
          </w:rPr>
          <m:t>I</m:t>
        </m:r>
        <m:r>
          <w:rPr>
            <w:rFonts w:ascii="Cambria Math" w:eastAsiaTheme="minorEastAsia" w:hAnsi="Cambria Math" w:cs="Arial"/>
            <w:sz w:val="22"/>
            <w:szCs w:val="22"/>
          </w:rPr>
          <m:t xml:space="preserve">, </m:t>
        </m:r>
        <m:r>
          <w:rPr>
            <w:rFonts w:ascii="Cambria Math" w:hAnsi="Cambria Math" w:cs="Arial"/>
            <w:sz w:val="22"/>
            <w:szCs w:val="22"/>
          </w:rPr>
          <m:t>M-</m:t>
        </m:r>
        <m:sSup>
          <m:sSupPr>
            <m:ctrlPr>
              <w:rPr>
                <w:rFonts w:ascii="Cambria Math" w:hAnsi="Cambria Math" w:cs="Arial"/>
                <w:i/>
                <w:iCs/>
                <w:sz w:val="22"/>
                <w:szCs w:val="22"/>
              </w:rPr>
            </m:ctrlPr>
          </m:sSupPr>
          <m:e>
            <m:r>
              <w:rPr>
                <w:rFonts w:ascii="Cambria Math" w:hAnsi="Cambria Math" w:cs="Arial"/>
                <w:sz w:val="22"/>
                <w:szCs w:val="22"/>
              </w:rPr>
              <m:t>P</m:t>
            </m:r>
          </m:e>
          <m:sup>
            <m:r>
              <w:rPr>
                <w:rFonts w:ascii="Cambria Math" w:hAnsi="Cambria Math" w:cs="Arial"/>
                <w:sz w:val="22"/>
                <w:szCs w:val="22"/>
              </w:rPr>
              <m:t>γ</m:t>
            </m:r>
          </m:sup>
        </m:sSup>
        <m:r>
          <w:rPr>
            <w:rFonts w:ascii="Cambria Math" w:hAnsi="Cambria Math" w:cs="Arial"/>
            <w:sz w:val="22"/>
            <w:szCs w:val="22"/>
          </w:rPr>
          <m:t>)</m:t>
        </m:r>
      </m:oMath>
      <w:r w:rsidRPr="00285874">
        <w:rPr>
          <w:rFonts w:ascii="AGaramond" w:eastAsiaTheme="minorEastAsia" w:hAnsi="AGaramond" w:cs="Arial"/>
          <w:iCs/>
          <w:sz w:val="22"/>
          <w:szCs w:val="22"/>
        </w:rPr>
        <w:t>, respectivamente.</w:t>
      </w:r>
    </w:p>
    <w:p w14:paraId="3611A8B3" w14:textId="0E088425" w:rsidR="00937DC4" w:rsidRPr="00285874" w:rsidRDefault="00937DC4" w:rsidP="00285874">
      <w:pPr>
        <w:spacing w:after="240" w:line="360" w:lineRule="auto"/>
        <w:ind w:firstLine="284"/>
        <w:jc w:val="both"/>
        <w:rPr>
          <w:rFonts w:ascii="AGaramond" w:eastAsiaTheme="minorEastAsia" w:hAnsi="AGaramond" w:cs="Arial"/>
          <w:iCs/>
          <w:sz w:val="22"/>
          <w:szCs w:val="22"/>
        </w:rPr>
      </w:pPr>
      <w:r w:rsidRPr="00285874">
        <w:rPr>
          <w:rFonts w:ascii="AGaramond" w:eastAsiaTheme="minorEastAsia" w:hAnsi="AGaramond" w:cs="Arial"/>
          <w:iCs/>
          <w:sz w:val="22"/>
          <w:szCs w:val="22"/>
        </w:rPr>
        <w:t>Siguiendo el razonamiento de la subsección anterior</w:t>
      </w:r>
      <w:r w:rsidR="00345D41">
        <w:rPr>
          <w:rFonts w:ascii="AGaramond" w:eastAsiaTheme="minorEastAsia" w:hAnsi="AGaramond" w:cs="Arial"/>
          <w:iCs/>
          <w:sz w:val="22"/>
          <w:szCs w:val="22"/>
        </w:rPr>
        <w:t>;</w:t>
      </w:r>
      <w:r w:rsidRPr="00285874">
        <w:rPr>
          <w:rFonts w:ascii="AGaramond" w:eastAsiaTheme="minorEastAsia" w:hAnsi="AGaramond" w:cs="Arial"/>
          <w:iCs/>
          <w:sz w:val="22"/>
          <w:szCs w:val="22"/>
        </w:rPr>
        <w:t xml:space="preserve"> es decir, partiendo de una visión repetida de la situación (juego) por parte del funcionario público, la decisión del agente de acometer actos lícitos dependerá de su tasa subjetiva de descuento respecto de la matriz de pago en valor presente:</w:t>
      </w:r>
    </w:p>
    <w:p w14:paraId="5E81ACFF" w14:textId="77777777" w:rsidR="00937DC4" w:rsidRPr="00611B92" w:rsidRDefault="00937DC4" w:rsidP="005245F2">
      <w:pPr>
        <w:pStyle w:val="Prrafodelista"/>
        <w:numPr>
          <w:ilvl w:val="0"/>
          <w:numId w:val="37"/>
        </w:numPr>
        <w:spacing w:line="360" w:lineRule="auto"/>
        <w:jc w:val="both"/>
        <w:rPr>
          <w:rFonts w:ascii="AGaramond" w:eastAsiaTheme="minorEastAsia" w:hAnsi="AGaramond" w:cs="Arial"/>
          <w:sz w:val="28"/>
          <w:szCs w:val="28"/>
        </w:rPr>
      </w:pPr>
      <w:r w:rsidRPr="00611B92">
        <w:rPr>
          <w:rFonts w:ascii="AGaramond" w:eastAsiaTheme="minorEastAsia" w:hAnsi="AGaramond" w:cs="Arial"/>
          <w:sz w:val="24"/>
          <w:szCs w:val="24"/>
        </w:rPr>
        <w:t xml:space="preserve"> </w:t>
      </w:r>
      <m:oMath>
        <m:r>
          <w:rPr>
            <w:rFonts w:ascii="Cambria Math" w:eastAsiaTheme="minorEastAsia" w:hAnsi="Cambria Math" w:cs="Arial"/>
            <w:sz w:val="24"/>
            <w:szCs w:val="24"/>
          </w:rPr>
          <m:t>I+</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I</m:t>
            </m:r>
          </m:num>
          <m:den>
            <m:r>
              <w:rPr>
                <w:rFonts w:ascii="Cambria Math" w:eastAsiaTheme="minorEastAsia" w:hAnsi="Cambria Math" w:cs="Arial"/>
                <w:sz w:val="24"/>
                <w:szCs w:val="24"/>
              </w:rPr>
              <m:t>r</m:t>
            </m:r>
          </m:den>
        </m:f>
        <m:r>
          <w:rPr>
            <w:rFonts w:ascii="Cambria Math" w:hAnsi="Cambria Math" w:cs="Arial"/>
            <w:sz w:val="28"/>
            <w:szCs w:val="28"/>
          </w:rPr>
          <m:t>&gt;</m:t>
        </m:r>
        <m:d>
          <m:dPr>
            <m:ctrlPr>
              <w:rPr>
                <w:rFonts w:ascii="Cambria Math" w:hAnsi="Cambria Math" w:cs="Arial"/>
                <w:i/>
                <w:sz w:val="28"/>
                <w:szCs w:val="28"/>
              </w:rPr>
            </m:ctrlPr>
          </m:dPr>
          <m:e>
            <m:r>
              <w:rPr>
                <w:rFonts w:ascii="Cambria Math" w:hAnsi="Cambria Math" w:cs="Arial"/>
                <w:sz w:val="28"/>
                <w:szCs w:val="28"/>
              </w:rPr>
              <m:t>M-</m:t>
            </m:r>
            <m:sSup>
              <m:sSupPr>
                <m:ctrlPr>
                  <w:rPr>
                    <w:rFonts w:ascii="Cambria Math" w:hAnsi="Cambria Math" w:cs="Arial"/>
                    <w:i/>
                    <w:sz w:val="28"/>
                    <w:szCs w:val="28"/>
                  </w:rPr>
                </m:ctrlPr>
              </m:sSupPr>
              <m:e>
                <m:r>
                  <w:rPr>
                    <w:rFonts w:ascii="Cambria Math" w:hAnsi="Cambria Math" w:cs="Arial"/>
                    <w:sz w:val="28"/>
                    <w:szCs w:val="28"/>
                  </w:rPr>
                  <m:t>P</m:t>
                </m:r>
              </m:e>
              <m:sup>
                <m:r>
                  <w:rPr>
                    <w:rFonts w:ascii="Cambria Math" w:hAnsi="Cambria Math" w:cs="Arial"/>
                    <w:sz w:val="28"/>
                    <w:szCs w:val="28"/>
                  </w:rPr>
                  <m:t>γ</m:t>
                </m:r>
              </m:sup>
            </m:sSup>
          </m:e>
        </m:d>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m</m:t>
            </m:r>
          </m:num>
          <m:den>
            <m:r>
              <w:rPr>
                <w:rFonts w:ascii="Cambria Math" w:hAnsi="Cambria Math" w:cs="Arial"/>
                <w:sz w:val="28"/>
                <w:szCs w:val="28"/>
              </w:rPr>
              <m:t>r</m:t>
            </m:r>
          </m:den>
        </m:f>
        <m:r>
          <w:rPr>
            <w:rFonts w:ascii="Cambria Math" w:hAnsi="Cambria Math" w:cs="Arial"/>
            <w:sz w:val="28"/>
            <w:szCs w:val="28"/>
          </w:rPr>
          <m:t>⇔r&lt;</m:t>
        </m:r>
        <m:f>
          <m:fPr>
            <m:ctrlPr>
              <w:rPr>
                <w:rFonts w:ascii="Cambria Math" w:hAnsi="Cambria Math" w:cs="Arial"/>
                <w:i/>
                <w:sz w:val="28"/>
                <w:szCs w:val="28"/>
              </w:rPr>
            </m:ctrlPr>
          </m:fPr>
          <m:num>
            <m:r>
              <w:rPr>
                <w:rFonts w:ascii="Cambria Math" w:hAnsi="Cambria Math" w:cs="Arial"/>
                <w:sz w:val="28"/>
                <w:szCs w:val="28"/>
              </w:rPr>
              <m:t>I-m</m:t>
            </m:r>
          </m:num>
          <m:den>
            <m:r>
              <w:rPr>
                <w:rFonts w:ascii="Cambria Math" w:hAnsi="Cambria Math" w:cs="Arial"/>
                <w:sz w:val="28"/>
                <w:szCs w:val="28"/>
              </w:rPr>
              <m:t>(M-</m:t>
            </m:r>
            <m:sSup>
              <m:sSupPr>
                <m:ctrlPr>
                  <w:rPr>
                    <w:rFonts w:ascii="Cambria Math" w:hAnsi="Cambria Math" w:cs="Arial"/>
                    <w:i/>
                    <w:sz w:val="28"/>
                    <w:szCs w:val="28"/>
                  </w:rPr>
                </m:ctrlPr>
              </m:sSupPr>
              <m:e>
                <m:r>
                  <w:rPr>
                    <w:rFonts w:ascii="Cambria Math" w:hAnsi="Cambria Math" w:cs="Arial"/>
                    <w:sz w:val="28"/>
                    <w:szCs w:val="28"/>
                  </w:rPr>
                  <m:t>P</m:t>
                </m:r>
              </m:e>
              <m:sup>
                <m:r>
                  <w:rPr>
                    <w:rFonts w:ascii="Cambria Math" w:hAnsi="Cambria Math" w:cs="Arial"/>
                    <w:sz w:val="28"/>
                    <w:szCs w:val="28"/>
                  </w:rPr>
                  <m:t>γ</m:t>
                </m:r>
              </m:sup>
            </m:sSup>
            <m:r>
              <w:rPr>
                <w:rFonts w:ascii="Cambria Math" w:hAnsi="Cambria Math" w:cs="Arial"/>
                <w:sz w:val="28"/>
                <w:szCs w:val="28"/>
              </w:rPr>
              <m:t>)-I</m:t>
            </m:r>
          </m:den>
        </m:f>
      </m:oMath>
    </w:p>
    <w:p w14:paraId="2FD6A7E7" w14:textId="77777777" w:rsidR="00937DC4" w:rsidRPr="005245F2" w:rsidRDefault="00937DC4" w:rsidP="005245F2">
      <w:pPr>
        <w:spacing w:after="240" w:line="360" w:lineRule="auto"/>
        <w:ind w:firstLine="284"/>
        <w:jc w:val="both"/>
        <w:rPr>
          <w:rFonts w:ascii="AGaramond" w:eastAsiaTheme="minorEastAsia" w:hAnsi="AGaramond" w:cs="Arial"/>
          <w:sz w:val="22"/>
          <w:szCs w:val="22"/>
        </w:rPr>
      </w:pPr>
      <w:r w:rsidRPr="005245F2">
        <w:rPr>
          <w:rFonts w:ascii="AGaramond" w:eastAsiaTheme="minorEastAsia" w:hAnsi="AGaramond" w:cs="Arial"/>
          <w:sz w:val="22"/>
          <w:szCs w:val="22"/>
        </w:rPr>
        <w:lastRenderedPageBreak/>
        <w:t xml:space="preserve">En este caso, en la medida que aumenta </w:t>
      </w:r>
      <m:oMath>
        <m:r>
          <m:rPr>
            <m:sty m:val="bi"/>
          </m:rPr>
          <w:rPr>
            <w:rFonts w:ascii="Cambria Math" w:eastAsiaTheme="minorEastAsia" w:hAnsi="Cambria Math" w:cs="Arial"/>
            <w:sz w:val="22"/>
            <w:szCs w:val="22"/>
          </w:rPr>
          <m:t>M</m:t>
        </m:r>
      </m:oMath>
      <w:r w:rsidRPr="005245F2">
        <w:rPr>
          <w:rFonts w:ascii="AGaramond" w:eastAsiaTheme="minorEastAsia" w:hAnsi="AGaramond" w:cs="Arial"/>
          <w:sz w:val="22"/>
          <w:szCs w:val="22"/>
        </w:rPr>
        <w:t xml:space="preserve"> y </w:t>
      </w:r>
      <m:oMath>
        <m:r>
          <m:rPr>
            <m:sty m:val="bi"/>
          </m:rPr>
          <w:rPr>
            <w:rFonts w:ascii="Cambria Math" w:eastAsiaTheme="minorEastAsia" w:hAnsi="Cambria Math" w:cs="Arial"/>
            <w:sz w:val="22"/>
            <w:szCs w:val="22"/>
          </w:rPr>
          <m:t>m</m:t>
        </m:r>
      </m:oMath>
      <w:r w:rsidRPr="005245F2">
        <w:rPr>
          <w:rFonts w:ascii="AGaramond" w:eastAsiaTheme="minorEastAsia" w:hAnsi="AGaramond" w:cs="Arial"/>
          <w:sz w:val="22"/>
          <w:szCs w:val="22"/>
        </w:rPr>
        <w:t>, más difícil son las actuaciones a favor de la sociedad, mientras que aumentos en los ingresos en valor presente incentivan actuaciones lícitas</w:t>
      </w:r>
      <w:r w:rsidRPr="005245F2">
        <w:rPr>
          <w:rStyle w:val="Refdenotaalpie"/>
          <w:rFonts w:ascii="AGaramond" w:eastAsiaTheme="minorEastAsia" w:hAnsi="AGaramond" w:cs="Arial"/>
          <w:sz w:val="22"/>
          <w:szCs w:val="22"/>
        </w:rPr>
        <w:footnoteReference w:id="22"/>
      </w:r>
      <w:r w:rsidRPr="005245F2">
        <w:rPr>
          <w:rFonts w:ascii="AGaramond" w:eastAsiaTheme="minorEastAsia" w:hAnsi="AGaramond" w:cs="Arial"/>
          <w:sz w:val="22"/>
          <w:szCs w:val="22"/>
        </w:rPr>
        <w:t>.</w:t>
      </w:r>
    </w:p>
    <w:p w14:paraId="58F406A8" w14:textId="77777777" w:rsidR="00937DC4" w:rsidRPr="00611B92" w:rsidRDefault="00937DC4" w:rsidP="005245F2">
      <w:pPr>
        <w:pStyle w:val="Ttulo3"/>
        <w:numPr>
          <w:ilvl w:val="0"/>
          <w:numId w:val="40"/>
        </w:numPr>
        <w:spacing w:before="0" w:after="240" w:line="360" w:lineRule="auto"/>
        <w:rPr>
          <w:rFonts w:ascii="AGaramond" w:eastAsiaTheme="minorEastAsia" w:hAnsi="AGaramond" w:cs="Arial"/>
          <w:color w:val="auto"/>
          <w:lang w:val="es-BO"/>
        </w:rPr>
      </w:pPr>
      <m:oMath>
        <m:r>
          <m:rPr>
            <m:sty m:val="bi"/>
          </m:rPr>
          <w:rPr>
            <w:rFonts w:ascii="Cambria Math" w:eastAsiaTheme="minorEastAsia" w:hAnsi="Cambria Math" w:cs="Arial"/>
            <w:color w:val="auto"/>
          </w:rPr>
          <m:t>I</m:t>
        </m:r>
        <m:r>
          <m:rPr>
            <m:sty m:val="b"/>
          </m:rPr>
          <w:rPr>
            <w:rFonts w:ascii="Cambria Math" w:eastAsiaTheme="minorEastAsia" w:hAnsi="Cambria Math" w:cs="Arial"/>
            <w:color w:val="auto"/>
            <w:lang w:val="es-BO"/>
          </w:rPr>
          <m:t>&lt;</m:t>
        </m:r>
        <m:r>
          <m:rPr>
            <m:sty m:val="bi"/>
          </m:rPr>
          <w:rPr>
            <w:rFonts w:ascii="Cambria Math" w:eastAsiaTheme="minorEastAsia" w:hAnsi="Cambria Math" w:cs="Arial"/>
            <w:color w:val="auto"/>
          </w:rPr>
          <m:t>m</m:t>
        </m:r>
        <m:r>
          <m:rPr>
            <m:sty m:val="b"/>
          </m:rPr>
          <w:rPr>
            <w:rFonts w:ascii="Cambria Math" w:eastAsiaTheme="minorEastAsia" w:hAnsi="Cambria Math" w:cs="Arial"/>
            <w:color w:val="auto"/>
            <w:lang w:val="es-BO"/>
          </w:rPr>
          <m:t>&lt;</m:t>
        </m:r>
        <m:d>
          <m:dPr>
            <m:ctrlPr>
              <w:rPr>
                <w:rFonts w:ascii="Cambria Math" w:hAnsi="Cambria Math" w:cs="Arial"/>
                <w:color w:val="auto"/>
              </w:rPr>
            </m:ctrlPr>
          </m:dPr>
          <m:e>
            <m:r>
              <m:rPr>
                <m:sty m:val="bi"/>
              </m:rPr>
              <w:rPr>
                <w:rFonts w:ascii="Cambria Math" w:hAnsi="Cambria Math" w:cs="Arial"/>
                <w:color w:val="auto"/>
              </w:rPr>
              <m:t>M</m:t>
            </m:r>
            <m:r>
              <m:rPr>
                <m:sty m:val="b"/>
              </m:rPr>
              <w:rPr>
                <w:rFonts w:ascii="Cambria Math" w:hAnsi="Cambria Math" w:cs="Arial"/>
                <w:color w:val="auto"/>
                <w:lang w:val="es-BO"/>
              </w:rPr>
              <m:t>-</m:t>
            </m:r>
            <m:sSup>
              <m:sSupPr>
                <m:ctrlPr>
                  <w:rPr>
                    <w:rFonts w:ascii="Cambria Math" w:hAnsi="Cambria Math" w:cs="Arial"/>
                    <w:color w:val="auto"/>
                  </w:rPr>
                </m:ctrlPr>
              </m:sSupPr>
              <m:e>
                <m:r>
                  <m:rPr>
                    <m:sty m:val="bi"/>
                  </m:rPr>
                  <w:rPr>
                    <w:rFonts w:ascii="Cambria Math" w:hAnsi="Cambria Math" w:cs="Arial"/>
                    <w:color w:val="auto"/>
                  </w:rPr>
                  <m:t>P</m:t>
                </m:r>
              </m:e>
              <m:sup>
                <m:r>
                  <m:rPr>
                    <m:sty m:val="bi"/>
                  </m:rPr>
                  <w:rPr>
                    <w:rFonts w:ascii="Cambria Math" w:hAnsi="Cambria Math" w:cs="Arial"/>
                    <w:color w:val="auto"/>
                  </w:rPr>
                  <m:t>γ</m:t>
                </m:r>
              </m:sup>
            </m:sSup>
          </m:e>
        </m:d>
      </m:oMath>
    </w:p>
    <w:p w14:paraId="24B04EA6" w14:textId="027D252B" w:rsidR="00937DC4" w:rsidRPr="005245F2" w:rsidRDefault="00937DC4" w:rsidP="005245F2">
      <w:pPr>
        <w:spacing w:after="240" w:line="360" w:lineRule="auto"/>
        <w:ind w:firstLine="284"/>
        <w:jc w:val="both"/>
        <w:rPr>
          <w:rFonts w:ascii="AGaramond" w:eastAsiaTheme="minorEastAsia" w:hAnsi="AGaramond" w:cs="Arial"/>
          <w:sz w:val="22"/>
          <w:szCs w:val="22"/>
          <w:lang w:val="es-BO"/>
        </w:rPr>
      </w:pPr>
      <w:r w:rsidRPr="005245F2">
        <w:rPr>
          <w:rFonts w:ascii="AGaramond" w:eastAsiaTheme="minorEastAsia" w:hAnsi="AGaramond" w:cs="Arial"/>
          <w:sz w:val="22"/>
          <w:szCs w:val="22"/>
          <w:lang w:val="es-BO"/>
        </w:rPr>
        <w:t>Esta premisa manifiesta situaciones de fallas de Estado: el Estado rompe el contrato que los empleados públicos, siendo incapaz de cumplir con los compromisos de contratación colectiva. En tales circunstancias</w:t>
      </w:r>
      <w:r w:rsidR="00253975">
        <w:rPr>
          <w:rFonts w:ascii="AGaramond" w:eastAsiaTheme="minorEastAsia" w:hAnsi="AGaramond" w:cs="Arial"/>
          <w:sz w:val="22"/>
          <w:szCs w:val="22"/>
          <w:lang w:val="es-BO"/>
        </w:rPr>
        <w:t>,</w:t>
      </w:r>
      <w:r w:rsidRPr="005245F2">
        <w:rPr>
          <w:rFonts w:ascii="AGaramond" w:eastAsiaTheme="minorEastAsia" w:hAnsi="AGaramond" w:cs="Arial"/>
          <w:sz w:val="22"/>
          <w:szCs w:val="22"/>
          <w:lang w:val="es-BO"/>
        </w:rPr>
        <w:t xml:space="preserve"> la corrupción es prevalente. En términos del juego simultáneo, tanto el </w:t>
      </w:r>
      <w:r w:rsidRPr="005245F2">
        <w:rPr>
          <w:rFonts w:ascii="AGaramond" w:eastAsiaTheme="minorEastAsia" w:hAnsi="AGaramond" w:cs="Arial"/>
          <w:i/>
          <w:iCs/>
          <w:sz w:val="22"/>
          <w:szCs w:val="22"/>
          <w:lang w:val="es-BO"/>
        </w:rPr>
        <w:t>funcionario A</w:t>
      </w:r>
      <w:r w:rsidRPr="005245F2">
        <w:rPr>
          <w:rFonts w:ascii="AGaramond" w:eastAsiaTheme="minorEastAsia" w:hAnsi="AGaramond" w:cs="Arial"/>
          <w:sz w:val="22"/>
          <w:szCs w:val="22"/>
          <w:lang w:val="es-BO"/>
        </w:rPr>
        <w:t xml:space="preserve"> como el </w:t>
      </w:r>
      <w:r w:rsidRPr="005245F2">
        <w:rPr>
          <w:rFonts w:ascii="AGaramond" w:eastAsiaTheme="minorEastAsia" w:hAnsi="AGaramond" w:cs="Arial"/>
          <w:i/>
          <w:iCs/>
          <w:sz w:val="22"/>
          <w:szCs w:val="22"/>
          <w:lang w:val="es-BO"/>
        </w:rPr>
        <w:t xml:space="preserve">resto de </w:t>
      </w:r>
      <w:proofErr w:type="gramStart"/>
      <w:r w:rsidRPr="005245F2">
        <w:rPr>
          <w:rFonts w:ascii="AGaramond" w:eastAsiaTheme="minorEastAsia" w:hAnsi="AGaramond" w:cs="Arial"/>
          <w:i/>
          <w:iCs/>
          <w:sz w:val="22"/>
          <w:szCs w:val="22"/>
          <w:lang w:val="es-BO"/>
        </w:rPr>
        <w:t>funcionarios</w:t>
      </w:r>
      <w:proofErr w:type="gramEnd"/>
      <w:r w:rsidRPr="005245F2">
        <w:rPr>
          <w:rFonts w:ascii="AGaramond" w:eastAsiaTheme="minorEastAsia" w:hAnsi="AGaramond" w:cs="Arial"/>
          <w:sz w:val="22"/>
          <w:szCs w:val="22"/>
          <w:lang w:val="es-BO"/>
        </w:rPr>
        <w:t xml:space="preserve"> muestran acciones (estrategias) estrictamente dominantes a favor de acometer actos ilícitos, siendo el equilibrio de Nash </w:t>
      </w:r>
      <w:bookmarkStart w:id="7" w:name="_Hlk78441733"/>
      <w:r w:rsidRPr="005245F2">
        <w:rPr>
          <w:rFonts w:ascii="AGaramond" w:eastAsiaTheme="minorEastAsia" w:hAnsi="AGaramond" w:cs="Arial"/>
          <w:sz w:val="22"/>
          <w:szCs w:val="22"/>
          <w:lang w:val="es-BO"/>
        </w:rPr>
        <w:t>(</w:t>
      </w:r>
      <m:oMath>
        <m:r>
          <m:rPr>
            <m:sty m:val="bi"/>
          </m:rPr>
          <w:rPr>
            <w:rFonts w:ascii="Cambria Math" w:eastAsiaTheme="minorEastAsia" w:hAnsi="Cambria Math" w:cs="Arial"/>
            <w:sz w:val="22"/>
            <w:szCs w:val="22"/>
            <w:lang w:val="es-BO"/>
          </w:rPr>
          <m:t>m,m</m:t>
        </m:r>
      </m:oMath>
      <w:r w:rsidRPr="005245F2">
        <w:rPr>
          <w:rFonts w:ascii="AGaramond" w:eastAsiaTheme="minorEastAsia" w:hAnsi="AGaramond" w:cs="Arial"/>
          <w:sz w:val="22"/>
          <w:szCs w:val="22"/>
          <w:lang w:val="es-BO"/>
        </w:rPr>
        <w:t>)</w:t>
      </w:r>
      <w:bookmarkEnd w:id="7"/>
      <w:r w:rsidRPr="005245F2">
        <w:rPr>
          <w:rFonts w:ascii="AGaramond" w:eastAsiaTheme="minorEastAsia" w:hAnsi="AGaramond" w:cs="Arial"/>
          <w:sz w:val="22"/>
          <w:szCs w:val="22"/>
          <w:lang w:val="es-BO"/>
        </w:rPr>
        <w:t>. Este equilibrio es tan inexorable que ni siquiera la percepción de situaciones repetidas futuras pudiesen alterar el equilibrio. (¡En términos de la inecuación 3, el lado derecho de la desigualdad es negativo!)</w:t>
      </w:r>
      <w:r w:rsidRPr="005245F2">
        <w:rPr>
          <w:rStyle w:val="Refdenotaalpie"/>
          <w:rFonts w:ascii="AGaramond" w:eastAsiaTheme="minorEastAsia" w:hAnsi="AGaramond" w:cs="Arial"/>
          <w:sz w:val="22"/>
          <w:szCs w:val="22"/>
          <w:lang w:val="es-BO"/>
        </w:rPr>
        <w:footnoteReference w:id="23"/>
      </w:r>
      <w:r w:rsidR="005245F2">
        <w:rPr>
          <w:rFonts w:ascii="AGaramond" w:eastAsiaTheme="minorEastAsia" w:hAnsi="AGaramond" w:cs="Arial"/>
          <w:sz w:val="22"/>
          <w:szCs w:val="22"/>
          <w:lang w:val="es-BO"/>
        </w:rPr>
        <w:t>.</w:t>
      </w:r>
    </w:p>
    <w:p w14:paraId="1AC5F433" w14:textId="77777777" w:rsidR="00937DC4" w:rsidRPr="00611B92" w:rsidRDefault="00937DC4" w:rsidP="005245F2">
      <w:pPr>
        <w:pStyle w:val="Ttulo3"/>
        <w:numPr>
          <w:ilvl w:val="0"/>
          <w:numId w:val="40"/>
        </w:numPr>
        <w:spacing w:after="240" w:line="360" w:lineRule="auto"/>
        <w:rPr>
          <w:rFonts w:ascii="AGaramond" w:hAnsi="AGaramond" w:cs="Arial"/>
          <w:iCs/>
          <w:color w:val="auto"/>
        </w:rPr>
      </w:pPr>
      <w:r w:rsidRPr="00611B92">
        <w:rPr>
          <w:rFonts w:ascii="AGaramond" w:hAnsi="AGaramond" w:cs="Arial"/>
          <w:color w:val="auto"/>
          <w:lang w:val="es-BO"/>
        </w:rPr>
        <w:t xml:space="preserve"> </w:t>
      </w:r>
      <m:oMath>
        <m:d>
          <m:dPr>
            <m:ctrlPr>
              <w:rPr>
                <w:rFonts w:ascii="Cambria Math" w:hAnsi="Cambria Math" w:cs="Arial"/>
                <w:color w:val="auto"/>
              </w:rPr>
            </m:ctrlPr>
          </m:dPr>
          <m:e>
            <m:r>
              <m:rPr>
                <m:sty m:val="bi"/>
              </m:rPr>
              <w:rPr>
                <w:rFonts w:ascii="Cambria Math" w:hAnsi="Cambria Math" w:cs="Arial"/>
                <w:color w:val="auto"/>
              </w:rPr>
              <m:t>M</m:t>
            </m:r>
            <m:r>
              <m:rPr>
                <m:sty m:val="b"/>
              </m:rPr>
              <w:rPr>
                <w:rFonts w:ascii="Cambria Math" w:hAnsi="Cambria Math" w:cs="Arial"/>
                <w:color w:val="auto"/>
                <w:lang w:val="es-BO"/>
              </w:rPr>
              <m:t>-</m:t>
            </m:r>
            <m:sSup>
              <m:sSupPr>
                <m:ctrlPr>
                  <w:rPr>
                    <w:rFonts w:ascii="Cambria Math" w:hAnsi="Cambria Math" w:cs="Arial"/>
                    <w:color w:val="auto"/>
                  </w:rPr>
                </m:ctrlPr>
              </m:sSupPr>
              <m:e>
                <m:r>
                  <m:rPr>
                    <m:sty m:val="bi"/>
                  </m:rPr>
                  <w:rPr>
                    <w:rFonts w:ascii="Cambria Math" w:hAnsi="Cambria Math" w:cs="Arial"/>
                    <w:color w:val="auto"/>
                  </w:rPr>
                  <m:t>P</m:t>
                </m:r>
              </m:e>
              <m:sup>
                <m:r>
                  <m:rPr>
                    <m:sty m:val="bi"/>
                  </m:rPr>
                  <w:rPr>
                    <w:rFonts w:ascii="Cambria Math" w:hAnsi="Cambria Math" w:cs="Arial"/>
                    <w:color w:val="auto"/>
                  </w:rPr>
                  <m:t>γ</m:t>
                </m:r>
              </m:sup>
            </m:sSup>
          </m:e>
        </m:d>
        <m:r>
          <m:rPr>
            <m:sty m:val="b"/>
          </m:rPr>
          <w:rPr>
            <w:rFonts w:ascii="Cambria Math" w:hAnsi="Cambria Math" w:cs="Arial"/>
            <w:color w:val="auto"/>
            <w:lang w:val="es-BO"/>
          </w:rPr>
          <m:t>&lt;</m:t>
        </m:r>
        <m:r>
          <m:rPr>
            <m:sty m:val="bi"/>
          </m:rPr>
          <w:rPr>
            <w:rFonts w:ascii="Cambria Math" w:hAnsi="Cambria Math" w:cs="Arial"/>
            <w:color w:val="auto"/>
          </w:rPr>
          <m:t>m</m:t>
        </m:r>
        <m:r>
          <m:rPr>
            <m:sty m:val="b"/>
          </m:rPr>
          <w:rPr>
            <w:rFonts w:ascii="Cambria Math" w:hAnsi="Cambria Math" w:cs="Arial"/>
            <w:color w:val="auto"/>
            <w:lang w:val="es-BO"/>
          </w:rPr>
          <m:t>&lt;</m:t>
        </m:r>
        <m:r>
          <m:rPr>
            <m:sty m:val="bi"/>
          </m:rPr>
          <w:rPr>
            <w:rFonts w:ascii="Cambria Math" w:hAnsi="Cambria Math" w:cs="Arial"/>
            <w:color w:val="auto"/>
          </w:rPr>
          <m:t>I</m:t>
        </m:r>
      </m:oMath>
    </w:p>
    <w:p w14:paraId="3735FD5A" w14:textId="77777777" w:rsidR="00937DC4" w:rsidRPr="005245F2" w:rsidRDefault="00937DC4" w:rsidP="005245F2">
      <w:pPr>
        <w:spacing w:after="240" w:line="360" w:lineRule="auto"/>
        <w:ind w:firstLine="284"/>
        <w:jc w:val="both"/>
        <w:rPr>
          <w:rFonts w:ascii="AGaramond" w:hAnsi="AGaramond" w:cs="Arial"/>
          <w:sz w:val="22"/>
          <w:szCs w:val="22"/>
        </w:rPr>
      </w:pPr>
      <w:r w:rsidRPr="005245F2">
        <w:rPr>
          <w:rFonts w:ascii="AGaramond" w:hAnsi="AGaramond" w:cs="Arial"/>
          <w:sz w:val="22"/>
          <w:szCs w:val="22"/>
        </w:rPr>
        <w:t xml:space="preserve">En esta situación (ideal), el </w:t>
      </w:r>
      <w:r w:rsidRPr="005245F2">
        <w:rPr>
          <w:rFonts w:ascii="AGaramond" w:eastAsiaTheme="minorEastAsia" w:hAnsi="AGaramond" w:cs="Arial"/>
          <w:sz w:val="22"/>
          <w:szCs w:val="22"/>
          <w:lang w:val="es-BO"/>
        </w:rPr>
        <w:t>equilibrio</w:t>
      </w:r>
      <w:r w:rsidRPr="005245F2">
        <w:rPr>
          <w:rFonts w:ascii="AGaramond" w:hAnsi="AGaramond" w:cs="Arial"/>
          <w:sz w:val="22"/>
          <w:szCs w:val="22"/>
        </w:rPr>
        <w:t xml:space="preserve"> de Nash coincide con el óptimo </w:t>
      </w:r>
      <w:proofErr w:type="spellStart"/>
      <w:r w:rsidRPr="005245F2">
        <w:rPr>
          <w:rFonts w:ascii="AGaramond" w:hAnsi="AGaramond" w:cs="Arial"/>
          <w:sz w:val="22"/>
          <w:szCs w:val="22"/>
        </w:rPr>
        <w:t>paretiano</w:t>
      </w:r>
      <w:proofErr w:type="spellEnd"/>
      <w:r w:rsidRPr="005245F2">
        <w:rPr>
          <w:rFonts w:ascii="AGaramond" w:hAnsi="AGaramond" w:cs="Arial"/>
          <w:sz w:val="22"/>
          <w:szCs w:val="22"/>
        </w:rPr>
        <w:t>. Las acciones de los funcionarios públicos son estrictamente dominantes a favor de actuaciones lícitas, reflejando ello arreglos institucionales avanzados: las circunstancias son construidas a partir de diseño de mecanismos mediante los cuales los agentes no tienen incentivos a desviarse a favor de actuaciones ilícitas.</w:t>
      </w:r>
    </w:p>
    <w:p w14:paraId="2D4541B5" w14:textId="77777777" w:rsidR="00937DC4" w:rsidRPr="005245F2" w:rsidRDefault="00937DC4" w:rsidP="005245F2">
      <w:pPr>
        <w:pStyle w:val="Prrafodelista"/>
        <w:numPr>
          <w:ilvl w:val="0"/>
          <w:numId w:val="34"/>
        </w:numPr>
        <w:spacing w:line="360" w:lineRule="auto"/>
        <w:ind w:left="284" w:firstLine="0"/>
        <w:jc w:val="both"/>
        <w:rPr>
          <w:rFonts w:ascii="AGaramond" w:hAnsi="AGaramond" w:cs="Arial"/>
          <w:b/>
          <w:bCs/>
          <w:sz w:val="24"/>
          <w:szCs w:val="24"/>
        </w:rPr>
      </w:pPr>
      <w:bookmarkStart w:id="8" w:name="_Ref533009411"/>
      <w:r w:rsidRPr="005245F2">
        <w:rPr>
          <w:rFonts w:ascii="AGaramond" w:hAnsi="AGaramond" w:cs="Arial"/>
          <w:b/>
          <w:bCs/>
          <w:sz w:val="24"/>
          <w:szCs w:val="24"/>
        </w:rPr>
        <w:t xml:space="preserve">COMENTARIOS DE CIERRE </w:t>
      </w:r>
      <w:bookmarkEnd w:id="8"/>
    </w:p>
    <w:p w14:paraId="54F698B1" w14:textId="7500E66B" w:rsidR="00937DC4" w:rsidRPr="005245F2" w:rsidRDefault="00937DC4" w:rsidP="005245F2">
      <w:pPr>
        <w:spacing w:after="240" w:line="360" w:lineRule="auto"/>
        <w:ind w:firstLine="284"/>
        <w:jc w:val="both"/>
        <w:rPr>
          <w:rFonts w:ascii="AGaramond" w:hAnsi="AGaramond" w:cs="Arial"/>
          <w:sz w:val="22"/>
          <w:szCs w:val="22"/>
          <w:lang w:val="es-ES" w:eastAsia="es-ES"/>
        </w:rPr>
      </w:pPr>
      <w:r w:rsidRPr="005245F2">
        <w:rPr>
          <w:rFonts w:ascii="AGaramond" w:hAnsi="AGaramond" w:cs="Arial"/>
          <w:sz w:val="22"/>
          <w:szCs w:val="22"/>
          <w:lang w:val="es-ES" w:eastAsia="es-ES"/>
        </w:rPr>
        <w:t>La concepción del neoliberalismo como un modelo de desarrollo consustanciado con la corrupción (Calderón y Caste</w:t>
      </w:r>
      <w:r w:rsidR="005245F2" w:rsidRPr="005245F2">
        <w:rPr>
          <w:rFonts w:ascii="AGaramond" w:hAnsi="AGaramond" w:cs="Arial"/>
          <w:sz w:val="22"/>
          <w:szCs w:val="22"/>
          <w:lang w:val="es-ES" w:eastAsia="es-ES"/>
        </w:rPr>
        <w:t>l</w:t>
      </w:r>
      <w:r w:rsidRPr="005245F2">
        <w:rPr>
          <w:rFonts w:ascii="AGaramond" w:hAnsi="AGaramond" w:cs="Arial"/>
          <w:sz w:val="22"/>
          <w:szCs w:val="22"/>
          <w:lang w:val="es-ES" w:eastAsia="es-ES"/>
        </w:rPr>
        <w:t>l</w:t>
      </w:r>
      <w:r w:rsidR="005245F2" w:rsidRPr="005245F2">
        <w:rPr>
          <w:rFonts w:ascii="AGaramond" w:hAnsi="AGaramond" w:cs="Arial"/>
          <w:sz w:val="22"/>
          <w:szCs w:val="22"/>
          <w:lang w:val="es-ES" w:eastAsia="es-ES"/>
        </w:rPr>
        <w:t>s</w:t>
      </w:r>
      <w:r w:rsidRPr="005245F2">
        <w:rPr>
          <w:rFonts w:ascii="AGaramond" w:hAnsi="AGaramond" w:cs="Arial"/>
          <w:sz w:val="22"/>
          <w:szCs w:val="22"/>
          <w:lang w:val="es-ES" w:eastAsia="es-ES"/>
        </w:rPr>
        <w:t xml:space="preserve">, </w:t>
      </w:r>
      <w:r w:rsidRPr="005245F2">
        <w:rPr>
          <w:rFonts w:ascii="AGaramond" w:hAnsi="AGaramond" w:cs="Arial"/>
          <w:i/>
          <w:iCs/>
          <w:sz w:val="22"/>
          <w:szCs w:val="22"/>
          <w:lang w:val="es-ES" w:eastAsia="es-ES"/>
        </w:rPr>
        <w:t>sic</w:t>
      </w:r>
      <w:r w:rsidRPr="005245F2">
        <w:rPr>
          <w:rFonts w:ascii="AGaramond" w:hAnsi="AGaramond" w:cs="Arial"/>
          <w:sz w:val="22"/>
          <w:szCs w:val="22"/>
          <w:lang w:val="es-ES" w:eastAsia="es-ES"/>
        </w:rPr>
        <w:t xml:space="preserve">) es una </w:t>
      </w:r>
      <w:r w:rsidRPr="005245F2">
        <w:rPr>
          <w:rFonts w:ascii="AGaramond" w:hAnsi="AGaramond" w:cs="Arial"/>
          <w:sz w:val="22"/>
          <w:szCs w:val="22"/>
        </w:rPr>
        <w:t>postura</w:t>
      </w:r>
      <w:r w:rsidRPr="005245F2">
        <w:rPr>
          <w:rFonts w:ascii="AGaramond" w:hAnsi="AGaramond" w:cs="Arial"/>
          <w:sz w:val="22"/>
          <w:szCs w:val="22"/>
          <w:lang w:val="es-ES" w:eastAsia="es-ES"/>
        </w:rPr>
        <w:t xml:space="preserve"> ideológica y axiológica, la cual es insustentable teóricamente y contrasta con algunas evidencias históricas en América Latina. Si fuese ese el caso, los Estados latinoamericanos con mayores vestigios liberales fuesen más corruptos respecto de los Estados no liberales: Chile </w:t>
      </w:r>
      <w:r w:rsidR="005245F2" w:rsidRPr="005245F2">
        <w:rPr>
          <w:rFonts w:ascii="AGaramond" w:hAnsi="AGaramond" w:cs="Arial"/>
          <w:sz w:val="22"/>
          <w:szCs w:val="22"/>
          <w:lang w:val="es-ES" w:eastAsia="es-ES"/>
        </w:rPr>
        <w:t>vs.</w:t>
      </w:r>
      <w:r w:rsidRPr="005245F2">
        <w:rPr>
          <w:rFonts w:ascii="AGaramond" w:hAnsi="AGaramond" w:cs="Arial"/>
          <w:sz w:val="22"/>
          <w:szCs w:val="22"/>
          <w:lang w:val="es-ES" w:eastAsia="es-ES"/>
        </w:rPr>
        <w:t xml:space="preserve"> Venezuela, por ejemplo.</w:t>
      </w:r>
    </w:p>
    <w:p w14:paraId="134C9346" w14:textId="41657AFB" w:rsidR="00937DC4" w:rsidRPr="005245F2" w:rsidRDefault="00937DC4" w:rsidP="005245F2">
      <w:pPr>
        <w:spacing w:after="240" w:line="360" w:lineRule="auto"/>
        <w:ind w:firstLine="284"/>
        <w:jc w:val="both"/>
        <w:rPr>
          <w:rFonts w:ascii="AGaramond" w:hAnsi="AGaramond" w:cs="Arial"/>
          <w:sz w:val="22"/>
          <w:szCs w:val="22"/>
          <w:lang w:val="es-ES" w:eastAsia="es-ES"/>
        </w:rPr>
      </w:pPr>
      <w:r w:rsidRPr="005245F2">
        <w:rPr>
          <w:rFonts w:ascii="AGaramond" w:hAnsi="AGaramond" w:cs="Arial"/>
          <w:sz w:val="22"/>
          <w:szCs w:val="22"/>
          <w:lang w:val="es-ES" w:eastAsia="es-ES"/>
        </w:rPr>
        <w:t xml:space="preserve">La corrupción en los modelos políticos </w:t>
      </w:r>
      <w:proofErr w:type="spellStart"/>
      <w:r w:rsidRPr="005245F2">
        <w:rPr>
          <w:rFonts w:ascii="AGaramond" w:hAnsi="AGaramond" w:cs="Arial"/>
          <w:sz w:val="22"/>
          <w:szCs w:val="22"/>
          <w:lang w:val="es-ES" w:eastAsia="es-ES"/>
        </w:rPr>
        <w:t>dirigistas</w:t>
      </w:r>
      <w:proofErr w:type="spellEnd"/>
      <w:r w:rsidRPr="005245F2">
        <w:rPr>
          <w:rFonts w:ascii="AGaramond" w:hAnsi="AGaramond" w:cs="Arial"/>
          <w:sz w:val="22"/>
          <w:szCs w:val="22"/>
          <w:lang w:val="es-ES" w:eastAsia="es-ES"/>
        </w:rPr>
        <w:t xml:space="preserve"> de la gestión económica para el desarrollo (</w:t>
      </w:r>
      <w:r w:rsidRPr="005245F2">
        <w:rPr>
          <w:rFonts w:ascii="AGaramond" w:hAnsi="AGaramond" w:cs="Arial"/>
          <w:i/>
          <w:iCs/>
          <w:sz w:val="22"/>
          <w:szCs w:val="22"/>
          <w:lang w:val="es-ES" w:eastAsia="es-ES"/>
        </w:rPr>
        <w:t>i.</w:t>
      </w:r>
      <w:r w:rsidR="005245F2" w:rsidRPr="005245F2">
        <w:rPr>
          <w:rFonts w:ascii="AGaramond" w:hAnsi="AGaramond" w:cs="Arial"/>
          <w:i/>
          <w:iCs/>
          <w:sz w:val="22"/>
          <w:szCs w:val="22"/>
          <w:lang w:val="es-ES" w:eastAsia="es-ES"/>
        </w:rPr>
        <w:t xml:space="preserve"> </w:t>
      </w:r>
      <w:r w:rsidRPr="005245F2">
        <w:rPr>
          <w:rFonts w:ascii="AGaramond" w:hAnsi="AGaramond" w:cs="Arial"/>
          <w:i/>
          <w:iCs/>
          <w:sz w:val="22"/>
          <w:szCs w:val="22"/>
          <w:lang w:val="es-ES" w:eastAsia="es-ES"/>
        </w:rPr>
        <w:t>e.</w:t>
      </w:r>
      <w:r w:rsidRPr="005245F2">
        <w:rPr>
          <w:rFonts w:ascii="AGaramond" w:hAnsi="AGaramond" w:cs="Arial"/>
          <w:sz w:val="22"/>
          <w:szCs w:val="22"/>
          <w:lang w:val="es-ES" w:eastAsia="es-ES"/>
        </w:rPr>
        <w:t xml:space="preserve">, desarrollismo) tiene como explicación fundamental el </w:t>
      </w:r>
      <w:proofErr w:type="spellStart"/>
      <w:r w:rsidRPr="005245F2">
        <w:rPr>
          <w:rFonts w:ascii="AGaramond" w:hAnsi="AGaramond" w:cs="Arial"/>
          <w:i/>
          <w:iCs/>
          <w:sz w:val="22"/>
          <w:szCs w:val="22"/>
          <w:lang w:val="es-ES" w:eastAsia="es-ES"/>
        </w:rPr>
        <w:t>rent-seeking</w:t>
      </w:r>
      <w:proofErr w:type="spellEnd"/>
      <w:r w:rsidRPr="005245F2">
        <w:rPr>
          <w:rFonts w:ascii="AGaramond" w:hAnsi="AGaramond" w:cs="Arial"/>
          <w:sz w:val="22"/>
          <w:szCs w:val="22"/>
          <w:lang w:val="es-ES" w:eastAsia="es-ES"/>
        </w:rPr>
        <w:t xml:space="preserve"> y el problema del principal y el agente. El primero surge a partir de reglas de acciones privadas destinadas a la captura del gasto público procíclico, las cuales generan comportamientos estratégicos </w:t>
      </w:r>
      <w:r w:rsidR="005245F2">
        <w:rPr>
          <w:rFonts w:ascii="AGaramond" w:hAnsi="AGaramond" w:cs="Arial"/>
          <w:sz w:val="22"/>
          <w:szCs w:val="22"/>
          <w:lang w:val="es-ES" w:eastAsia="es-ES"/>
        </w:rPr>
        <w:t>b</w:t>
      </w:r>
      <w:r w:rsidRPr="005245F2">
        <w:rPr>
          <w:rFonts w:ascii="AGaramond" w:hAnsi="AGaramond" w:cs="Arial"/>
          <w:sz w:val="22"/>
          <w:szCs w:val="22"/>
          <w:lang w:val="es-ES" w:eastAsia="es-ES"/>
        </w:rPr>
        <w:t xml:space="preserve">ayesianos de los agentes privados en detrimento del Estado. El segundo es principalmente consecuencia de la asimetría de información y el conflicto de intereses entre quienes administran el Estado (agentes) y los ciudadanos </w:t>
      </w:r>
      <w:r w:rsidRPr="005245F2">
        <w:rPr>
          <w:rFonts w:ascii="AGaramond" w:hAnsi="AGaramond" w:cs="Arial"/>
          <w:sz w:val="22"/>
          <w:szCs w:val="22"/>
          <w:lang w:val="es-ES" w:eastAsia="es-ES"/>
        </w:rPr>
        <w:lastRenderedPageBreak/>
        <w:t xml:space="preserve">(principales). La renta económica derivada de la extracción y comercialización de recursos naturales exacerba tanto el uno como el otro, y es una elucidación de la corrupción, de las fallas de Estado y del fracaso de los modelos </w:t>
      </w:r>
      <w:proofErr w:type="spellStart"/>
      <w:r w:rsidRPr="005245F2">
        <w:rPr>
          <w:rFonts w:ascii="AGaramond" w:hAnsi="AGaramond" w:cs="Arial"/>
          <w:sz w:val="22"/>
          <w:szCs w:val="22"/>
          <w:lang w:val="es-ES" w:eastAsia="es-ES"/>
        </w:rPr>
        <w:t>neodesarrollistas</w:t>
      </w:r>
      <w:proofErr w:type="spellEnd"/>
      <w:r w:rsidRPr="005245F2">
        <w:rPr>
          <w:rFonts w:ascii="AGaramond" w:hAnsi="AGaramond" w:cs="Arial"/>
          <w:sz w:val="22"/>
          <w:szCs w:val="22"/>
          <w:lang w:val="es-ES" w:eastAsia="es-ES"/>
        </w:rPr>
        <w:t xml:space="preserve"> en América Latina. </w:t>
      </w:r>
    </w:p>
    <w:p w14:paraId="7BBA9727" w14:textId="60931ACA" w:rsidR="00937DC4" w:rsidRPr="005245F2" w:rsidRDefault="00937DC4" w:rsidP="005245F2">
      <w:pPr>
        <w:spacing w:after="240" w:line="360" w:lineRule="auto"/>
        <w:ind w:firstLine="284"/>
        <w:jc w:val="both"/>
        <w:rPr>
          <w:rFonts w:ascii="AGaramond" w:hAnsi="AGaramond" w:cs="Arial"/>
          <w:sz w:val="22"/>
          <w:szCs w:val="22"/>
          <w:lang w:val="es-ES" w:eastAsia="es-ES"/>
        </w:rPr>
      </w:pPr>
      <w:r w:rsidRPr="005245F2">
        <w:rPr>
          <w:rFonts w:ascii="AGaramond" w:hAnsi="AGaramond" w:cs="Arial"/>
          <w:sz w:val="22"/>
          <w:szCs w:val="22"/>
          <w:lang w:val="es-ES" w:eastAsia="es-ES"/>
        </w:rPr>
        <w:t>Desde la perspectiva de la matriz de pago individual, aumentos de los recursos públicos a administrar, como consecuencia de incrementos en los términos de intercambio y de políticas fiscales procíclicas, hace más proclives acciones ilícitas de los funcionarios públicos, si no se llevan a cabo diseño de mecanismos destinados a acrecentar: los ingresos de los administradores del Estado, la transparencia de la gestión de la administración pública y la penalización por dolo. Debido a lo complejo y lento que son los arreglos institucionales, la neutralización de los ingresos fiscales súbitos en los países ricos en recursos naturales, mediante reglas de asignación que impidan el manejo de renta económica por parte de los hacedores de políticas públicas, es imperativa para impedir el exacerbamiento de la apropiación privada de recursos públicos.</w:t>
      </w:r>
    </w:p>
    <w:p w14:paraId="4045B23F" w14:textId="77777777" w:rsidR="00937DC4" w:rsidRPr="005245F2" w:rsidRDefault="00937DC4" w:rsidP="005245F2">
      <w:pPr>
        <w:spacing w:after="240" w:line="360" w:lineRule="auto"/>
        <w:ind w:firstLine="284"/>
        <w:jc w:val="both"/>
        <w:rPr>
          <w:rFonts w:ascii="AGaramond" w:hAnsi="AGaramond" w:cs="Arial"/>
          <w:sz w:val="22"/>
          <w:szCs w:val="22"/>
          <w:lang w:val="es-ES" w:eastAsia="es-ES"/>
        </w:rPr>
      </w:pPr>
      <w:r w:rsidRPr="005245F2">
        <w:rPr>
          <w:rFonts w:ascii="AGaramond" w:hAnsi="AGaramond" w:cs="Arial"/>
          <w:sz w:val="22"/>
          <w:szCs w:val="22"/>
          <w:lang w:val="es-ES" w:eastAsia="es-ES"/>
        </w:rPr>
        <w:t xml:space="preserve">Desde el punto de vista de interacción estratégica, las fallas de Estado, que se traducen en el deterioro de los ingresos reales de los funcionarios públicos, generan un equilibrio </w:t>
      </w:r>
      <w:proofErr w:type="spellStart"/>
      <w:r w:rsidRPr="005245F2">
        <w:rPr>
          <w:rFonts w:ascii="AGaramond" w:hAnsi="AGaramond" w:cs="Arial"/>
          <w:sz w:val="22"/>
          <w:szCs w:val="22"/>
          <w:lang w:val="es-ES" w:eastAsia="es-ES"/>
        </w:rPr>
        <w:t>superatractor</w:t>
      </w:r>
      <w:proofErr w:type="spellEnd"/>
      <w:r w:rsidRPr="005245F2">
        <w:rPr>
          <w:rFonts w:ascii="AGaramond" w:hAnsi="AGaramond" w:cs="Arial"/>
          <w:sz w:val="22"/>
          <w:szCs w:val="22"/>
          <w:lang w:val="es-ES" w:eastAsia="es-ES"/>
        </w:rPr>
        <w:t xml:space="preserve"> caracterizado por acciones ilícitas generalizadas en la administración pública.</w:t>
      </w:r>
    </w:p>
    <w:p w14:paraId="4CD3F71F" w14:textId="65FF4FDF" w:rsidR="00937DC4" w:rsidRPr="00611B92" w:rsidRDefault="00937DC4" w:rsidP="005245F2">
      <w:pPr>
        <w:spacing w:after="240" w:line="360" w:lineRule="auto"/>
        <w:ind w:firstLine="284"/>
        <w:jc w:val="both"/>
        <w:rPr>
          <w:rFonts w:ascii="AGaramond" w:hAnsi="AGaramond" w:cs="Arial"/>
          <w:lang w:val="es-ES" w:eastAsia="es-ES"/>
        </w:rPr>
      </w:pPr>
      <w:r w:rsidRPr="005245F2">
        <w:rPr>
          <w:rFonts w:ascii="AGaramond" w:hAnsi="AGaramond" w:cs="Arial"/>
          <w:sz w:val="22"/>
          <w:szCs w:val="22"/>
          <w:lang w:val="es-ES" w:eastAsia="es-ES"/>
        </w:rPr>
        <w:t xml:space="preserve">Es importante destacar que los funcionarios públicos de alto rango enfrentan el poder situacional derivado de la renta económica proveniente de los recursos naturales; este poder situacional ejerce una transformación del carácter del agente administrador del Estado. Si los agentes encargados de tal misión afrontan situaciones de incertidumbre de ingresos propios futuros y condiciones institucionales de opacidad o escasa transparencia relativa de actuación e información, así como de penalización y riesgos, es muy probable la ocurrencia de peculado, sobre todo, si la tasa subjetiva de descuento del funcionario público es alta. El oportunismo para la corrupción ocurre en este contexto personal e institucional, lo cual se hace más complejo cuando no hay claridad </w:t>
      </w:r>
      <w:proofErr w:type="gramStart"/>
      <w:r w:rsidRPr="005245F2">
        <w:rPr>
          <w:rFonts w:ascii="AGaramond" w:hAnsi="AGaramond" w:cs="Arial"/>
          <w:sz w:val="22"/>
          <w:szCs w:val="22"/>
          <w:lang w:val="es-ES" w:eastAsia="es-ES"/>
        </w:rPr>
        <w:t>en relación a</w:t>
      </w:r>
      <w:proofErr w:type="gramEnd"/>
      <w:r w:rsidRPr="005245F2">
        <w:rPr>
          <w:rFonts w:ascii="AGaramond" w:hAnsi="AGaramond" w:cs="Arial"/>
          <w:sz w:val="22"/>
          <w:szCs w:val="22"/>
          <w:lang w:val="es-ES" w:eastAsia="es-ES"/>
        </w:rPr>
        <w:t xml:space="preserve"> la proveniencia de los ingresos fiscales (</w:t>
      </w:r>
      <w:proofErr w:type="spellStart"/>
      <w:r w:rsidRPr="005245F2">
        <w:rPr>
          <w:rFonts w:ascii="AGaramond" w:hAnsi="AGaramond" w:cs="Arial"/>
          <w:i/>
          <w:iCs/>
          <w:sz w:val="22"/>
          <w:szCs w:val="22"/>
          <w:lang w:val="es-ES" w:eastAsia="es-ES"/>
        </w:rPr>
        <w:t>windfall</w:t>
      </w:r>
      <w:proofErr w:type="spellEnd"/>
      <w:r w:rsidRPr="005245F2">
        <w:rPr>
          <w:rFonts w:ascii="AGaramond" w:hAnsi="AGaramond" w:cs="Arial"/>
          <w:sz w:val="22"/>
          <w:szCs w:val="22"/>
          <w:lang w:val="es-ES" w:eastAsia="es-ES"/>
        </w:rPr>
        <w:t>).</w:t>
      </w:r>
      <w:r w:rsidRPr="00611B92">
        <w:rPr>
          <w:rFonts w:ascii="AGaramond" w:hAnsi="AGaramond" w:cs="Arial"/>
          <w:lang w:val="es-ES" w:eastAsia="es-ES"/>
        </w:rPr>
        <w:br w:type="page"/>
      </w:r>
    </w:p>
    <w:sdt>
      <w:sdtPr>
        <w:rPr>
          <w:rFonts w:ascii="AGaramond" w:eastAsiaTheme="minorHAnsi" w:hAnsi="AGaramond" w:cstheme="minorBidi"/>
          <w:b w:val="0"/>
          <w:bCs w:val="0"/>
          <w:color w:val="auto"/>
          <w:sz w:val="18"/>
          <w:szCs w:val="18"/>
          <w:lang w:val="es-ES" w:eastAsia="en-US"/>
        </w:rPr>
        <w:id w:val="-622466649"/>
        <w:docPartObj>
          <w:docPartGallery w:val="Bibliographies"/>
          <w:docPartUnique/>
        </w:docPartObj>
      </w:sdtPr>
      <w:sdtEndPr>
        <w:rPr>
          <w:sz w:val="24"/>
          <w:szCs w:val="24"/>
          <w:lang w:val="es-ES_tradnl"/>
        </w:rPr>
      </w:sdtEndPr>
      <w:sdtContent>
        <w:p w14:paraId="7ABC511A" w14:textId="1A6EDF2E" w:rsidR="00937DC4" w:rsidRPr="00352D95" w:rsidRDefault="00352D95" w:rsidP="00352D95">
          <w:pPr>
            <w:pStyle w:val="Ttulo1"/>
            <w:spacing w:after="240" w:line="360" w:lineRule="auto"/>
            <w:jc w:val="both"/>
            <w:rPr>
              <w:rFonts w:ascii="AGaramond" w:hAnsi="AGaramond" w:cs="Arial"/>
              <w:color w:val="auto"/>
              <w:sz w:val="24"/>
              <w:szCs w:val="24"/>
              <w:lang w:val="es-BO"/>
            </w:rPr>
          </w:pPr>
          <w:r w:rsidRPr="00352D95">
            <w:rPr>
              <w:rFonts w:ascii="AGaramond" w:hAnsi="AGaramond" w:cs="Arial"/>
              <w:color w:val="auto"/>
              <w:sz w:val="24"/>
              <w:szCs w:val="24"/>
              <w:lang w:val="es-BO"/>
            </w:rPr>
            <w:t>REFERENCIAS BIBLIOGRÁFICAS</w:t>
          </w:r>
        </w:p>
        <w:p w14:paraId="2580416B" w14:textId="1BF6AAEF" w:rsidR="00937DC4" w:rsidRPr="00E11073" w:rsidRDefault="00C72031" w:rsidP="00352D95">
          <w:pPr>
            <w:pStyle w:val="Bibliografa"/>
            <w:spacing w:line="360" w:lineRule="auto"/>
            <w:ind w:left="720" w:hanging="720"/>
            <w:rPr>
              <w:rFonts w:ascii="AGaramond" w:hAnsi="AGaramond" w:cs="Arial"/>
              <w:noProof/>
            </w:rPr>
          </w:pPr>
          <w:r w:rsidRPr="00352D95">
            <w:rPr>
              <w:rFonts w:ascii="AGaramond" w:hAnsi="AGaramond" w:cs="Arial"/>
              <w:noProof/>
              <w:lang w:val="es-BO"/>
            </w:rPr>
            <w:t>Acemo</w:t>
          </w:r>
          <w:r w:rsidRPr="00352D95">
            <w:rPr>
              <w:rFonts w:ascii="Cambria" w:hAnsi="Cambria" w:cs="Cambria"/>
              <w:noProof/>
              <w:lang w:val="es-BO"/>
            </w:rPr>
            <w:t>ğ</w:t>
          </w:r>
          <w:r w:rsidRPr="00352D95">
            <w:rPr>
              <w:rFonts w:ascii="AGaramond" w:hAnsi="AGaramond" w:cs="Arial"/>
              <w:noProof/>
              <w:lang w:val="es-BO"/>
            </w:rPr>
            <w:t>lu</w:t>
          </w:r>
          <w:r w:rsidR="00937DC4" w:rsidRPr="00352D95">
            <w:rPr>
              <w:rFonts w:ascii="AGaramond" w:hAnsi="AGaramond" w:cs="Arial"/>
              <w:noProof/>
              <w:lang w:val="es-BO"/>
            </w:rPr>
            <w:t xml:space="preserve">, D., Johnson, S. </w:t>
          </w:r>
          <w:r w:rsidR="00352D95">
            <w:rPr>
              <w:rFonts w:ascii="AGaramond" w:hAnsi="AGaramond" w:cs="Arial"/>
              <w:noProof/>
              <w:lang w:val="es-BO"/>
            </w:rPr>
            <w:t>y</w:t>
          </w:r>
          <w:r w:rsidR="00937DC4" w:rsidRPr="00352D95">
            <w:rPr>
              <w:rFonts w:ascii="AGaramond" w:hAnsi="AGaramond" w:cs="Arial"/>
              <w:noProof/>
              <w:lang w:val="es-BO"/>
            </w:rPr>
            <w:t xml:space="preserve"> Robinson, J. (2005). </w:t>
          </w:r>
          <w:r w:rsidR="00937DC4" w:rsidRPr="00352D95">
            <w:rPr>
              <w:rFonts w:ascii="AGaramond" w:hAnsi="AGaramond" w:cs="Arial"/>
              <w:noProof/>
              <w:lang w:val="en-US"/>
            </w:rPr>
            <w:t xml:space="preserve">Institutions as Fundamental Cause of Long-Run Growth. En P. Aghion </w:t>
          </w:r>
          <w:r w:rsidR="00352D95">
            <w:rPr>
              <w:rFonts w:ascii="AGaramond" w:hAnsi="AGaramond" w:cs="Arial"/>
              <w:noProof/>
              <w:lang w:val="en-US"/>
            </w:rPr>
            <w:t>y</w:t>
          </w:r>
          <w:r w:rsidR="00937DC4" w:rsidRPr="00352D95">
            <w:rPr>
              <w:rFonts w:ascii="AGaramond" w:hAnsi="AGaramond" w:cs="Arial"/>
              <w:noProof/>
              <w:lang w:val="en-US"/>
            </w:rPr>
            <w:t xml:space="preserve"> S. Durlauf, </w:t>
          </w:r>
          <w:r w:rsidR="00937DC4" w:rsidRPr="00352D95">
            <w:rPr>
              <w:rFonts w:ascii="AGaramond" w:hAnsi="AGaramond" w:cs="Arial"/>
              <w:i/>
              <w:iCs/>
              <w:noProof/>
              <w:lang w:val="en-US"/>
            </w:rPr>
            <w:t>Handbook of Economic Growth. Vol. 1A</w:t>
          </w:r>
          <w:r w:rsidR="00822887">
            <w:rPr>
              <w:rFonts w:ascii="AGaramond" w:hAnsi="AGaramond" w:cs="Arial"/>
              <w:i/>
              <w:iCs/>
              <w:noProof/>
              <w:lang w:val="en-US"/>
            </w:rPr>
            <w:t>.</w:t>
          </w:r>
          <w:r w:rsidR="00937DC4" w:rsidRPr="00352D95">
            <w:rPr>
              <w:rFonts w:ascii="AGaramond" w:hAnsi="AGaramond" w:cs="Arial"/>
              <w:noProof/>
              <w:lang w:val="en-US"/>
            </w:rPr>
            <w:t xml:space="preserve"> (pp. 386-472). </w:t>
          </w:r>
          <w:r w:rsidR="00937DC4" w:rsidRPr="00E11073">
            <w:rPr>
              <w:rFonts w:ascii="AGaramond" w:hAnsi="AGaramond" w:cs="Arial"/>
              <w:noProof/>
            </w:rPr>
            <w:t>Cambridge, Massachusetts: Elsevier B. V.</w:t>
          </w:r>
        </w:p>
        <w:p w14:paraId="445A59CC" w14:textId="017FB95C" w:rsidR="00937DC4" w:rsidRPr="00EA1BDD" w:rsidRDefault="00937DC4" w:rsidP="00352D95">
          <w:pPr>
            <w:pStyle w:val="Bibliografa"/>
            <w:spacing w:line="360" w:lineRule="auto"/>
            <w:ind w:left="720" w:hanging="720"/>
            <w:rPr>
              <w:rFonts w:ascii="AGaramond" w:hAnsi="AGaramond" w:cs="Arial"/>
              <w:noProof/>
            </w:rPr>
          </w:pPr>
          <w:r w:rsidRPr="00E11073">
            <w:rPr>
              <w:rFonts w:ascii="AGaramond" w:hAnsi="AGaramond" w:cs="Arial"/>
              <w:noProof/>
            </w:rPr>
            <w:t xml:space="preserve">Adelman, I. (2001). </w:t>
          </w:r>
          <w:r w:rsidRPr="00352D95">
            <w:rPr>
              <w:rFonts w:ascii="AGaramond" w:hAnsi="AGaramond" w:cs="Arial"/>
              <w:noProof/>
            </w:rPr>
            <w:t xml:space="preserve">Falacias en las teorías del desarrollo y sus implicaciones políticas. En G. Meier, &amp; J. Stiglitz, </w:t>
          </w:r>
          <w:r w:rsidRPr="00352D95">
            <w:rPr>
              <w:rFonts w:ascii="AGaramond" w:hAnsi="AGaramond" w:cs="Arial"/>
              <w:i/>
              <w:iCs/>
              <w:noProof/>
            </w:rPr>
            <w:t>Fronteras de la economía del desarrollo</w:t>
          </w:r>
          <w:r w:rsidR="00822887">
            <w:rPr>
              <w:rFonts w:ascii="AGaramond" w:hAnsi="AGaramond" w:cs="Arial"/>
              <w:i/>
              <w:iCs/>
              <w:noProof/>
            </w:rPr>
            <w:t>.</w:t>
          </w:r>
          <w:r w:rsidRPr="00352D95">
            <w:rPr>
              <w:rFonts w:ascii="AGaramond" w:hAnsi="AGaramond" w:cs="Arial"/>
              <w:noProof/>
            </w:rPr>
            <w:t xml:space="preserve"> (p</w:t>
          </w:r>
          <w:r w:rsidR="00372C7A">
            <w:rPr>
              <w:rFonts w:ascii="AGaramond" w:hAnsi="AGaramond" w:cs="Arial"/>
              <w:noProof/>
            </w:rPr>
            <w:t>p</w:t>
          </w:r>
          <w:r w:rsidRPr="00352D95">
            <w:rPr>
              <w:rFonts w:ascii="AGaramond" w:hAnsi="AGaramond" w:cs="Arial"/>
              <w:noProof/>
            </w:rPr>
            <w:t xml:space="preserve">. </w:t>
          </w:r>
          <w:r w:rsidRPr="00EA1BDD">
            <w:rPr>
              <w:rFonts w:ascii="AGaramond" w:hAnsi="AGaramond" w:cs="Arial"/>
              <w:noProof/>
            </w:rPr>
            <w:t>91-137). México: Banco Mundial y Alfaomega.</w:t>
          </w:r>
        </w:p>
        <w:p w14:paraId="5933BC3A" w14:textId="33C9345E" w:rsidR="00937DC4" w:rsidRPr="00352D95" w:rsidRDefault="00937DC4" w:rsidP="00352D95">
          <w:pPr>
            <w:pStyle w:val="Bibliografa"/>
            <w:spacing w:line="360" w:lineRule="auto"/>
            <w:ind w:left="720" w:hanging="720"/>
            <w:rPr>
              <w:rFonts w:ascii="AGaramond" w:hAnsi="AGaramond" w:cs="Arial"/>
              <w:noProof/>
              <w:lang w:val="en-US"/>
            </w:rPr>
          </w:pPr>
          <w:r w:rsidRPr="00352D95">
            <w:rPr>
              <w:rFonts w:ascii="AGaramond" w:hAnsi="AGaramond" w:cs="Arial"/>
              <w:noProof/>
            </w:rPr>
            <w:t xml:space="preserve">Alestalo, M. </w:t>
          </w:r>
          <w:r w:rsidR="00352D95" w:rsidRPr="00352D95">
            <w:rPr>
              <w:rFonts w:ascii="AGaramond" w:hAnsi="AGaramond" w:cs="Arial"/>
              <w:noProof/>
            </w:rPr>
            <w:t>y</w:t>
          </w:r>
          <w:r w:rsidRPr="00352D95">
            <w:rPr>
              <w:rFonts w:ascii="AGaramond" w:hAnsi="AGaramond" w:cs="Arial"/>
              <w:noProof/>
            </w:rPr>
            <w:t xml:space="preserve"> Kuhnle, S. (1986-1987). </w:t>
          </w:r>
          <w:r w:rsidRPr="00352D95">
            <w:rPr>
              <w:rFonts w:ascii="AGaramond" w:hAnsi="AGaramond" w:cs="Arial"/>
              <w:noProof/>
              <w:lang w:val="en-US"/>
            </w:rPr>
            <w:t xml:space="preserve">The Scandinavian Route: Economic, Social, and Political Developments in Denmark, Finland, Norway, and Sweden. </w:t>
          </w:r>
          <w:r w:rsidRPr="00352D95">
            <w:rPr>
              <w:rFonts w:ascii="AGaramond" w:hAnsi="AGaramond" w:cs="Arial"/>
              <w:i/>
              <w:iCs/>
              <w:noProof/>
              <w:lang w:val="en-US"/>
            </w:rPr>
            <w:t>International Journal of Sociology, 16</w:t>
          </w:r>
          <w:r w:rsidRPr="00352D95">
            <w:rPr>
              <w:rFonts w:ascii="AGaramond" w:hAnsi="AGaramond" w:cs="Arial"/>
              <w:noProof/>
              <w:lang w:val="en-US"/>
            </w:rPr>
            <w:t>(3/4), 3-38.</w:t>
          </w:r>
        </w:p>
        <w:p w14:paraId="30C8E419" w14:textId="77777777" w:rsidR="00937DC4" w:rsidRPr="00352D95" w:rsidRDefault="00937DC4" w:rsidP="00352D95">
          <w:pPr>
            <w:pStyle w:val="Bibliografa"/>
            <w:spacing w:line="360" w:lineRule="auto"/>
            <w:ind w:left="720" w:hanging="720"/>
            <w:rPr>
              <w:rFonts w:ascii="AGaramond" w:hAnsi="AGaramond" w:cs="Arial"/>
              <w:noProof/>
              <w:lang w:val="en-US"/>
            </w:rPr>
          </w:pPr>
          <w:r w:rsidRPr="00352D95">
            <w:rPr>
              <w:rFonts w:ascii="AGaramond" w:hAnsi="AGaramond" w:cs="Arial"/>
              <w:noProof/>
              <w:lang w:val="en-US"/>
            </w:rPr>
            <w:t xml:space="preserve">Amsden, A. (2004). </w:t>
          </w:r>
          <w:r w:rsidRPr="00352D95">
            <w:rPr>
              <w:rFonts w:ascii="AGaramond" w:hAnsi="AGaramond" w:cs="Arial"/>
              <w:i/>
              <w:iCs/>
              <w:noProof/>
              <w:lang w:val="en-US"/>
            </w:rPr>
            <w:t>The Rise of the Rest.</w:t>
          </w:r>
          <w:r w:rsidRPr="00352D95">
            <w:rPr>
              <w:rFonts w:ascii="AGaramond" w:hAnsi="AGaramond" w:cs="Arial"/>
              <w:noProof/>
              <w:lang w:val="en-US"/>
            </w:rPr>
            <w:t xml:space="preserve"> Oxford: Oxford University Press.</w:t>
          </w:r>
        </w:p>
        <w:p w14:paraId="25E3638F" w14:textId="77777777" w:rsidR="00937DC4" w:rsidRPr="00352D95" w:rsidRDefault="00937DC4" w:rsidP="00352D95">
          <w:pPr>
            <w:pStyle w:val="Bibliografa"/>
            <w:spacing w:line="360" w:lineRule="auto"/>
            <w:ind w:left="720" w:hanging="720"/>
            <w:rPr>
              <w:rFonts w:ascii="AGaramond" w:hAnsi="AGaramond" w:cs="Arial"/>
              <w:noProof/>
            </w:rPr>
          </w:pPr>
          <w:r w:rsidRPr="00352D95">
            <w:rPr>
              <w:rFonts w:ascii="AGaramond" w:hAnsi="AGaramond" w:cs="Arial"/>
              <w:noProof/>
              <w:lang w:val="en-US"/>
            </w:rPr>
            <w:t xml:space="preserve">Baptista, A. (2010). </w:t>
          </w:r>
          <w:r w:rsidRPr="00352D95">
            <w:rPr>
              <w:rFonts w:ascii="AGaramond" w:hAnsi="AGaramond" w:cs="Arial"/>
              <w:i/>
              <w:iCs/>
              <w:noProof/>
            </w:rPr>
            <w:t>Teoría Económica del Capitalismo Rentístico</w:t>
          </w:r>
          <w:r w:rsidRPr="00352D95">
            <w:rPr>
              <w:rFonts w:ascii="AGaramond" w:hAnsi="AGaramond" w:cs="Arial"/>
              <w:noProof/>
            </w:rPr>
            <w:t xml:space="preserve"> (2da ed.). Caracas: Banco Central de Venezuela.</w:t>
          </w:r>
        </w:p>
        <w:p w14:paraId="1F6F1B93" w14:textId="77777777" w:rsidR="00937DC4" w:rsidRPr="00352D95" w:rsidRDefault="00937DC4" w:rsidP="00352D95">
          <w:pPr>
            <w:pStyle w:val="Bibliografa"/>
            <w:spacing w:line="360" w:lineRule="auto"/>
            <w:ind w:left="720" w:hanging="720"/>
            <w:rPr>
              <w:rFonts w:ascii="AGaramond" w:hAnsi="AGaramond" w:cs="Arial"/>
              <w:noProof/>
            </w:rPr>
          </w:pPr>
          <w:r w:rsidRPr="00352D95">
            <w:rPr>
              <w:rFonts w:ascii="AGaramond" w:hAnsi="AGaramond" w:cs="Arial"/>
              <w:noProof/>
            </w:rPr>
            <w:t xml:space="preserve">Baumol, W. (1990). Entrepreneurship: Productive, Unproductive, and Destructive. </w:t>
          </w:r>
          <w:r w:rsidRPr="00352D95">
            <w:rPr>
              <w:rFonts w:ascii="AGaramond" w:hAnsi="AGaramond" w:cs="Arial"/>
              <w:i/>
              <w:iCs/>
              <w:noProof/>
            </w:rPr>
            <w:t>Journal of Poltical Economy, 98</w:t>
          </w:r>
          <w:r w:rsidRPr="00352D95">
            <w:rPr>
              <w:rFonts w:ascii="AGaramond" w:hAnsi="AGaramond" w:cs="Arial"/>
              <w:noProof/>
            </w:rPr>
            <w:t>(5), 893-921.</w:t>
          </w:r>
        </w:p>
        <w:p w14:paraId="048199D7" w14:textId="77777777" w:rsidR="00937DC4" w:rsidRPr="00352D95" w:rsidRDefault="00937DC4" w:rsidP="00352D95">
          <w:pPr>
            <w:pStyle w:val="Bibliografa"/>
            <w:spacing w:line="360" w:lineRule="auto"/>
            <w:ind w:left="720" w:hanging="720"/>
            <w:rPr>
              <w:rFonts w:ascii="AGaramond" w:hAnsi="AGaramond" w:cs="Arial"/>
              <w:noProof/>
            </w:rPr>
          </w:pPr>
          <w:r w:rsidRPr="00352D95">
            <w:rPr>
              <w:rFonts w:ascii="AGaramond" w:hAnsi="AGaramond" w:cs="Arial"/>
              <w:noProof/>
            </w:rPr>
            <w:t xml:space="preserve">Berniell, L. (17 de 12 de 2019). </w:t>
          </w:r>
          <w:r w:rsidRPr="00352D95">
            <w:rPr>
              <w:rFonts w:ascii="AGaramond" w:hAnsi="AGaramond" w:cs="Arial"/>
              <w:i/>
              <w:iCs/>
              <w:noProof/>
            </w:rPr>
            <w:t>CAF.</w:t>
          </w:r>
          <w:r w:rsidRPr="00352D95">
            <w:rPr>
              <w:rFonts w:ascii="AGaramond" w:hAnsi="AGaramond" w:cs="Arial"/>
              <w:noProof/>
            </w:rPr>
            <w:t xml:space="preserve"> Obtenido de https://www.caf.com/es/conocimiento/visiones/2019/12/por-que-los-ciudadanos-no-siempre-penalizan-a-los-politicos-corruptos/</w:t>
          </w:r>
        </w:p>
        <w:p w14:paraId="7AF792DC" w14:textId="663588C6" w:rsidR="00937DC4" w:rsidRPr="00352D95" w:rsidRDefault="00937DC4" w:rsidP="00352D95">
          <w:pPr>
            <w:pStyle w:val="Bibliografa"/>
            <w:spacing w:line="360" w:lineRule="auto"/>
            <w:ind w:left="720" w:hanging="720"/>
            <w:rPr>
              <w:rFonts w:ascii="AGaramond" w:hAnsi="AGaramond" w:cs="Arial"/>
              <w:noProof/>
            </w:rPr>
          </w:pPr>
          <w:r w:rsidRPr="00352D95">
            <w:rPr>
              <w:rFonts w:ascii="AGaramond" w:hAnsi="AGaramond" w:cs="Arial"/>
              <w:noProof/>
            </w:rPr>
            <w:t xml:space="preserve">Calderón, F. </w:t>
          </w:r>
          <w:r w:rsidR="00352D95">
            <w:rPr>
              <w:rFonts w:ascii="AGaramond" w:hAnsi="AGaramond" w:cs="Arial"/>
              <w:noProof/>
            </w:rPr>
            <w:t>y</w:t>
          </w:r>
          <w:r w:rsidRPr="00352D95">
            <w:rPr>
              <w:rFonts w:ascii="AGaramond" w:hAnsi="AGaramond" w:cs="Arial"/>
              <w:noProof/>
            </w:rPr>
            <w:t xml:space="preserve"> Castell</w:t>
          </w:r>
          <w:r w:rsidR="00352D95">
            <w:rPr>
              <w:rFonts w:ascii="AGaramond" w:hAnsi="AGaramond" w:cs="Arial"/>
              <w:noProof/>
            </w:rPr>
            <w:t>s</w:t>
          </w:r>
          <w:r w:rsidRPr="00352D95">
            <w:rPr>
              <w:rFonts w:ascii="AGaramond" w:hAnsi="AGaramond" w:cs="Arial"/>
              <w:noProof/>
            </w:rPr>
            <w:t xml:space="preserve">, M. (2019). La Corrupción del Estado. En F. Calderón </w:t>
          </w:r>
          <w:r w:rsidR="00352D95">
            <w:rPr>
              <w:rFonts w:ascii="AGaramond" w:hAnsi="AGaramond" w:cs="Arial"/>
              <w:noProof/>
            </w:rPr>
            <w:t>y</w:t>
          </w:r>
          <w:r w:rsidRPr="00352D95">
            <w:rPr>
              <w:rFonts w:ascii="AGaramond" w:hAnsi="AGaramond" w:cs="Arial"/>
              <w:noProof/>
            </w:rPr>
            <w:t xml:space="preserve"> M. Castell</w:t>
          </w:r>
          <w:r w:rsidR="00352D95">
            <w:rPr>
              <w:rFonts w:ascii="AGaramond" w:hAnsi="AGaramond" w:cs="Arial"/>
              <w:noProof/>
            </w:rPr>
            <w:t>s</w:t>
          </w:r>
          <w:r w:rsidRPr="00352D95">
            <w:rPr>
              <w:rFonts w:ascii="AGaramond" w:hAnsi="AGaramond" w:cs="Arial"/>
              <w:noProof/>
            </w:rPr>
            <w:t xml:space="preserve">, </w:t>
          </w:r>
          <w:r w:rsidRPr="00352D95">
            <w:rPr>
              <w:rFonts w:ascii="AGaramond" w:hAnsi="AGaramond" w:cs="Arial"/>
              <w:i/>
              <w:iCs/>
              <w:noProof/>
            </w:rPr>
            <w:t xml:space="preserve">La </w:t>
          </w:r>
          <w:r w:rsidR="00352D95">
            <w:rPr>
              <w:rFonts w:ascii="AGaramond" w:hAnsi="AGaramond" w:cs="Arial"/>
              <w:i/>
              <w:iCs/>
              <w:noProof/>
            </w:rPr>
            <w:t>n</w:t>
          </w:r>
          <w:r w:rsidRPr="00352D95">
            <w:rPr>
              <w:rFonts w:ascii="AGaramond" w:hAnsi="AGaramond" w:cs="Arial"/>
              <w:i/>
              <w:iCs/>
              <w:noProof/>
            </w:rPr>
            <w:t>ueva América Latina</w:t>
          </w:r>
          <w:r w:rsidRPr="00352D95">
            <w:rPr>
              <w:rFonts w:ascii="AGaramond" w:hAnsi="AGaramond" w:cs="Arial"/>
              <w:noProof/>
            </w:rPr>
            <w:t xml:space="preserve"> (pág. 292). Ciudad de México: Fondo de Cultura Económica.</w:t>
          </w:r>
        </w:p>
        <w:p w14:paraId="06CA0640" w14:textId="095CB2A0" w:rsidR="00937DC4" w:rsidRPr="00352D95" w:rsidRDefault="00937DC4" w:rsidP="00352D95">
          <w:pPr>
            <w:pStyle w:val="Bibliografa"/>
            <w:spacing w:line="360" w:lineRule="auto"/>
            <w:ind w:left="720" w:hanging="720"/>
            <w:rPr>
              <w:rFonts w:ascii="AGaramond" w:hAnsi="AGaramond" w:cs="Arial"/>
              <w:noProof/>
            </w:rPr>
          </w:pPr>
          <w:r w:rsidRPr="00352D95">
            <w:rPr>
              <w:rFonts w:ascii="AGaramond" w:hAnsi="AGaramond" w:cs="Arial"/>
              <w:noProof/>
            </w:rPr>
            <w:t xml:space="preserve">Coronil, F. (2016). </w:t>
          </w:r>
          <w:r w:rsidRPr="00352D95">
            <w:rPr>
              <w:rFonts w:ascii="AGaramond" w:hAnsi="AGaramond" w:cs="Arial"/>
              <w:i/>
              <w:iCs/>
              <w:noProof/>
            </w:rPr>
            <w:t xml:space="preserve">El Estado </w:t>
          </w:r>
          <w:r w:rsidR="00352D95">
            <w:rPr>
              <w:rFonts w:ascii="AGaramond" w:hAnsi="AGaramond" w:cs="Arial"/>
              <w:i/>
              <w:iCs/>
              <w:noProof/>
            </w:rPr>
            <w:t>m</w:t>
          </w:r>
          <w:r w:rsidRPr="00352D95">
            <w:rPr>
              <w:rFonts w:ascii="AGaramond" w:hAnsi="AGaramond" w:cs="Arial"/>
              <w:i/>
              <w:iCs/>
              <w:noProof/>
            </w:rPr>
            <w:t>ágico.</w:t>
          </w:r>
          <w:r w:rsidRPr="00352D95">
            <w:rPr>
              <w:rFonts w:ascii="AGaramond" w:hAnsi="AGaramond" w:cs="Arial"/>
              <w:noProof/>
            </w:rPr>
            <w:t xml:space="preserve"> Caracas: Editorial Alfa.</w:t>
          </w:r>
        </w:p>
        <w:p w14:paraId="0F5E7056" w14:textId="77777777" w:rsidR="00937DC4" w:rsidRPr="00352D95" w:rsidRDefault="00937DC4" w:rsidP="00352D95">
          <w:pPr>
            <w:pStyle w:val="Bibliografa"/>
            <w:spacing w:line="360" w:lineRule="auto"/>
            <w:ind w:left="720" w:hanging="720"/>
            <w:jc w:val="both"/>
            <w:rPr>
              <w:rFonts w:ascii="AGaramond" w:hAnsi="AGaramond" w:cs="Arial"/>
              <w:noProof/>
              <w:lang w:val="en-US"/>
            </w:rPr>
          </w:pPr>
          <w:r w:rsidRPr="00352D95">
            <w:rPr>
              <w:rFonts w:ascii="AGaramond" w:hAnsi="AGaramond" w:cs="Arial"/>
              <w:noProof/>
            </w:rPr>
            <w:t xml:space="preserve">Ghura, D., </w:t>
          </w:r>
          <w:r w:rsidRPr="00352D95">
            <w:rPr>
              <w:rFonts w:ascii="AGaramond" w:hAnsi="AGaramond" w:cs="Arial"/>
              <w:i/>
              <w:iCs/>
              <w:noProof/>
            </w:rPr>
            <w:t>et al</w:t>
          </w:r>
          <w:r w:rsidRPr="00352D95">
            <w:rPr>
              <w:rFonts w:ascii="AGaramond" w:hAnsi="AGaramond" w:cs="Arial"/>
              <w:noProof/>
            </w:rPr>
            <w:t xml:space="preserve">. </w:t>
          </w:r>
          <w:r w:rsidRPr="00352D95">
            <w:rPr>
              <w:rFonts w:ascii="AGaramond" w:hAnsi="AGaramond" w:cs="Arial"/>
              <w:noProof/>
              <w:lang w:val="en-US"/>
            </w:rPr>
            <w:t xml:space="preserve">(2012). </w:t>
          </w:r>
          <w:r w:rsidRPr="00352D95">
            <w:rPr>
              <w:rFonts w:ascii="AGaramond" w:hAnsi="AGaramond" w:cs="Arial"/>
              <w:i/>
              <w:iCs/>
              <w:noProof/>
              <w:lang w:val="en-US"/>
            </w:rPr>
            <w:t>Macroeconomic Policy Frameworks for Resource-Rich Developing Countries.</w:t>
          </w:r>
          <w:r w:rsidRPr="00352D95">
            <w:rPr>
              <w:rFonts w:ascii="AGaramond" w:hAnsi="AGaramond" w:cs="Arial"/>
              <w:noProof/>
              <w:lang w:val="en-US"/>
            </w:rPr>
            <w:t xml:space="preserve"> Wsahington D.C.: IMF.</w:t>
          </w:r>
        </w:p>
        <w:p w14:paraId="350857BA" w14:textId="77777777" w:rsidR="00937DC4" w:rsidRPr="00352D95" w:rsidRDefault="00937DC4" w:rsidP="00352D95">
          <w:pPr>
            <w:pStyle w:val="Bibliografa"/>
            <w:spacing w:line="360" w:lineRule="auto"/>
            <w:ind w:left="720" w:hanging="720"/>
            <w:rPr>
              <w:rFonts w:ascii="AGaramond" w:hAnsi="AGaramond" w:cs="Arial"/>
              <w:noProof/>
            </w:rPr>
          </w:pPr>
          <w:r w:rsidRPr="00352D95">
            <w:rPr>
              <w:rFonts w:ascii="AGaramond" w:hAnsi="AGaramond" w:cs="Arial"/>
              <w:noProof/>
              <w:lang w:val="en-US"/>
            </w:rPr>
            <w:t xml:space="preserve">Hernández, J. (2020). Rightsizing the Public Sector: A Challenging Step Forward in Economic Reforms. </w:t>
          </w:r>
          <w:r w:rsidRPr="00352D95">
            <w:rPr>
              <w:rFonts w:ascii="AGaramond" w:hAnsi="AGaramond" w:cs="Arial"/>
              <w:i/>
              <w:iCs/>
              <w:noProof/>
            </w:rPr>
            <w:t>Revista Venezolana de Análisis de Coyuntura, XXVI</w:t>
          </w:r>
          <w:r w:rsidRPr="00352D95">
            <w:rPr>
              <w:rFonts w:ascii="AGaramond" w:hAnsi="AGaramond" w:cs="Arial"/>
              <w:noProof/>
            </w:rPr>
            <w:t>(1), 23-39.</w:t>
          </w:r>
        </w:p>
        <w:p w14:paraId="1C1A5529" w14:textId="53921174" w:rsidR="00937DC4" w:rsidRPr="00352D95" w:rsidRDefault="00937DC4" w:rsidP="00352D95">
          <w:pPr>
            <w:pStyle w:val="Bibliografa"/>
            <w:spacing w:line="360" w:lineRule="auto"/>
            <w:ind w:left="720" w:hanging="720"/>
            <w:rPr>
              <w:rFonts w:ascii="AGaramond" w:hAnsi="AGaramond" w:cs="Arial"/>
              <w:noProof/>
            </w:rPr>
          </w:pPr>
          <w:r w:rsidRPr="00352D95">
            <w:rPr>
              <w:rFonts w:ascii="AGaramond" w:hAnsi="AGaramond" w:cs="Arial"/>
              <w:noProof/>
            </w:rPr>
            <w:t xml:space="preserve">Hernández, J. </w:t>
          </w:r>
          <w:r w:rsidR="00352D95">
            <w:rPr>
              <w:rFonts w:ascii="AGaramond" w:hAnsi="AGaramond" w:cs="Arial"/>
              <w:noProof/>
            </w:rPr>
            <w:t>y</w:t>
          </w:r>
          <w:r w:rsidRPr="00352D95">
            <w:rPr>
              <w:rFonts w:ascii="AGaramond" w:hAnsi="AGaramond" w:cs="Arial"/>
              <w:noProof/>
            </w:rPr>
            <w:t xml:space="preserve"> Leone, F. (201</w:t>
          </w:r>
          <w:r w:rsidR="00352D95">
            <w:rPr>
              <w:rFonts w:ascii="AGaramond" w:hAnsi="AGaramond" w:cs="Arial"/>
              <w:noProof/>
            </w:rPr>
            <w:t>9)</w:t>
          </w:r>
          <w:r w:rsidRPr="00352D95">
            <w:rPr>
              <w:rFonts w:ascii="AGaramond" w:hAnsi="AGaramond" w:cs="Arial"/>
              <w:noProof/>
            </w:rPr>
            <w:t xml:space="preserve">. Embargo y producción petrolera en la Venezuela del 2018: evaluación de impactos y aspectos distintivos. </w:t>
          </w:r>
          <w:r w:rsidRPr="00352D95">
            <w:rPr>
              <w:rFonts w:ascii="AGaramond" w:hAnsi="AGaramond" w:cs="Arial"/>
              <w:i/>
              <w:iCs/>
              <w:noProof/>
            </w:rPr>
            <w:t>Revista Venezolana de Análisis de Coyuntura Vol 25 No 1</w:t>
          </w:r>
          <w:r w:rsidRPr="00352D95">
            <w:rPr>
              <w:rFonts w:ascii="AGaramond" w:hAnsi="AGaramond" w:cs="Arial"/>
              <w:noProof/>
            </w:rPr>
            <w:t>, 167-208.</w:t>
          </w:r>
        </w:p>
        <w:p w14:paraId="3941D086" w14:textId="77777777" w:rsidR="00937DC4" w:rsidRPr="00352D95" w:rsidRDefault="00937DC4" w:rsidP="00352D95">
          <w:pPr>
            <w:pStyle w:val="Bibliografa"/>
            <w:spacing w:line="360" w:lineRule="auto"/>
            <w:ind w:left="720" w:hanging="720"/>
            <w:rPr>
              <w:rFonts w:ascii="AGaramond" w:hAnsi="AGaramond" w:cs="Arial"/>
              <w:noProof/>
            </w:rPr>
          </w:pPr>
          <w:r w:rsidRPr="00352D95">
            <w:rPr>
              <w:rFonts w:ascii="AGaramond" w:hAnsi="AGaramond" w:cs="Arial"/>
              <w:noProof/>
            </w:rPr>
            <w:t xml:space="preserve">Hjerppe, R. (22 de April de 2021). </w:t>
          </w:r>
          <w:r w:rsidRPr="00352D95">
            <w:rPr>
              <w:rFonts w:ascii="AGaramond" w:hAnsi="AGaramond" w:cs="Arial"/>
              <w:i/>
              <w:iCs/>
              <w:noProof/>
              <w:lang w:val="en-US"/>
            </w:rPr>
            <w:t>An Economic History of Finland.</w:t>
          </w:r>
          <w:r w:rsidRPr="00352D95">
            <w:rPr>
              <w:rFonts w:ascii="AGaramond" w:hAnsi="AGaramond" w:cs="Arial"/>
              <w:noProof/>
              <w:lang w:val="en-US"/>
            </w:rPr>
            <w:t xml:space="preserve"> </w:t>
          </w:r>
          <w:r w:rsidRPr="00352D95">
            <w:rPr>
              <w:rFonts w:ascii="AGaramond" w:hAnsi="AGaramond" w:cs="Arial"/>
              <w:noProof/>
            </w:rPr>
            <w:t>Obtenido de EH.net: https://www.eh.net/page/2/?s=modern+economic+growth%3A+rate</w:t>
          </w:r>
        </w:p>
        <w:p w14:paraId="2CE97B39" w14:textId="77777777" w:rsidR="00937DC4" w:rsidRPr="00352D95" w:rsidRDefault="00937DC4" w:rsidP="00352D95">
          <w:pPr>
            <w:pStyle w:val="Bibliografa"/>
            <w:spacing w:line="360" w:lineRule="auto"/>
            <w:ind w:left="720" w:hanging="720"/>
            <w:rPr>
              <w:rFonts w:ascii="AGaramond" w:hAnsi="AGaramond" w:cs="Arial"/>
              <w:noProof/>
              <w:lang w:val="en-US"/>
            </w:rPr>
          </w:pPr>
          <w:r w:rsidRPr="00352D95">
            <w:rPr>
              <w:rFonts w:ascii="AGaramond" w:hAnsi="AGaramond" w:cs="Arial"/>
              <w:noProof/>
              <w:lang w:val="en-US"/>
            </w:rPr>
            <w:lastRenderedPageBreak/>
            <w:t xml:space="preserve">Hobbes, T. (1651). </w:t>
          </w:r>
          <w:r w:rsidRPr="00352D95">
            <w:rPr>
              <w:rFonts w:ascii="AGaramond" w:hAnsi="AGaramond" w:cs="Arial"/>
              <w:i/>
              <w:iCs/>
              <w:noProof/>
              <w:lang w:val="en-US"/>
            </w:rPr>
            <w:t>Leviathan, or the Matter, Forme, and Power of Commonwealth Ecclesiastical and Civil .</w:t>
          </w:r>
          <w:r w:rsidRPr="00352D95">
            <w:rPr>
              <w:rFonts w:ascii="AGaramond" w:hAnsi="AGaramond" w:cs="Arial"/>
              <w:noProof/>
              <w:lang w:val="en-US"/>
            </w:rPr>
            <w:t xml:space="preserve"> Oxford: https://quod.lib.umich.edu/e/eebo/A43998.0001.001/1:7?rgn=div1;view=fulltext.</w:t>
          </w:r>
        </w:p>
        <w:p w14:paraId="14290BAE" w14:textId="53E0AAD5" w:rsidR="00937DC4" w:rsidRPr="00352D95" w:rsidRDefault="00937DC4" w:rsidP="00352D95">
          <w:pPr>
            <w:pStyle w:val="Bibliografa"/>
            <w:spacing w:line="360" w:lineRule="auto"/>
            <w:ind w:left="720" w:hanging="720"/>
            <w:rPr>
              <w:rFonts w:ascii="AGaramond" w:hAnsi="AGaramond" w:cs="Arial"/>
              <w:noProof/>
              <w:lang w:val="en-US"/>
            </w:rPr>
          </w:pPr>
          <w:r w:rsidRPr="00352D95">
            <w:rPr>
              <w:rFonts w:ascii="AGaramond" w:hAnsi="AGaramond" w:cs="Arial"/>
              <w:noProof/>
              <w:lang w:val="en-US"/>
            </w:rPr>
            <w:t xml:space="preserve">Loewenstein, G. </w:t>
          </w:r>
          <w:r w:rsidR="00A309A9">
            <w:rPr>
              <w:rFonts w:ascii="AGaramond" w:hAnsi="AGaramond" w:cs="Arial"/>
              <w:noProof/>
              <w:lang w:val="en-US"/>
            </w:rPr>
            <w:t>y</w:t>
          </w:r>
          <w:r w:rsidRPr="00352D95">
            <w:rPr>
              <w:rFonts w:ascii="AGaramond" w:hAnsi="AGaramond" w:cs="Arial"/>
              <w:noProof/>
              <w:lang w:val="en-US"/>
            </w:rPr>
            <w:t xml:space="preserve"> Thaler, R. H. (1989). Anomalies: Intertemporal Choice. </w:t>
          </w:r>
          <w:r w:rsidRPr="00352D95">
            <w:rPr>
              <w:rFonts w:ascii="AGaramond" w:hAnsi="AGaramond" w:cs="Arial"/>
              <w:i/>
              <w:iCs/>
              <w:noProof/>
              <w:lang w:val="en-US"/>
            </w:rPr>
            <w:t>The Journal of Economic Perspectives, 3</w:t>
          </w:r>
          <w:r w:rsidRPr="00352D95">
            <w:rPr>
              <w:rFonts w:ascii="AGaramond" w:hAnsi="AGaramond" w:cs="Arial"/>
              <w:noProof/>
              <w:lang w:val="en-US"/>
            </w:rPr>
            <w:t>, 181-93.</w:t>
          </w:r>
        </w:p>
        <w:p w14:paraId="05B1E11D" w14:textId="15501B80" w:rsidR="00937DC4" w:rsidRPr="00352D95" w:rsidRDefault="00937DC4" w:rsidP="00352D95">
          <w:pPr>
            <w:pStyle w:val="Bibliografa"/>
            <w:spacing w:line="360" w:lineRule="auto"/>
            <w:ind w:left="720" w:hanging="720"/>
            <w:rPr>
              <w:rFonts w:ascii="AGaramond" w:hAnsi="AGaramond" w:cs="Arial"/>
              <w:noProof/>
            </w:rPr>
          </w:pPr>
          <w:r w:rsidRPr="00352D95">
            <w:rPr>
              <w:rFonts w:ascii="AGaramond" w:hAnsi="AGaramond" w:cs="Arial"/>
              <w:noProof/>
            </w:rPr>
            <w:t xml:space="preserve">Moreno, M., Sosa, S. </w:t>
          </w:r>
          <w:r w:rsidR="00A309A9">
            <w:rPr>
              <w:rFonts w:ascii="AGaramond" w:hAnsi="AGaramond" w:cs="Arial"/>
              <w:noProof/>
            </w:rPr>
            <w:t>y</w:t>
          </w:r>
          <w:r w:rsidRPr="00352D95">
            <w:rPr>
              <w:rFonts w:ascii="AGaramond" w:hAnsi="AGaramond" w:cs="Arial"/>
              <w:noProof/>
            </w:rPr>
            <w:t xml:space="preserve"> Zambrano, L. (2021). </w:t>
          </w:r>
          <w:r w:rsidRPr="00352D95">
            <w:rPr>
              <w:rFonts w:ascii="AGaramond" w:hAnsi="AGaramond" w:cs="Arial"/>
              <w:i/>
              <w:iCs/>
              <w:noProof/>
            </w:rPr>
            <w:t>Reglas Fiscales para Venezuela: en la búsqueda de disciplina, estabilidad, y sostenibilidad en las finanzas públicas.</w:t>
          </w:r>
          <w:r w:rsidRPr="00352D95">
            <w:rPr>
              <w:rFonts w:ascii="AGaramond" w:hAnsi="AGaramond" w:cs="Arial"/>
              <w:noProof/>
            </w:rPr>
            <w:t xml:space="preserve"> Caracas: Universidad Católica Andrés Bello.</w:t>
          </w:r>
        </w:p>
        <w:p w14:paraId="1415D347" w14:textId="6BCDF865" w:rsidR="00937DC4" w:rsidRPr="00352D95" w:rsidRDefault="00937DC4" w:rsidP="00352D95">
          <w:pPr>
            <w:pStyle w:val="Bibliografa"/>
            <w:spacing w:line="360" w:lineRule="auto"/>
            <w:ind w:left="720" w:hanging="720"/>
            <w:rPr>
              <w:rFonts w:ascii="AGaramond" w:hAnsi="AGaramond" w:cs="Arial"/>
              <w:noProof/>
            </w:rPr>
          </w:pPr>
          <w:r w:rsidRPr="00352D95">
            <w:rPr>
              <w:rFonts w:ascii="AGaramond" w:hAnsi="AGaramond" w:cs="Arial"/>
              <w:noProof/>
            </w:rPr>
            <w:t xml:space="preserve">Nguyen, N. A., Nguyen, N.-M. </w:t>
          </w:r>
          <w:r w:rsidR="00A309A9">
            <w:rPr>
              <w:rFonts w:ascii="AGaramond" w:hAnsi="AGaramond" w:cs="Arial"/>
              <w:noProof/>
            </w:rPr>
            <w:t>y</w:t>
          </w:r>
          <w:r w:rsidRPr="00352D95">
            <w:rPr>
              <w:rFonts w:ascii="AGaramond" w:hAnsi="AGaramond" w:cs="Arial"/>
              <w:noProof/>
            </w:rPr>
            <w:t xml:space="preserve"> Tran-Nam, B. (2014). </w:t>
          </w:r>
          <w:r w:rsidRPr="00352D95">
            <w:rPr>
              <w:rFonts w:ascii="AGaramond" w:hAnsi="AGaramond" w:cs="Arial"/>
              <w:noProof/>
              <w:lang w:val="en-US"/>
            </w:rPr>
            <w:t xml:space="preserve">Corruption and economic growth, with a focus on Vietnam. </w:t>
          </w:r>
          <w:r w:rsidRPr="00352D95">
            <w:rPr>
              <w:rFonts w:ascii="AGaramond" w:hAnsi="AGaramond" w:cs="Arial"/>
              <w:i/>
              <w:iCs/>
              <w:noProof/>
            </w:rPr>
            <w:t>Munich Personal RePEc Archive (MPRA)</w:t>
          </w:r>
          <w:r w:rsidRPr="00352D95">
            <w:rPr>
              <w:rFonts w:ascii="AGaramond" w:hAnsi="AGaramond" w:cs="Arial"/>
              <w:noProof/>
            </w:rPr>
            <w:t>, 1-26.</w:t>
          </w:r>
        </w:p>
        <w:p w14:paraId="2457180C" w14:textId="1C2C1BA2" w:rsidR="00937DC4" w:rsidRPr="00352D95" w:rsidRDefault="00937DC4" w:rsidP="00352D95">
          <w:pPr>
            <w:pStyle w:val="Bibliografa"/>
            <w:spacing w:line="360" w:lineRule="auto"/>
            <w:ind w:left="720" w:hanging="720"/>
            <w:rPr>
              <w:rFonts w:ascii="AGaramond" w:hAnsi="AGaramond" w:cs="Arial"/>
              <w:noProof/>
            </w:rPr>
          </w:pPr>
          <w:r w:rsidRPr="00352D95">
            <w:rPr>
              <w:rFonts w:ascii="AGaramond" w:hAnsi="AGaramond" w:cs="Arial"/>
              <w:noProof/>
            </w:rPr>
            <w:t xml:space="preserve">Polar, F. E. (24 de </w:t>
          </w:r>
          <w:r w:rsidR="00A309A9">
            <w:rPr>
              <w:rFonts w:ascii="AGaramond" w:hAnsi="AGaramond" w:cs="Arial"/>
              <w:noProof/>
            </w:rPr>
            <w:t>ab</w:t>
          </w:r>
          <w:r w:rsidRPr="00352D95">
            <w:rPr>
              <w:rFonts w:ascii="AGaramond" w:hAnsi="AGaramond" w:cs="Arial"/>
              <w:noProof/>
            </w:rPr>
            <w:t xml:space="preserve">ril de 2021). </w:t>
          </w:r>
          <w:r w:rsidRPr="00352D95">
            <w:rPr>
              <w:rFonts w:ascii="AGaramond" w:hAnsi="AGaramond" w:cs="Arial"/>
              <w:i/>
              <w:iCs/>
              <w:noProof/>
            </w:rPr>
            <w:t>bibliofep.fundacionempresaspolar</w:t>
          </w:r>
          <w:r w:rsidRPr="00352D95">
            <w:rPr>
              <w:rFonts w:ascii="AGaramond" w:hAnsi="AGaramond" w:cs="Arial"/>
              <w:noProof/>
            </w:rPr>
            <w:t>. Obtenido de Fundación Empresas Polar: https://bibliofep.fundacionempresaspolar.org/_custom/static/cronologia_hv/zoom/s20-10/1977-13.html</w:t>
          </w:r>
        </w:p>
        <w:p w14:paraId="3C424240" w14:textId="48FF08FB" w:rsidR="00937DC4" w:rsidRPr="00352D95" w:rsidRDefault="00937DC4" w:rsidP="00352D95">
          <w:pPr>
            <w:pStyle w:val="Bibliografa"/>
            <w:spacing w:line="360" w:lineRule="auto"/>
            <w:ind w:left="720" w:hanging="720"/>
            <w:rPr>
              <w:rFonts w:ascii="AGaramond" w:hAnsi="AGaramond" w:cs="Arial"/>
              <w:noProof/>
              <w:lang w:val="en-US"/>
            </w:rPr>
          </w:pPr>
          <w:r w:rsidRPr="00A309A9">
            <w:rPr>
              <w:rFonts w:ascii="AGaramond" w:hAnsi="AGaramond" w:cs="Arial"/>
              <w:noProof/>
            </w:rPr>
            <w:t xml:space="preserve">Sala-i-Martin, X. </w:t>
          </w:r>
          <w:r w:rsidR="00A309A9" w:rsidRPr="00A309A9">
            <w:rPr>
              <w:rFonts w:ascii="AGaramond" w:hAnsi="AGaramond" w:cs="Arial"/>
              <w:noProof/>
            </w:rPr>
            <w:t>y</w:t>
          </w:r>
          <w:r w:rsidRPr="00A309A9">
            <w:rPr>
              <w:rFonts w:ascii="AGaramond" w:hAnsi="AGaramond" w:cs="Arial"/>
              <w:noProof/>
            </w:rPr>
            <w:t xml:space="preserve"> Subramanian, A. (2012). </w:t>
          </w:r>
          <w:r w:rsidRPr="00352D95">
            <w:rPr>
              <w:rFonts w:ascii="AGaramond" w:hAnsi="AGaramond" w:cs="Arial"/>
              <w:noProof/>
              <w:lang w:val="en-US"/>
            </w:rPr>
            <w:t xml:space="preserve">Addressing the Natural Resource Curse: an illustraction from Nigeria. </w:t>
          </w:r>
          <w:r w:rsidRPr="00352D95">
            <w:rPr>
              <w:rFonts w:ascii="AGaramond" w:hAnsi="AGaramond" w:cs="Arial"/>
              <w:i/>
              <w:iCs/>
              <w:noProof/>
              <w:lang w:val="en-US"/>
            </w:rPr>
            <w:t>Journal of African Economies, 22</w:t>
          </w:r>
          <w:r w:rsidRPr="00352D95">
            <w:rPr>
              <w:rFonts w:ascii="AGaramond" w:hAnsi="AGaramond" w:cs="Arial"/>
              <w:noProof/>
              <w:lang w:val="en-US"/>
            </w:rPr>
            <w:t>(4), 570-615. doi:doi:10.1093/jae/ejs033</w:t>
          </w:r>
        </w:p>
        <w:p w14:paraId="54F46C70" w14:textId="4DBBE580" w:rsidR="00937DC4" w:rsidRPr="00352D95" w:rsidRDefault="00937DC4" w:rsidP="00352D95">
          <w:pPr>
            <w:pStyle w:val="Bibliografa"/>
            <w:spacing w:line="360" w:lineRule="auto"/>
            <w:ind w:left="720" w:hanging="720"/>
            <w:rPr>
              <w:rFonts w:ascii="AGaramond" w:hAnsi="AGaramond" w:cs="Arial"/>
              <w:noProof/>
            </w:rPr>
          </w:pPr>
          <w:r w:rsidRPr="00352D95">
            <w:rPr>
              <w:rFonts w:ascii="AGaramond" w:hAnsi="AGaramond" w:cs="Arial"/>
              <w:noProof/>
              <w:lang w:val="en-US"/>
            </w:rPr>
            <w:t xml:space="preserve">Savater, F. (2015). </w:t>
          </w:r>
          <w:r w:rsidRPr="00352D95">
            <w:rPr>
              <w:rFonts w:ascii="AGaramond" w:hAnsi="AGaramond" w:cs="Arial"/>
              <w:i/>
              <w:iCs/>
              <w:noProof/>
            </w:rPr>
            <w:t xml:space="preserve">El Valor de </w:t>
          </w:r>
          <w:r w:rsidR="00A309A9">
            <w:rPr>
              <w:rFonts w:ascii="AGaramond" w:hAnsi="AGaramond" w:cs="Arial"/>
              <w:i/>
              <w:iCs/>
              <w:noProof/>
            </w:rPr>
            <w:t>e</w:t>
          </w:r>
          <w:r w:rsidRPr="00352D95">
            <w:rPr>
              <w:rFonts w:ascii="AGaramond" w:hAnsi="AGaramond" w:cs="Arial"/>
              <w:i/>
              <w:iCs/>
              <w:noProof/>
            </w:rPr>
            <w:t>legir.</w:t>
          </w:r>
          <w:r w:rsidRPr="00352D95">
            <w:rPr>
              <w:rFonts w:ascii="AGaramond" w:hAnsi="AGaramond" w:cs="Arial"/>
              <w:noProof/>
            </w:rPr>
            <w:t xml:space="preserve"> Barcelona, España: Planeta.</w:t>
          </w:r>
        </w:p>
        <w:p w14:paraId="3FF0E0B3" w14:textId="77777777" w:rsidR="00937DC4" w:rsidRPr="00352D95" w:rsidRDefault="00937DC4" w:rsidP="00352D95">
          <w:pPr>
            <w:pStyle w:val="Bibliografa"/>
            <w:spacing w:line="360" w:lineRule="auto"/>
            <w:ind w:left="720" w:hanging="720"/>
            <w:rPr>
              <w:rFonts w:ascii="AGaramond" w:hAnsi="AGaramond" w:cs="Arial"/>
              <w:noProof/>
              <w:lang w:val="en-US"/>
            </w:rPr>
          </w:pPr>
          <w:r w:rsidRPr="00352D95">
            <w:rPr>
              <w:rFonts w:ascii="AGaramond" w:hAnsi="AGaramond" w:cs="Arial"/>
              <w:noProof/>
              <w:lang w:val="en-US"/>
            </w:rPr>
            <w:t xml:space="preserve">Varian, H. R. (1992). </w:t>
          </w:r>
          <w:r w:rsidRPr="00352D95">
            <w:rPr>
              <w:rFonts w:ascii="AGaramond" w:hAnsi="AGaramond" w:cs="Arial"/>
              <w:i/>
              <w:iCs/>
              <w:noProof/>
              <w:lang w:val="en-US"/>
            </w:rPr>
            <w:t>Microeconomic Analysis</w:t>
          </w:r>
          <w:r w:rsidRPr="00352D95">
            <w:rPr>
              <w:rFonts w:ascii="AGaramond" w:hAnsi="AGaramond" w:cs="Arial"/>
              <w:noProof/>
              <w:lang w:val="en-US"/>
            </w:rPr>
            <w:t xml:space="preserve"> (Third edition ed.). NY: W. W. Norton &amp; Co.</w:t>
          </w:r>
        </w:p>
        <w:p w14:paraId="16E90EF8" w14:textId="77777777" w:rsidR="00937DC4" w:rsidRPr="00352D95" w:rsidRDefault="00937DC4" w:rsidP="00352D95">
          <w:pPr>
            <w:pStyle w:val="Bibliografa"/>
            <w:spacing w:line="360" w:lineRule="auto"/>
            <w:ind w:left="720" w:hanging="720"/>
            <w:rPr>
              <w:rFonts w:ascii="AGaramond" w:hAnsi="AGaramond" w:cs="Arial"/>
              <w:noProof/>
              <w:lang w:val="en-US"/>
            </w:rPr>
          </w:pPr>
          <w:r w:rsidRPr="00352D95">
            <w:rPr>
              <w:rFonts w:ascii="AGaramond" w:hAnsi="AGaramond" w:cs="Arial"/>
              <w:noProof/>
              <w:lang w:val="en-US"/>
            </w:rPr>
            <w:t xml:space="preserve">Williamson, O. (1993). Opportunism and its Critics. </w:t>
          </w:r>
          <w:r w:rsidRPr="00352D95">
            <w:rPr>
              <w:rFonts w:ascii="AGaramond" w:hAnsi="AGaramond" w:cs="Arial"/>
              <w:i/>
              <w:iCs/>
              <w:noProof/>
              <w:lang w:val="en-US"/>
            </w:rPr>
            <w:t>Managerial and Decision Economics, 14</w:t>
          </w:r>
          <w:r w:rsidRPr="00352D95">
            <w:rPr>
              <w:rFonts w:ascii="AGaramond" w:hAnsi="AGaramond" w:cs="Arial"/>
              <w:noProof/>
              <w:lang w:val="en-US"/>
            </w:rPr>
            <w:t>, 97-107.</w:t>
          </w:r>
        </w:p>
        <w:p w14:paraId="05EFEEB4" w14:textId="77777777" w:rsidR="00937DC4" w:rsidRPr="00352D95" w:rsidRDefault="00937DC4" w:rsidP="00352D95">
          <w:pPr>
            <w:pStyle w:val="Bibliografa"/>
            <w:spacing w:line="360" w:lineRule="auto"/>
            <w:ind w:left="720" w:hanging="720"/>
            <w:rPr>
              <w:rFonts w:ascii="AGaramond" w:hAnsi="AGaramond" w:cs="Arial"/>
              <w:noProof/>
              <w:lang w:val="en-US"/>
            </w:rPr>
          </w:pPr>
          <w:r w:rsidRPr="00352D95">
            <w:rPr>
              <w:rFonts w:ascii="AGaramond" w:hAnsi="AGaramond" w:cs="Arial"/>
              <w:noProof/>
              <w:lang w:val="en-US"/>
            </w:rPr>
            <w:t xml:space="preserve">Zimbardo, P. (2008). </w:t>
          </w:r>
          <w:r w:rsidRPr="00352D95">
            <w:rPr>
              <w:rFonts w:ascii="AGaramond" w:hAnsi="AGaramond" w:cs="Arial"/>
              <w:i/>
              <w:iCs/>
              <w:noProof/>
              <w:lang w:val="en-US"/>
            </w:rPr>
            <w:t>The Lucifer Effect.</w:t>
          </w:r>
          <w:r w:rsidRPr="00352D95">
            <w:rPr>
              <w:rFonts w:ascii="AGaramond" w:hAnsi="AGaramond" w:cs="Arial"/>
              <w:noProof/>
              <w:lang w:val="en-US"/>
            </w:rPr>
            <w:t xml:space="preserve"> New York: Random House Paperbacks.</w:t>
          </w:r>
        </w:p>
        <w:p w14:paraId="60A5221E" w14:textId="64581E73" w:rsidR="00937DC4" w:rsidRPr="00611B92" w:rsidRDefault="00CC1027" w:rsidP="00352D95">
          <w:pPr>
            <w:spacing w:after="240" w:line="360" w:lineRule="auto"/>
            <w:rPr>
              <w:rFonts w:ascii="AGaramond" w:hAnsi="AGaramond"/>
            </w:rPr>
          </w:pPr>
        </w:p>
      </w:sdtContent>
    </w:sdt>
    <w:p w14:paraId="3A1AB19D" w14:textId="77777777" w:rsidR="00937DC4" w:rsidRPr="00611B92" w:rsidRDefault="00937DC4" w:rsidP="00937DC4">
      <w:pPr>
        <w:spacing w:line="360" w:lineRule="auto"/>
        <w:jc w:val="both"/>
        <w:rPr>
          <w:rFonts w:ascii="AGaramond" w:hAnsi="AGaramond" w:cs="Arial"/>
          <w:lang w:val="es-ES" w:eastAsia="es-ES"/>
        </w:rPr>
      </w:pPr>
    </w:p>
    <w:p w14:paraId="2D1CB046" w14:textId="77777777" w:rsidR="00937DC4" w:rsidRPr="00611B92" w:rsidRDefault="00937DC4" w:rsidP="00937DC4">
      <w:pPr>
        <w:rPr>
          <w:rFonts w:ascii="AGaramond" w:eastAsiaTheme="majorEastAsia" w:hAnsi="AGaramond" w:cs="Arial"/>
          <w:b/>
          <w:bCs/>
          <w:sz w:val="28"/>
          <w:szCs w:val="28"/>
        </w:rPr>
      </w:pPr>
      <w:r w:rsidRPr="00611B92">
        <w:rPr>
          <w:rFonts w:ascii="AGaramond" w:eastAsiaTheme="majorEastAsia" w:hAnsi="AGaramond" w:cs="Arial"/>
          <w:b/>
          <w:bCs/>
          <w:sz w:val="28"/>
          <w:szCs w:val="28"/>
        </w:rPr>
        <w:br w:type="page"/>
      </w:r>
    </w:p>
    <w:p w14:paraId="40A337E9" w14:textId="22E4C25F" w:rsidR="00937DC4" w:rsidRPr="00A309A9" w:rsidRDefault="00A309A9" w:rsidP="00A309A9">
      <w:pPr>
        <w:pStyle w:val="Ttulo1"/>
        <w:spacing w:after="240" w:line="360" w:lineRule="auto"/>
        <w:rPr>
          <w:rFonts w:ascii="AGaramond" w:hAnsi="AGaramond" w:cs="Arial"/>
          <w:color w:val="auto"/>
          <w:sz w:val="24"/>
          <w:szCs w:val="24"/>
        </w:rPr>
      </w:pPr>
      <w:bookmarkStart w:id="9" w:name="_Ref78263177"/>
      <w:r w:rsidRPr="00A309A9">
        <w:rPr>
          <w:rFonts w:ascii="AGaramond" w:hAnsi="AGaramond" w:cs="Arial"/>
          <w:color w:val="auto"/>
          <w:sz w:val="24"/>
          <w:szCs w:val="24"/>
        </w:rPr>
        <w:lastRenderedPageBreak/>
        <w:t>APÉNDICE</w:t>
      </w:r>
      <w:bookmarkEnd w:id="9"/>
    </w:p>
    <w:p w14:paraId="58BDA776" w14:textId="77777777" w:rsidR="00937DC4" w:rsidRPr="00611B92" w:rsidRDefault="00937DC4" w:rsidP="00937DC4">
      <w:pPr>
        <w:keepNext/>
        <w:tabs>
          <w:tab w:val="left" w:pos="3686"/>
        </w:tabs>
        <w:jc w:val="center"/>
        <w:rPr>
          <w:rFonts w:ascii="AGaramond" w:hAnsi="AGaramond"/>
        </w:rPr>
      </w:pPr>
      <w:r w:rsidRPr="00611B92">
        <w:rPr>
          <w:rFonts w:ascii="AGaramond" w:hAnsi="AGaramond"/>
          <w:noProof/>
          <w:lang w:val="es-ES" w:eastAsia="es-ES"/>
        </w:rPr>
        <w:drawing>
          <wp:inline distT="0" distB="0" distL="0" distR="0" wp14:anchorId="65A2F176" wp14:editId="3716290A">
            <wp:extent cx="2638425" cy="2743200"/>
            <wp:effectExtent l="0" t="0" r="9525" b="0"/>
            <wp:docPr id="15" name="Chart 1">
              <a:extLst xmlns:a="http://schemas.openxmlformats.org/drawingml/2006/main">
                <a:ext uri="{FF2B5EF4-FFF2-40B4-BE49-F238E27FC236}">
                  <a16:creationId xmlns:a16="http://schemas.microsoft.com/office/drawing/2014/main" id="{13DBFFF9-C0D8-4987-AEA5-53E9B39DD7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611B92">
        <w:rPr>
          <w:rFonts w:ascii="AGaramond" w:hAnsi="AGaramond"/>
          <w:noProof/>
          <w:lang w:val="es-ES" w:eastAsia="es-ES"/>
        </w:rPr>
        <w:drawing>
          <wp:inline distT="0" distB="0" distL="0" distR="0" wp14:anchorId="6831310F" wp14:editId="4233F0C7">
            <wp:extent cx="2838450" cy="2743200"/>
            <wp:effectExtent l="0" t="0" r="0" b="0"/>
            <wp:docPr id="16" name="Chart 2">
              <a:extLst xmlns:a="http://schemas.openxmlformats.org/drawingml/2006/main">
                <a:ext uri="{FF2B5EF4-FFF2-40B4-BE49-F238E27FC236}">
                  <a16:creationId xmlns:a16="http://schemas.microsoft.com/office/drawing/2014/main" id="{94B5186E-3941-4522-9DB9-3CA805E0EE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ECE4E61" w14:textId="77777777" w:rsidR="00937DC4" w:rsidRPr="00611B92" w:rsidRDefault="00937DC4" w:rsidP="00937DC4">
      <w:pPr>
        <w:keepNext/>
        <w:tabs>
          <w:tab w:val="left" w:pos="3686"/>
        </w:tabs>
        <w:jc w:val="center"/>
        <w:rPr>
          <w:rFonts w:ascii="AGaramond" w:hAnsi="AGaramond"/>
        </w:rPr>
      </w:pPr>
    </w:p>
    <w:p w14:paraId="4BA1CA63" w14:textId="77777777" w:rsidR="00937DC4" w:rsidRPr="00611B92" w:rsidRDefault="00937DC4" w:rsidP="00937DC4">
      <w:pPr>
        <w:keepNext/>
        <w:tabs>
          <w:tab w:val="left" w:pos="3686"/>
        </w:tabs>
        <w:jc w:val="center"/>
        <w:rPr>
          <w:rFonts w:ascii="AGaramond" w:hAnsi="AGaramond"/>
        </w:rPr>
      </w:pPr>
      <w:r w:rsidRPr="00611B92">
        <w:rPr>
          <w:rFonts w:ascii="AGaramond" w:hAnsi="AGaramond"/>
          <w:noProof/>
          <w:lang w:val="es-ES" w:eastAsia="es-ES"/>
        </w:rPr>
        <w:drawing>
          <wp:inline distT="0" distB="0" distL="0" distR="0" wp14:anchorId="5DA8E473" wp14:editId="3350E7AB">
            <wp:extent cx="2552700" cy="2743200"/>
            <wp:effectExtent l="0" t="0" r="0" b="0"/>
            <wp:docPr id="12" name="Chart 12">
              <a:extLst xmlns:a="http://schemas.openxmlformats.org/drawingml/2006/main">
                <a:ext uri="{FF2B5EF4-FFF2-40B4-BE49-F238E27FC236}">
                  <a16:creationId xmlns:a16="http://schemas.microsoft.com/office/drawing/2014/main" id="{B9B9B8CB-EC6D-4C30-91FA-B65402471D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611B92">
        <w:rPr>
          <w:rFonts w:ascii="AGaramond" w:hAnsi="AGaramond"/>
          <w:noProof/>
          <w:lang w:val="es-ES" w:eastAsia="es-ES"/>
        </w:rPr>
        <w:drawing>
          <wp:inline distT="0" distB="0" distL="0" distR="0" wp14:anchorId="41D4676F" wp14:editId="0C90DEC6">
            <wp:extent cx="2905125" cy="2743200"/>
            <wp:effectExtent l="0" t="0" r="9525" b="0"/>
            <wp:docPr id="13" name="Chart 13">
              <a:extLst xmlns:a="http://schemas.openxmlformats.org/drawingml/2006/main">
                <a:ext uri="{FF2B5EF4-FFF2-40B4-BE49-F238E27FC236}">
                  <a16:creationId xmlns:a16="http://schemas.microsoft.com/office/drawing/2014/main" id="{044C9F91-DF4E-477D-8880-175CA1098D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8DE0837" w14:textId="77777777" w:rsidR="00937DC4" w:rsidRPr="00611B92" w:rsidRDefault="00937DC4" w:rsidP="00937DC4">
      <w:pPr>
        <w:keepNext/>
        <w:tabs>
          <w:tab w:val="left" w:pos="3686"/>
        </w:tabs>
        <w:rPr>
          <w:rFonts w:ascii="AGaramond" w:hAnsi="AGaramond"/>
        </w:rPr>
      </w:pPr>
    </w:p>
    <w:p w14:paraId="18EDEE10" w14:textId="77777777" w:rsidR="00937DC4" w:rsidRPr="00611B92" w:rsidRDefault="00937DC4" w:rsidP="00937DC4">
      <w:pPr>
        <w:rPr>
          <w:rFonts w:ascii="AGaramond" w:hAnsi="AGaramond"/>
        </w:rPr>
      </w:pPr>
      <w:r w:rsidRPr="00611B92">
        <w:rPr>
          <w:rFonts w:ascii="AGaramond" w:hAnsi="AGaramond"/>
        </w:rPr>
        <w:br w:type="page"/>
      </w:r>
    </w:p>
    <w:p w14:paraId="7AD2AB9C" w14:textId="77777777" w:rsidR="00937DC4" w:rsidRPr="00611B92" w:rsidRDefault="00937DC4" w:rsidP="00937DC4">
      <w:pPr>
        <w:keepNext/>
        <w:tabs>
          <w:tab w:val="left" w:pos="3686"/>
        </w:tabs>
        <w:jc w:val="center"/>
        <w:rPr>
          <w:rFonts w:ascii="AGaramond" w:hAnsi="AGaramond"/>
        </w:rPr>
      </w:pPr>
      <w:r w:rsidRPr="00611B92">
        <w:rPr>
          <w:rFonts w:ascii="AGaramond" w:hAnsi="AGaramond"/>
          <w:noProof/>
          <w:lang w:val="es-ES" w:eastAsia="es-ES"/>
        </w:rPr>
        <w:lastRenderedPageBreak/>
        <w:drawing>
          <wp:inline distT="0" distB="0" distL="0" distR="0" wp14:anchorId="2CBF166A" wp14:editId="39CBBB19">
            <wp:extent cx="4572000" cy="3009900"/>
            <wp:effectExtent l="0" t="0" r="0" b="0"/>
            <wp:docPr id="14" name="Chart 14">
              <a:extLst xmlns:a="http://schemas.openxmlformats.org/drawingml/2006/main">
                <a:ext uri="{FF2B5EF4-FFF2-40B4-BE49-F238E27FC236}">
                  <a16:creationId xmlns:a16="http://schemas.microsoft.com/office/drawing/2014/main" id="{66EF1FA4-1F83-4299-B7FA-43841E6EEC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6DD70D" w14:textId="4BE6D513" w:rsidR="008557D5" w:rsidRPr="00937DC4" w:rsidRDefault="008557D5" w:rsidP="00937DC4">
      <w:pPr>
        <w:spacing w:line="360" w:lineRule="auto"/>
        <w:jc w:val="both"/>
        <w:rPr>
          <w:rFonts w:ascii="AGaramond" w:hAnsi="AGaramond"/>
        </w:rPr>
      </w:pPr>
    </w:p>
    <w:sectPr w:rsidR="008557D5" w:rsidRPr="00937DC4" w:rsidSect="002664F2">
      <w:headerReference w:type="default" r:id="rId14"/>
      <w:footerReference w:type="even" r:id="rId15"/>
      <w:footerReference w:type="default" r:id="rId16"/>
      <w:headerReference w:type="first" r:id="rId17"/>
      <w:footerReference w:type="first" r:id="rId18"/>
      <w:pgSz w:w="12240" w:h="15840"/>
      <w:pgMar w:top="713" w:right="1041" w:bottom="1417" w:left="1275" w:header="713" w:footer="708" w:gutter="0"/>
      <w:pgNumType w:start="7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50594" w14:textId="77777777" w:rsidR="00CC1027" w:rsidRDefault="00CC1027" w:rsidP="00DD28DE">
      <w:r>
        <w:separator/>
      </w:r>
    </w:p>
  </w:endnote>
  <w:endnote w:type="continuationSeparator" w:id="0">
    <w:p w14:paraId="4A9564E3" w14:textId="77777777" w:rsidR="00CC1027" w:rsidRDefault="00CC1027" w:rsidP="00DD2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Garamond">
    <w:panose1 w:val="02020500000000000000"/>
    <w:charset w:val="00"/>
    <w:family w:val="roman"/>
    <w:notTrueType/>
    <w:pitch w:val="variable"/>
    <w:sig w:usb0="800000AF" w:usb1="4000004A" w:usb2="00000000" w:usb3="00000000" w:csb0="00000001" w:csb1="00000000"/>
  </w:font>
  <w:font w:name="Adobe Garamond Pro">
    <w:altName w:val="Georgia"/>
    <w:panose1 w:val="00000000000000000000"/>
    <w:charset w:val="00"/>
    <w:family w:val="roman"/>
    <w:notTrueType/>
    <w:pitch w:val="variable"/>
    <w:sig w:usb0="00000007" w:usb1="00000001" w:usb2="00000000" w:usb3="00000000" w:csb0="00000093" w:csb1="00000000"/>
  </w:font>
  <w:font w:name="Times">
    <w:panose1 w:val="02020603050405020304"/>
    <w:charset w:val="00"/>
    <w:family w:val="roman"/>
    <w:pitch w:val="variable"/>
    <w:sig w:usb0="E0002EFF" w:usb1="C000785B" w:usb2="00000009" w:usb3="00000000" w:csb0="000001FF" w:csb1="00000000"/>
  </w:font>
  <w:font w:name="HGMinchoE">
    <w:charset w:val="80"/>
    <w:family w:val="modern"/>
    <w:pitch w:val="fixed"/>
    <w:sig w:usb0="E00002FF" w:usb1="2AC7EDFE" w:usb2="00000012" w:usb3="00000000" w:csb0="00020001" w:csb1="00000000"/>
  </w:font>
  <w:font w:name="Cambria">
    <w:panose1 w:val="02040503050406030204"/>
    <w:charset w:val="00"/>
    <w:family w:val="roman"/>
    <w:pitch w:val="variable"/>
    <w:sig w:usb0="E00006FF" w:usb1="420024FF" w:usb2="02000000" w:usb3="00000000" w:csb0="0000019F" w:csb1="00000000"/>
    <w:embedRegular r:id="rId1" w:subsetted="1" w:fontKey="{74168F20-ED46-48CA-90D7-1C96457953B0}"/>
  </w:font>
  <w:font w:name="Cambria Math">
    <w:panose1 w:val="02040503050406030204"/>
    <w:charset w:val="00"/>
    <w:family w:val="roman"/>
    <w:pitch w:val="variable"/>
    <w:sig w:usb0="E00006FF" w:usb1="420024FF" w:usb2="02000000" w:usb3="00000000" w:csb0="0000019F" w:csb1="00000000"/>
    <w:embedRegular r:id="rId2" w:fontKey="{D7AC2240-A46D-473D-B4AC-FED7B1698509}"/>
    <w:embedBold r:id="rId3" w:fontKey="{515749AC-12F9-4E7E-8561-C4A437A9CF43}"/>
    <w:embedItalic r:id="rId4" w:fontKey="{C31C3F1F-0D71-4696-8444-309B3314C308}"/>
    <w:embedBoldItalic r:id="rId5" w:fontKey="{A4273D44-55AB-48B4-B99A-75E4E437BC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019438407"/>
      <w:docPartObj>
        <w:docPartGallery w:val="Page Numbers (Bottom of Page)"/>
        <w:docPartUnique/>
      </w:docPartObj>
    </w:sdtPr>
    <w:sdtEndPr>
      <w:rPr>
        <w:rStyle w:val="Nmerodepgina"/>
      </w:rPr>
    </w:sdtEndPr>
    <w:sdtContent>
      <w:p w14:paraId="52DE739E" w14:textId="77777777" w:rsidR="00DD28DE" w:rsidRDefault="00A418C7" w:rsidP="00B042F8">
        <w:pPr>
          <w:pStyle w:val="Piedepgina"/>
          <w:framePr w:wrap="none" w:vAnchor="text" w:hAnchor="margin" w:xAlign="right" w:y="1"/>
          <w:rPr>
            <w:rStyle w:val="Nmerodepgina"/>
          </w:rPr>
        </w:pPr>
        <w:r>
          <w:rPr>
            <w:rStyle w:val="Nmerodepgina"/>
          </w:rPr>
          <w:fldChar w:fldCharType="begin"/>
        </w:r>
        <w:r w:rsidR="00DD28DE">
          <w:rPr>
            <w:rStyle w:val="Nmerodepgina"/>
          </w:rPr>
          <w:instrText xml:space="preserve"> PAGE </w:instrText>
        </w:r>
        <w:r>
          <w:rPr>
            <w:rStyle w:val="Nmerodepgina"/>
          </w:rPr>
          <w:fldChar w:fldCharType="end"/>
        </w:r>
      </w:p>
    </w:sdtContent>
  </w:sdt>
  <w:p w14:paraId="3B066205" w14:textId="77777777" w:rsidR="00DD28DE" w:rsidRDefault="00DD28DE" w:rsidP="00DD28D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AGaramond" w:hAnsi="AGaramond"/>
      </w:rPr>
      <w:id w:val="1317304555"/>
      <w:docPartObj>
        <w:docPartGallery w:val="Page Numbers (Bottom of Page)"/>
        <w:docPartUnique/>
      </w:docPartObj>
    </w:sdtPr>
    <w:sdtEndPr>
      <w:rPr>
        <w:rStyle w:val="Nmerodepgina"/>
      </w:rPr>
    </w:sdtEndPr>
    <w:sdtContent>
      <w:p w14:paraId="1EAB36E8" w14:textId="303CFE34" w:rsidR="00DD28DE" w:rsidRPr="00B7573F" w:rsidRDefault="00A418C7" w:rsidP="00DD28DE">
        <w:pPr>
          <w:pStyle w:val="Piedepgina"/>
          <w:framePr w:wrap="none" w:vAnchor="text" w:hAnchor="page" w:x="10991" w:y="161"/>
          <w:rPr>
            <w:rStyle w:val="Nmerodepgina"/>
            <w:rFonts w:ascii="AGaramond" w:hAnsi="AGaramond"/>
          </w:rPr>
        </w:pPr>
        <w:r w:rsidRPr="00B7573F">
          <w:rPr>
            <w:rStyle w:val="Nmerodepgina"/>
            <w:rFonts w:ascii="AGaramond" w:hAnsi="AGaramond"/>
          </w:rPr>
          <w:fldChar w:fldCharType="begin"/>
        </w:r>
        <w:r w:rsidR="00DD28DE" w:rsidRPr="00B7573F">
          <w:rPr>
            <w:rStyle w:val="Nmerodepgina"/>
            <w:rFonts w:ascii="AGaramond" w:hAnsi="AGaramond"/>
          </w:rPr>
          <w:instrText xml:space="preserve"> PAGE </w:instrText>
        </w:r>
        <w:r w:rsidRPr="00B7573F">
          <w:rPr>
            <w:rStyle w:val="Nmerodepgina"/>
            <w:rFonts w:ascii="AGaramond" w:hAnsi="AGaramond"/>
          </w:rPr>
          <w:fldChar w:fldCharType="separate"/>
        </w:r>
        <w:r w:rsidR="00232888" w:rsidRPr="00B7573F">
          <w:rPr>
            <w:rStyle w:val="Nmerodepgina"/>
            <w:rFonts w:ascii="AGaramond" w:hAnsi="AGaramond"/>
            <w:noProof/>
          </w:rPr>
          <w:t>1</w:t>
        </w:r>
        <w:r w:rsidRPr="00B7573F">
          <w:rPr>
            <w:rStyle w:val="Nmerodepgina"/>
            <w:rFonts w:ascii="AGaramond" w:hAnsi="AGaramond"/>
          </w:rPr>
          <w:fldChar w:fldCharType="end"/>
        </w:r>
      </w:p>
    </w:sdtContent>
  </w:sdt>
  <w:p w14:paraId="29662066" w14:textId="302F8E22" w:rsidR="00DD28DE" w:rsidRPr="00B7573F" w:rsidRDefault="00F16B86" w:rsidP="001E793C">
    <w:pPr>
      <w:pStyle w:val="Ningnestilodeprrafo"/>
      <w:spacing w:line="240" w:lineRule="auto"/>
      <w:ind w:right="710"/>
      <w:jc w:val="right"/>
      <w:rPr>
        <w:rFonts w:ascii="AGaramond" w:hAnsi="AGaramond" w:cs="Times"/>
        <w:iCs/>
        <w:sz w:val="16"/>
        <w:szCs w:val="16"/>
        <w:lang w:val="es-VE"/>
      </w:rPr>
    </w:pPr>
    <w:r w:rsidRPr="00B7573F">
      <w:rPr>
        <w:rFonts w:ascii="AGaramond" w:hAnsi="AGaramond" w:cs="Times"/>
        <w:iCs/>
        <w:noProof/>
        <w:sz w:val="16"/>
        <w:szCs w:val="16"/>
        <w:lang w:val="es-VE" w:eastAsia="es-VE"/>
      </w:rPr>
      <mc:AlternateContent>
        <mc:Choice Requires="wps">
          <w:drawing>
            <wp:anchor distT="0" distB="0" distL="114300" distR="114300" simplePos="0" relativeHeight="251652096" behindDoc="0" locked="0" layoutInCell="1" allowOverlap="1" wp14:anchorId="0B49BD65" wp14:editId="64989018">
              <wp:simplePos x="0" y="0"/>
              <wp:positionH relativeFrom="column">
                <wp:posOffset>6033770</wp:posOffset>
              </wp:positionH>
              <wp:positionV relativeFrom="paragraph">
                <wp:posOffset>14605</wp:posOffset>
              </wp:positionV>
              <wp:extent cx="0" cy="796290"/>
              <wp:effectExtent l="0" t="0" r="38100" b="22860"/>
              <wp:wrapNone/>
              <wp:docPr id="5"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96290"/>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AFB2D" id="Conector recto 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1pt,1.15pt" to="475.1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" strokecolor="black [3200]">
              <v:stroke joinstyle="miter"/>
              <o:lock v:ext="edit" shapetype="f"/>
            </v:line>
          </w:pict>
        </mc:Fallback>
      </mc:AlternateContent>
    </w:r>
    <w:r w:rsidR="00575408" w:rsidRPr="00B7573F">
      <w:rPr>
        <w:rFonts w:ascii="AGaramond" w:hAnsi="AGaramond" w:cs="Times"/>
        <w:iCs/>
        <w:sz w:val="16"/>
        <w:szCs w:val="16"/>
        <w:lang w:val="es-VE"/>
      </w:rPr>
      <w:t xml:space="preserve"> Temas de Coyuntura </w:t>
    </w:r>
    <w:r w:rsidR="00DD28DE" w:rsidRPr="00B7573F">
      <w:rPr>
        <w:rFonts w:ascii="AGaramond" w:hAnsi="AGaramond" w:cs="Times"/>
        <w:iCs/>
        <w:sz w:val="16"/>
        <w:szCs w:val="16"/>
        <w:lang w:val="es-VE"/>
      </w:rPr>
      <w:t>N</w:t>
    </w:r>
    <w:r w:rsidR="0022144A">
      <w:rPr>
        <w:rFonts w:ascii="AGaramond" w:hAnsi="AGaramond" w:cs="Times"/>
        <w:iCs/>
        <w:sz w:val="16"/>
        <w:szCs w:val="16"/>
        <w:lang w:val="es-VE"/>
      </w:rPr>
      <w:t>.</w:t>
    </w:r>
    <w:r w:rsidR="00DD28DE" w:rsidRPr="00B7573F">
      <w:rPr>
        <w:rFonts w:ascii="AGaramond" w:hAnsi="AGaramond" w:cs="Times"/>
        <w:iCs/>
        <w:sz w:val="16"/>
        <w:szCs w:val="16"/>
        <w:lang w:val="es-VE"/>
      </w:rPr>
      <w:t xml:space="preserve">º </w:t>
    </w:r>
    <w:r w:rsidR="003342C7">
      <w:rPr>
        <w:rFonts w:ascii="AGaramond" w:hAnsi="AGaramond" w:cs="Times"/>
        <w:iCs/>
        <w:sz w:val="16"/>
        <w:szCs w:val="16"/>
        <w:lang w:val="es-VE"/>
      </w:rPr>
      <w:t>8</w:t>
    </w:r>
    <w:r w:rsidR="00AC4995">
      <w:rPr>
        <w:rFonts w:ascii="AGaramond" w:hAnsi="AGaramond" w:cs="Times"/>
        <w:iCs/>
        <w:sz w:val="16"/>
        <w:szCs w:val="16"/>
        <w:lang w:val="es-VE"/>
      </w:rPr>
      <w:t>2</w:t>
    </w:r>
    <w:r w:rsidR="005B0CCF">
      <w:rPr>
        <w:rFonts w:ascii="AGaramond" w:hAnsi="AGaramond" w:cs="Times"/>
        <w:iCs/>
        <w:sz w:val="16"/>
        <w:szCs w:val="16"/>
        <w:lang w:val="es-VE"/>
      </w:rPr>
      <w:t>-</w:t>
    </w:r>
    <w:r w:rsidR="003342C7">
      <w:rPr>
        <w:rFonts w:ascii="AGaramond" w:hAnsi="AGaramond" w:cs="Times"/>
        <w:iCs/>
        <w:sz w:val="16"/>
        <w:szCs w:val="16"/>
        <w:lang w:val="es-VE"/>
      </w:rPr>
      <w:t>8</w:t>
    </w:r>
    <w:r w:rsidR="00AC4995">
      <w:rPr>
        <w:rFonts w:ascii="AGaramond" w:hAnsi="AGaramond" w:cs="Times"/>
        <w:iCs/>
        <w:sz w:val="16"/>
        <w:szCs w:val="16"/>
        <w:lang w:val="es-VE"/>
      </w:rPr>
      <w:t>3</w:t>
    </w:r>
  </w:p>
  <w:p w14:paraId="4DF5B2C9" w14:textId="26E2EDD4" w:rsidR="00DD28DE" w:rsidRPr="00B7573F" w:rsidRDefault="00DD28DE" w:rsidP="001E793C">
    <w:pPr>
      <w:pStyle w:val="Ningnestilodeprrafo"/>
      <w:spacing w:line="240" w:lineRule="auto"/>
      <w:ind w:right="710"/>
      <w:jc w:val="right"/>
      <w:rPr>
        <w:rFonts w:ascii="AGaramond" w:hAnsi="AGaramond" w:cs="Times"/>
        <w:iCs/>
        <w:sz w:val="16"/>
        <w:szCs w:val="16"/>
        <w:lang w:val="es-VE"/>
      </w:rPr>
    </w:pPr>
    <w:r w:rsidRPr="00B7573F">
      <w:rPr>
        <w:rFonts w:ascii="AGaramond" w:hAnsi="AGaramond" w:cs="Times"/>
        <w:iCs/>
        <w:sz w:val="16"/>
        <w:szCs w:val="16"/>
        <w:lang w:val="es-VE"/>
      </w:rPr>
      <w:t>Semestre</w:t>
    </w:r>
    <w:r w:rsidR="005B0CCF">
      <w:rPr>
        <w:rFonts w:ascii="AGaramond" w:hAnsi="AGaramond" w:cs="Times"/>
        <w:iCs/>
        <w:sz w:val="16"/>
        <w:szCs w:val="16"/>
        <w:lang w:val="es-VE"/>
      </w:rPr>
      <w:t xml:space="preserve"> </w:t>
    </w:r>
    <w:proofErr w:type="gramStart"/>
    <w:r w:rsidR="005B0CCF">
      <w:rPr>
        <w:rFonts w:ascii="AGaramond" w:hAnsi="AGaramond" w:cs="Times"/>
        <w:iCs/>
        <w:sz w:val="16"/>
        <w:szCs w:val="16"/>
        <w:lang w:val="es-VE"/>
      </w:rPr>
      <w:t>Jul.</w:t>
    </w:r>
    <w:proofErr w:type="gramEnd"/>
    <w:r w:rsidR="005B0CCF">
      <w:rPr>
        <w:rFonts w:ascii="AGaramond" w:hAnsi="AGaramond" w:cs="Times"/>
        <w:iCs/>
        <w:sz w:val="16"/>
        <w:szCs w:val="16"/>
        <w:lang w:val="es-VE"/>
      </w:rPr>
      <w:t xml:space="preserve"> 20</w:t>
    </w:r>
    <w:r w:rsidR="00AC4995">
      <w:rPr>
        <w:rFonts w:ascii="AGaramond" w:hAnsi="AGaramond" w:cs="Times"/>
        <w:iCs/>
        <w:sz w:val="16"/>
        <w:szCs w:val="16"/>
        <w:lang w:val="es-VE"/>
      </w:rPr>
      <w:t>20</w:t>
    </w:r>
    <w:r w:rsidR="005B0CCF">
      <w:rPr>
        <w:rFonts w:ascii="AGaramond" w:hAnsi="AGaramond" w:cs="Times"/>
        <w:iCs/>
        <w:sz w:val="16"/>
        <w:szCs w:val="16"/>
        <w:lang w:val="es-VE"/>
      </w:rPr>
      <w:t>–Jun. 20</w:t>
    </w:r>
    <w:r w:rsidR="003342C7">
      <w:rPr>
        <w:rFonts w:ascii="AGaramond" w:hAnsi="AGaramond" w:cs="Times"/>
        <w:iCs/>
        <w:sz w:val="16"/>
        <w:szCs w:val="16"/>
        <w:lang w:val="es-VE"/>
      </w:rPr>
      <w:t>2</w:t>
    </w:r>
    <w:r w:rsidR="00AC4995">
      <w:rPr>
        <w:rFonts w:ascii="AGaramond" w:hAnsi="AGaramond" w:cs="Times"/>
        <w:iCs/>
        <w:sz w:val="16"/>
        <w:szCs w:val="16"/>
        <w:lang w:val="es-VE"/>
      </w:rPr>
      <w:t>1</w:t>
    </w:r>
  </w:p>
  <w:p w14:paraId="65D898AB" w14:textId="6EB53EAB" w:rsidR="00DD28DE" w:rsidRPr="00B7573F" w:rsidRDefault="00DD28DE" w:rsidP="001E793C">
    <w:pPr>
      <w:pStyle w:val="Ningnestilodeprrafo"/>
      <w:ind w:right="710"/>
      <w:jc w:val="right"/>
      <w:rPr>
        <w:rFonts w:ascii="AGaramond" w:hAnsi="AGaramond" w:cs="Times"/>
        <w:iCs/>
        <w:sz w:val="16"/>
        <w:szCs w:val="16"/>
        <w:lang w:val="es-VE"/>
      </w:rPr>
    </w:pPr>
    <w:r w:rsidRPr="00B7573F">
      <w:rPr>
        <w:rFonts w:ascii="AGaramond" w:hAnsi="AGaramond" w:cs="Times"/>
        <w:iCs/>
        <w:sz w:val="16"/>
        <w:szCs w:val="16"/>
        <w:lang w:val="es-VE"/>
      </w:rPr>
      <w:t xml:space="preserve"> ISSN:</w:t>
    </w:r>
    <w:r w:rsidR="00335A7C">
      <w:rPr>
        <w:rFonts w:ascii="AGaramond" w:hAnsi="AGaramond" w:cs="Times"/>
        <w:iCs/>
        <w:sz w:val="16"/>
        <w:szCs w:val="16"/>
        <w:lang w:val="es-VE"/>
      </w:rPr>
      <w:t xml:space="preserve"> 2244-8663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39ABA" w14:textId="77777777" w:rsidR="006F6469" w:rsidRPr="00B7573F" w:rsidRDefault="006F6469" w:rsidP="006F6469">
    <w:pPr>
      <w:pStyle w:val="TITULOS"/>
      <w:jc w:val="left"/>
      <w:rPr>
        <w:rFonts w:ascii="AGaramond" w:hAnsi="AGaramond"/>
      </w:rPr>
    </w:pPr>
  </w:p>
  <w:p w14:paraId="58A38FE9" w14:textId="6B34FC76" w:rsidR="006F6469" w:rsidRPr="00B7573F" w:rsidRDefault="00F16B86" w:rsidP="006F6469">
    <w:pPr>
      <w:pStyle w:val="Ningnestilodeprrafo"/>
      <w:spacing w:line="240" w:lineRule="auto"/>
      <w:ind w:right="143"/>
      <w:jc w:val="right"/>
      <w:rPr>
        <w:rFonts w:ascii="AGaramond" w:hAnsi="AGaramond" w:cs="Times"/>
        <w:iCs/>
        <w:sz w:val="16"/>
        <w:szCs w:val="16"/>
        <w:lang w:val="es-VE"/>
      </w:rPr>
    </w:pPr>
    <w:r w:rsidRPr="00B7573F">
      <w:rPr>
        <w:rFonts w:ascii="AGaramond" w:hAnsi="AGaramond" w:cs="Times"/>
        <w:iCs/>
        <w:noProof/>
        <w:sz w:val="16"/>
        <w:szCs w:val="16"/>
        <w:lang w:val="es-VE" w:eastAsia="es-VE"/>
      </w:rPr>
      <mc:AlternateContent>
        <mc:Choice Requires="wps">
          <w:drawing>
            <wp:anchor distT="0" distB="0" distL="114300" distR="114300" simplePos="0" relativeHeight="251665408" behindDoc="0" locked="0" layoutInCell="1" allowOverlap="1" wp14:anchorId="2AC52FD4" wp14:editId="69C8A663">
              <wp:simplePos x="0" y="0"/>
              <wp:positionH relativeFrom="column">
                <wp:posOffset>6273165</wp:posOffset>
              </wp:positionH>
              <wp:positionV relativeFrom="paragraph">
                <wp:posOffset>23495</wp:posOffset>
              </wp:positionV>
              <wp:extent cx="0" cy="795655"/>
              <wp:effectExtent l="0" t="0" r="0" b="444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95655"/>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91987" id="Line 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95pt,1.85pt" to="493.9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" strokecolor="black [3200]">
              <v:stroke joinstyle="miter"/>
              <o:lock v:ext="edit" shapetype="f"/>
            </v:line>
          </w:pict>
        </mc:Fallback>
      </mc:AlternateContent>
    </w:r>
    <w:r w:rsidR="00011FC6" w:rsidRPr="00B7573F">
      <w:rPr>
        <w:rFonts w:ascii="AGaramond" w:hAnsi="AGaramond" w:cs="Times"/>
        <w:iCs/>
        <w:sz w:val="16"/>
        <w:szCs w:val="16"/>
        <w:lang w:val="es-VE"/>
      </w:rPr>
      <w:t xml:space="preserve"> </w:t>
    </w:r>
    <w:r w:rsidR="000D78D3" w:rsidRPr="00B7573F">
      <w:rPr>
        <w:rFonts w:ascii="AGaramond" w:hAnsi="AGaramond" w:cs="Times"/>
        <w:iCs/>
        <w:sz w:val="16"/>
        <w:szCs w:val="16"/>
        <w:lang w:val="es-VE"/>
      </w:rPr>
      <w:t>Temas de Coyuntura</w:t>
    </w:r>
    <w:r w:rsidR="00011FC6" w:rsidRPr="00B7573F">
      <w:rPr>
        <w:rFonts w:ascii="AGaramond" w:hAnsi="AGaramond" w:cs="Times"/>
        <w:iCs/>
        <w:sz w:val="16"/>
        <w:szCs w:val="16"/>
        <w:lang w:val="es-VE"/>
      </w:rPr>
      <w:t xml:space="preserve"> </w:t>
    </w:r>
    <w:r w:rsidR="006F6469" w:rsidRPr="00B7573F">
      <w:rPr>
        <w:rFonts w:ascii="AGaramond" w:hAnsi="AGaramond" w:cs="Times"/>
        <w:iCs/>
        <w:sz w:val="16"/>
        <w:szCs w:val="16"/>
        <w:lang w:val="es-VE"/>
      </w:rPr>
      <w:t>N</w:t>
    </w:r>
    <w:r w:rsidR="0022144A">
      <w:rPr>
        <w:rFonts w:ascii="AGaramond" w:hAnsi="AGaramond" w:cs="Times"/>
        <w:iCs/>
        <w:sz w:val="16"/>
        <w:szCs w:val="16"/>
        <w:lang w:val="es-VE"/>
      </w:rPr>
      <w:t>.</w:t>
    </w:r>
    <w:r w:rsidR="006F6469" w:rsidRPr="00B7573F">
      <w:rPr>
        <w:rFonts w:ascii="AGaramond" w:hAnsi="AGaramond" w:cs="Times"/>
        <w:iCs/>
        <w:sz w:val="16"/>
        <w:szCs w:val="16"/>
        <w:lang w:val="es-VE"/>
      </w:rPr>
      <w:t xml:space="preserve">º </w:t>
    </w:r>
    <w:r w:rsidR="003342C7">
      <w:rPr>
        <w:rFonts w:ascii="AGaramond" w:hAnsi="AGaramond" w:cs="Times"/>
        <w:iCs/>
        <w:sz w:val="16"/>
        <w:szCs w:val="16"/>
        <w:lang w:val="es-VE"/>
      </w:rPr>
      <w:t>8</w:t>
    </w:r>
    <w:r w:rsidR="0048422C">
      <w:rPr>
        <w:rFonts w:ascii="AGaramond" w:hAnsi="AGaramond" w:cs="Times"/>
        <w:iCs/>
        <w:sz w:val="16"/>
        <w:szCs w:val="16"/>
        <w:lang w:val="es-VE"/>
      </w:rPr>
      <w:t>2</w:t>
    </w:r>
    <w:r w:rsidR="005B0CCF">
      <w:rPr>
        <w:rFonts w:ascii="AGaramond" w:hAnsi="AGaramond" w:cs="Times"/>
        <w:iCs/>
        <w:sz w:val="16"/>
        <w:szCs w:val="16"/>
        <w:lang w:val="es-VE"/>
      </w:rPr>
      <w:t>-</w:t>
    </w:r>
    <w:r w:rsidR="003342C7">
      <w:rPr>
        <w:rFonts w:ascii="AGaramond" w:hAnsi="AGaramond" w:cs="Times"/>
        <w:iCs/>
        <w:sz w:val="16"/>
        <w:szCs w:val="16"/>
        <w:lang w:val="es-VE"/>
      </w:rPr>
      <w:t>8</w:t>
    </w:r>
    <w:r w:rsidR="0048422C">
      <w:rPr>
        <w:rFonts w:ascii="AGaramond" w:hAnsi="AGaramond" w:cs="Times"/>
        <w:iCs/>
        <w:sz w:val="16"/>
        <w:szCs w:val="16"/>
        <w:lang w:val="es-VE"/>
      </w:rPr>
      <w:t>3</w:t>
    </w:r>
    <w:r w:rsidR="006F6469" w:rsidRPr="00B7573F">
      <w:rPr>
        <w:rFonts w:ascii="AGaramond" w:hAnsi="AGaramond" w:cs="Times"/>
        <w:iCs/>
        <w:noProof/>
        <w:sz w:val="16"/>
        <w:szCs w:val="16"/>
        <w:lang w:val="es-VE"/>
      </w:rPr>
      <w:t xml:space="preserve"> </w:t>
    </w:r>
  </w:p>
  <w:p w14:paraId="15D4BC48" w14:textId="196F1E49" w:rsidR="006F6469" w:rsidRPr="00B7573F" w:rsidRDefault="006F6469" w:rsidP="006F6469">
    <w:pPr>
      <w:pStyle w:val="Ningnestilodeprrafo"/>
      <w:spacing w:line="240" w:lineRule="auto"/>
      <w:ind w:right="143"/>
      <w:jc w:val="right"/>
      <w:rPr>
        <w:rFonts w:ascii="AGaramond" w:hAnsi="AGaramond" w:cs="Times"/>
        <w:iCs/>
        <w:sz w:val="16"/>
        <w:szCs w:val="16"/>
        <w:lang w:val="es-VE"/>
      </w:rPr>
    </w:pPr>
    <w:r w:rsidRPr="00B7573F">
      <w:rPr>
        <w:rFonts w:ascii="AGaramond" w:hAnsi="AGaramond" w:cs="Times"/>
        <w:iCs/>
        <w:sz w:val="16"/>
        <w:szCs w:val="16"/>
        <w:lang w:val="es-VE"/>
      </w:rPr>
      <w:t xml:space="preserve">Semestre </w:t>
    </w:r>
    <w:proofErr w:type="gramStart"/>
    <w:r w:rsidR="005B0CCF">
      <w:rPr>
        <w:rFonts w:ascii="AGaramond" w:hAnsi="AGaramond" w:cs="Times"/>
        <w:iCs/>
        <w:sz w:val="16"/>
        <w:szCs w:val="16"/>
        <w:lang w:val="es-VE"/>
      </w:rPr>
      <w:t>Jul.</w:t>
    </w:r>
    <w:proofErr w:type="gramEnd"/>
    <w:r w:rsidR="005B0CCF">
      <w:rPr>
        <w:rFonts w:ascii="AGaramond" w:hAnsi="AGaramond" w:cs="Times"/>
        <w:iCs/>
        <w:sz w:val="16"/>
        <w:szCs w:val="16"/>
        <w:lang w:val="es-VE"/>
      </w:rPr>
      <w:t xml:space="preserve"> 20</w:t>
    </w:r>
    <w:r w:rsidR="0048422C">
      <w:rPr>
        <w:rFonts w:ascii="AGaramond" w:hAnsi="AGaramond" w:cs="Times"/>
        <w:iCs/>
        <w:sz w:val="16"/>
        <w:szCs w:val="16"/>
        <w:lang w:val="es-VE"/>
      </w:rPr>
      <w:t>20</w:t>
    </w:r>
    <w:r w:rsidR="005B0CCF">
      <w:rPr>
        <w:rFonts w:ascii="AGaramond" w:hAnsi="AGaramond" w:cs="Times"/>
        <w:iCs/>
        <w:sz w:val="16"/>
        <w:szCs w:val="16"/>
        <w:lang w:val="es-VE"/>
      </w:rPr>
      <w:t>–Jun. 20</w:t>
    </w:r>
    <w:r w:rsidR="003342C7">
      <w:rPr>
        <w:rFonts w:ascii="AGaramond" w:hAnsi="AGaramond" w:cs="Times"/>
        <w:iCs/>
        <w:sz w:val="16"/>
        <w:szCs w:val="16"/>
        <w:lang w:val="es-VE"/>
      </w:rPr>
      <w:t>2</w:t>
    </w:r>
    <w:r w:rsidR="0048422C">
      <w:rPr>
        <w:rFonts w:ascii="AGaramond" w:hAnsi="AGaramond" w:cs="Times"/>
        <w:iCs/>
        <w:sz w:val="16"/>
        <w:szCs w:val="16"/>
        <w:lang w:val="es-VE"/>
      </w:rPr>
      <w:t>1</w:t>
    </w:r>
  </w:p>
  <w:p w14:paraId="1D47D972" w14:textId="4B3293AD" w:rsidR="006F6469" w:rsidRPr="00B7573F" w:rsidRDefault="006F6469" w:rsidP="006F6469">
    <w:pPr>
      <w:pStyle w:val="Ningnestilodeprrafo"/>
      <w:ind w:right="143"/>
      <w:jc w:val="right"/>
      <w:rPr>
        <w:rFonts w:ascii="AGaramond" w:hAnsi="AGaramond" w:cs="Times"/>
        <w:iCs/>
        <w:sz w:val="16"/>
        <w:szCs w:val="16"/>
        <w:lang w:val="es-VE"/>
      </w:rPr>
    </w:pPr>
    <w:r w:rsidRPr="00B7573F">
      <w:rPr>
        <w:rFonts w:ascii="AGaramond" w:hAnsi="AGaramond" w:cs="Times"/>
        <w:iCs/>
        <w:sz w:val="16"/>
        <w:szCs w:val="16"/>
        <w:lang w:val="es-VE"/>
      </w:rPr>
      <w:t xml:space="preserve"> ISSN: </w:t>
    </w:r>
    <w:r w:rsidR="00335A7C">
      <w:rPr>
        <w:rFonts w:ascii="AGaramond" w:hAnsi="AGaramond" w:cs="Times"/>
        <w:iCs/>
        <w:sz w:val="16"/>
        <w:szCs w:val="16"/>
        <w:lang w:val="es-VE"/>
      </w:rPr>
      <w:t>2244-8663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D594A" w14:textId="77777777" w:rsidR="00CC1027" w:rsidRDefault="00CC1027" w:rsidP="00DD28DE">
      <w:r>
        <w:separator/>
      </w:r>
    </w:p>
  </w:footnote>
  <w:footnote w:type="continuationSeparator" w:id="0">
    <w:p w14:paraId="2B24C56F" w14:textId="77777777" w:rsidR="00CC1027" w:rsidRDefault="00CC1027" w:rsidP="00DD28DE">
      <w:r>
        <w:continuationSeparator/>
      </w:r>
    </w:p>
  </w:footnote>
  <w:footnote w:id="1">
    <w:p w14:paraId="4BD8BAC4" w14:textId="1D2B8C9D" w:rsidR="007821B8" w:rsidRPr="007821B8" w:rsidRDefault="007821B8" w:rsidP="00801EA1">
      <w:pPr>
        <w:pStyle w:val="Textonotapie"/>
        <w:ind w:left="142" w:hanging="142"/>
        <w:jc w:val="both"/>
        <w:rPr>
          <w:rFonts w:ascii="AGaramond" w:hAnsi="AGaramond" w:cs="Arial"/>
        </w:rPr>
      </w:pPr>
      <w:r w:rsidRPr="007821B8">
        <w:rPr>
          <w:rFonts w:ascii="AGaramond" w:hAnsi="AGaramond" w:cs="Arial"/>
          <w:vertAlign w:val="superscript"/>
        </w:rPr>
        <w:t>*</w:t>
      </w:r>
      <w:r>
        <w:rPr>
          <w:rFonts w:ascii="AGaramond" w:hAnsi="AGaramond" w:cs="Arial"/>
        </w:rPr>
        <w:t xml:space="preserve"> </w:t>
      </w:r>
      <w:r w:rsidRPr="007821B8">
        <w:rPr>
          <w:rFonts w:ascii="AGaramond" w:hAnsi="AGaramond" w:cs="Arial"/>
        </w:rPr>
        <w:t xml:space="preserve">Agradezco los comentarios de Francisco Sáez, Isabel Licha, María A. Moreno, Rafael Mac </w:t>
      </w:r>
      <w:proofErr w:type="spellStart"/>
      <w:r w:rsidRPr="007821B8">
        <w:rPr>
          <w:rFonts w:ascii="AGaramond" w:hAnsi="AGaramond" w:cs="Arial"/>
        </w:rPr>
        <w:t>Quae</w:t>
      </w:r>
      <w:proofErr w:type="spellEnd"/>
      <w:r w:rsidRPr="007821B8">
        <w:rPr>
          <w:rFonts w:ascii="AGaramond" w:hAnsi="AGaramond" w:cs="Arial"/>
        </w:rPr>
        <w:t xml:space="preserve"> y Vladimir López. Todo lo expresado en este trabajo es de mi entera responsabilidad.</w:t>
      </w:r>
    </w:p>
    <w:p w14:paraId="57D578B6" w14:textId="49B900C7" w:rsidR="00937DC4" w:rsidRPr="007821B8" w:rsidRDefault="00937DC4" w:rsidP="00801EA1">
      <w:pPr>
        <w:pStyle w:val="Textonotapie"/>
        <w:ind w:left="142" w:hanging="142"/>
        <w:jc w:val="both"/>
        <w:rPr>
          <w:rFonts w:ascii="AGaramond" w:hAnsi="AGaramond" w:cs="Arial"/>
          <w:i/>
          <w:iCs/>
        </w:rPr>
      </w:pPr>
      <w:r w:rsidRPr="007821B8">
        <w:rPr>
          <w:rStyle w:val="Refdenotaalpie"/>
          <w:rFonts w:ascii="AGaramond" w:hAnsi="AGaramond" w:cs="Arial"/>
        </w:rPr>
        <w:footnoteRef/>
      </w:r>
      <w:r w:rsidRPr="007821B8">
        <w:rPr>
          <w:rFonts w:ascii="AGaramond" w:hAnsi="AGaramond" w:cs="Arial"/>
        </w:rPr>
        <w:t xml:space="preserve"> Conjeturalmente</w:t>
      </w:r>
      <w:r w:rsidRPr="007821B8">
        <w:rPr>
          <w:rFonts w:ascii="AGaramond" w:hAnsi="AGaramond"/>
        </w:rPr>
        <w:t xml:space="preserve">, </w:t>
      </w:r>
      <w:r w:rsidRPr="007821B8">
        <w:rPr>
          <w:rFonts w:ascii="AGaramond" w:hAnsi="AGaramond" w:cs="Arial"/>
        </w:rPr>
        <w:t xml:space="preserve">la raíz de esta percepción quizás proviene de la dependencia fiscal respecto de los flujos de ingresos generados por activos no producidos (recursos naturales) en la región. </w:t>
      </w:r>
      <w:r w:rsidRPr="007821B8">
        <w:rPr>
          <w:rFonts w:ascii="AGaramond" w:hAnsi="AGaramond" w:cs="Arial"/>
          <w:lang w:val="en-US"/>
        </w:rPr>
        <w:t xml:space="preserve">Al no ser </w:t>
      </w:r>
      <w:proofErr w:type="spellStart"/>
      <w:r w:rsidRPr="007821B8">
        <w:rPr>
          <w:rFonts w:ascii="AGaramond" w:hAnsi="AGaramond" w:cs="Arial"/>
          <w:lang w:val="en-US"/>
        </w:rPr>
        <w:t>ingresos</w:t>
      </w:r>
      <w:proofErr w:type="spellEnd"/>
      <w:r w:rsidRPr="007821B8">
        <w:rPr>
          <w:rFonts w:ascii="AGaramond" w:hAnsi="AGaramond" w:cs="Arial"/>
          <w:lang w:val="en-US"/>
        </w:rPr>
        <w:t xml:space="preserve"> </w:t>
      </w:r>
      <w:proofErr w:type="spellStart"/>
      <w:r w:rsidRPr="007821B8">
        <w:rPr>
          <w:rFonts w:ascii="AGaramond" w:hAnsi="AGaramond" w:cs="Arial"/>
          <w:lang w:val="en-US"/>
        </w:rPr>
        <w:t>provenientes</w:t>
      </w:r>
      <w:proofErr w:type="spellEnd"/>
      <w:r w:rsidRPr="007821B8">
        <w:rPr>
          <w:rFonts w:ascii="AGaramond" w:hAnsi="AGaramond" w:cs="Arial"/>
          <w:lang w:val="en-US"/>
        </w:rPr>
        <w:t xml:space="preserve"> de los </w:t>
      </w:r>
      <w:proofErr w:type="spellStart"/>
      <w:r w:rsidRPr="007821B8">
        <w:rPr>
          <w:rFonts w:ascii="AGaramond" w:hAnsi="AGaramond" w:cs="Arial"/>
          <w:lang w:val="en-US"/>
        </w:rPr>
        <w:t>contribuyentes</w:t>
      </w:r>
      <w:proofErr w:type="spellEnd"/>
      <w:r w:rsidRPr="007821B8">
        <w:rPr>
          <w:rFonts w:ascii="AGaramond" w:hAnsi="AGaramond" w:cs="Arial"/>
          <w:lang w:val="en-US"/>
        </w:rPr>
        <w:t xml:space="preserve">, </w:t>
      </w:r>
      <w:proofErr w:type="spellStart"/>
      <w:r w:rsidRPr="007821B8">
        <w:rPr>
          <w:rFonts w:ascii="AGaramond" w:hAnsi="AGaramond" w:cs="Arial"/>
          <w:lang w:val="en-US"/>
        </w:rPr>
        <w:t>su</w:t>
      </w:r>
      <w:proofErr w:type="spellEnd"/>
      <w:r w:rsidRPr="007821B8">
        <w:rPr>
          <w:rFonts w:ascii="AGaramond" w:hAnsi="AGaramond" w:cs="Arial"/>
          <w:lang w:val="en-US"/>
        </w:rPr>
        <w:t xml:space="preserve"> </w:t>
      </w:r>
      <w:proofErr w:type="spellStart"/>
      <w:r w:rsidRPr="007821B8">
        <w:rPr>
          <w:rFonts w:ascii="AGaramond" w:hAnsi="AGaramond" w:cs="Arial"/>
          <w:lang w:val="en-US"/>
        </w:rPr>
        <w:t>asignación</w:t>
      </w:r>
      <w:proofErr w:type="spellEnd"/>
      <w:r w:rsidRPr="007821B8">
        <w:rPr>
          <w:rFonts w:ascii="AGaramond" w:hAnsi="AGaramond" w:cs="Arial"/>
          <w:lang w:val="en-US"/>
        </w:rPr>
        <w:t xml:space="preserve"> </w:t>
      </w:r>
      <w:proofErr w:type="spellStart"/>
      <w:r w:rsidRPr="007821B8">
        <w:rPr>
          <w:rFonts w:ascii="AGaramond" w:hAnsi="AGaramond" w:cs="Arial"/>
          <w:lang w:val="en-US"/>
        </w:rPr>
        <w:t>pareciera</w:t>
      </w:r>
      <w:proofErr w:type="spellEnd"/>
      <w:r w:rsidRPr="007821B8">
        <w:rPr>
          <w:rFonts w:ascii="AGaramond" w:hAnsi="AGaramond" w:cs="Arial"/>
          <w:lang w:val="en-US"/>
        </w:rPr>
        <w:t xml:space="preserve"> no </w:t>
      </w:r>
      <w:proofErr w:type="spellStart"/>
      <w:r w:rsidRPr="007821B8">
        <w:rPr>
          <w:rFonts w:ascii="AGaramond" w:hAnsi="AGaramond" w:cs="Arial"/>
          <w:lang w:val="en-US"/>
        </w:rPr>
        <w:t>constituir</w:t>
      </w:r>
      <w:proofErr w:type="spellEnd"/>
      <w:r w:rsidRPr="007821B8">
        <w:rPr>
          <w:rFonts w:ascii="AGaramond" w:hAnsi="AGaramond" w:cs="Arial"/>
          <w:lang w:val="en-US"/>
        </w:rPr>
        <w:t xml:space="preserve"> un </w:t>
      </w:r>
      <w:proofErr w:type="spellStart"/>
      <w:r w:rsidRPr="007821B8">
        <w:rPr>
          <w:rFonts w:ascii="AGaramond" w:hAnsi="AGaramond" w:cs="Arial"/>
          <w:lang w:val="en-US"/>
        </w:rPr>
        <w:t>costo</w:t>
      </w:r>
      <w:proofErr w:type="spellEnd"/>
      <w:r w:rsidRPr="007821B8">
        <w:rPr>
          <w:rFonts w:ascii="AGaramond" w:hAnsi="AGaramond" w:cs="Arial"/>
          <w:lang w:val="en-US"/>
        </w:rPr>
        <w:t xml:space="preserve"> de </w:t>
      </w:r>
      <w:proofErr w:type="spellStart"/>
      <w:r w:rsidRPr="007821B8">
        <w:rPr>
          <w:rFonts w:ascii="AGaramond" w:hAnsi="AGaramond" w:cs="Arial"/>
          <w:lang w:val="en-US"/>
        </w:rPr>
        <w:t>oportunidad</w:t>
      </w:r>
      <w:proofErr w:type="spellEnd"/>
      <w:r w:rsidRPr="007821B8">
        <w:rPr>
          <w:rFonts w:ascii="AGaramond" w:hAnsi="AGaramond" w:cs="Arial"/>
          <w:lang w:val="en-US"/>
        </w:rPr>
        <w:t xml:space="preserve"> </w:t>
      </w:r>
      <w:proofErr w:type="spellStart"/>
      <w:r w:rsidRPr="007821B8">
        <w:rPr>
          <w:rFonts w:ascii="AGaramond" w:hAnsi="AGaramond" w:cs="Arial"/>
          <w:lang w:val="en-US"/>
        </w:rPr>
        <w:t>directo</w:t>
      </w:r>
      <w:proofErr w:type="spellEnd"/>
      <w:r w:rsidRPr="007821B8">
        <w:rPr>
          <w:rFonts w:ascii="AGaramond" w:hAnsi="AGaramond" w:cs="Arial"/>
          <w:lang w:val="en-US"/>
        </w:rPr>
        <w:t xml:space="preserve"> para </w:t>
      </w:r>
      <w:proofErr w:type="spellStart"/>
      <w:r w:rsidR="007821B8">
        <w:rPr>
          <w:rFonts w:ascii="AGaramond" w:hAnsi="AGaramond" w:cs="Arial"/>
          <w:lang w:val="en-US"/>
        </w:rPr>
        <w:t>e</w:t>
      </w:r>
      <w:r w:rsidRPr="007821B8">
        <w:rPr>
          <w:rFonts w:ascii="AGaramond" w:hAnsi="AGaramond" w:cs="Arial"/>
          <w:lang w:val="en-US"/>
        </w:rPr>
        <w:t>stos</w:t>
      </w:r>
      <w:proofErr w:type="spellEnd"/>
      <w:r w:rsidRPr="007821B8">
        <w:rPr>
          <w:rFonts w:ascii="AGaramond" w:hAnsi="AGaramond" w:cs="Arial"/>
          <w:lang w:val="en-US"/>
        </w:rPr>
        <w:t xml:space="preserve">: </w:t>
      </w:r>
      <w:r w:rsidR="007821B8" w:rsidRPr="003E6820">
        <w:rPr>
          <w:rFonts w:ascii="AGaramond" w:hAnsi="AGaramond" w:cs="Arial"/>
          <w:lang w:val="en-US"/>
        </w:rPr>
        <w:t>“</w:t>
      </w:r>
      <w:r w:rsidRPr="003E6820">
        <w:rPr>
          <w:rFonts w:ascii="AGaramond" w:hAnsi="AGaramond" w:cs="Arial"/>
          <w:lang w:val="en-US"/>
        </w:rPr>
        <w:t>…Then the cost of waiting for a small windfall may be perceived to be foregone consumption, while in contrast, the opportunity cost of waiting for a large windfall is perceived as simply foregone interest</w:t>
      </w:r>
      <w:r w:rsidRPr="007821B8">
        <w:rPr>
          <w:rFonts w:ascii="AGaramond" w:hAnsi="AGaramond" w:cs="Arial"/>
          <w:lang w:val="en-US"/>
        </w:rPr>
        <w:t>…</w:t>
      </w:r>
      <w:r w:rsidR="007821B8">
        <w:rPr>
          <w:rFonts w:ascii="AGaramond" w:hAnsi="AGaramond" w:cs="Arial"/>
          <w:lang w:val="en-US"/>
        </w:rPr>
        <w:t>”,</w:t>
      </w:r>
      <w:r w:rsidRPr="007821B8">
        <w:rPr>
          <w:rFonts w:ascii="AGaramond" w:hAnsi="AGaramond" w:cs="Arial"/>
          <w:lang w:val="en-US"/>
        </w:rPr>
        <w:t xml:space="preserve"> </w:t>
      </w:r>
      <w:r w:rsidR="007821B8" w:rsidRPr="007821B8">
        <w:rPr>
          <w:rFonts w:ascii="AGaramond" w:hAnsi="AGaramond" w:cs="Arial"/>
          <w:noProof/>
          <w:lang w:val="en-US"/>
        </w:rPr>
        <w:t xml:space="preserve">(Loewenstein </w:t>
      </w:r>
      <w:r w:rsidR="007821B8">
        <w:rPr>
          <w:rFonts w:ascii="AGaramond" w:hAnsi="AGaramond" w:cs="Arial"/>
          <w:noProof/>
          <w:lang w:val="en-US"/>
        </w:rPr>
        <w:t>y</w:t>
      </w:r>
      <w:r w:rsidR="007821B8" w:rsidRPr="007821B8">
        <w:rPr>
          <w:rFonts w:ascii="AGaramond" w:hAnsi="AGaramond" w:cs="Arial"/>
          <w:noProof/>
          <w:lang w:val="en-US"/>
        </w:rPr>
        <w:t xml:space="preserve"> Thaler, 1989)</w:t>
      </w:r>
      <w:r w:rsidRPr="007821B8">
        <w:rPr>
          <w:rFonts w:ascii="AGaramond" w:hAnsi="AGaramond" w:cs="Arial"/>
          <w:lang w:val="en-US"/>
        </w:rPr>
        <w:t xml:space="preserve">. </w:t>
      </w:r>
      <w:r w:rsidRPr="007821B8">
        <w:rPr>
          <w:rFonts w:ascii="AGaramond" w:hAnsi="AGaramond" w:cs="Arial"/>
          <w:lang w:val="es-BO"/>
        </w:rPr>
        <w:t xml:space="preserve">El antropólogo político Fernando Coronil da una explicación de la influencia de los recursos naturales en la percepción de los agentes venezolanos en cuanto al Estado como un agente ajeno al resto de la sociedad, la cual se considera extrapolable al resto de América Latina. </w:t>
      </w:r>
      <w:r w:rsidR="00751E41" w:rsidRPr="00751E41">
        <w:rPr>
          <w:rFonts w:ascii="AGaramond" w:hAnsi="AGaramond" w:cs="Arial"/>
          <w:i/>
          <w:lang w:val="es-BO"/>
        </w:rPr>
        <w:t>Cfr</w:t>
      </w:r>
      <w:r w:rsidRPr="007821B8">
        <w:rPr>
          <w:rFonts w:ascii="AGaramond" w:hAnsi="AGaramond" w:cs="Arial"/>
          <w:lang w:val="es-BO"/>
        </w:rPr>
        <w:t xml:space="preserve">. </w:t>
      </w:r>
      <w:sdt>
        <w:sdtPr>
          <w:rPr>
            <w:rFonts w:ascii="AGaramond" w:hAnsi="AGaramond" w:cs="Arial"/>
            <w:lang w:val="es-BO"/>
          </w:rPr>
          <w:id w:val="-1343623531"/>
          <w:citation/>
        </w:sdtPr>
        <w:sdtEndPr/>
        <w:sdtContent>
          <w:r w:rsidRPr="007821B8">
            <w:rPr>
              <w:rFonts w:ascii="AGaramond" w:hAnsi="AGaramond" w:cs="Arial"/>
              <w:lang w:val="es-BO"/>
            </w:rPr>
            <w:fldChar w:fldCharType="begin"/>
          </w:r>
          <w:r w:rsidRPr="007821B8">
            <w:rPr>
              <w:rFonts w:ascii="AGaramond" w:hAnsi="AGaramond" w:cs="Arial"/>
            </w:rPr>
            <w:instrText xml:space="preserve"> CITATION Fer16 \l 8202 </w:instrText>
          </w:r>
          <w:r w:rsidRPr="007821B8">
            <w:rPr>
              <w:rFonts w:ascii="AGaramond" w:hAnsi="AGaramond" w:cs="Arial"/>
              <w:lang w:val="es-BO"/>
            </w:rPr>
            <w:fldChar w:fldCharType="separate"/>
          </w:r>
          <w:r w:rsidRPr="007821B8">
            <w:rPr>
              <w:rFonts w:ascii="AGaramond" w:hAnsi="AGaramond" w:cs="Arial"/>
              <w:noProof/>
            </w:rPr>
            <w:t>(Coronil, 2016)</w:t>
          </w:r>
          <w:r w:rsidRPr="007821B8">
            <w:rPr>
              <w:rFonts w:ascii="AGaramond" w:hAnsi="AGaramond" w:cs="Arial"/>
              <w:lang w:val="es-BO"/>
            </w:rPr>
            <w:fldChar w:fldCharType="end"/>
          </w:r>
        </w:sdtContent>
      </w:sdt>
      <w:r w:rsidRPr="007821B8">
        <w:rPr>
          <w:rFonts w:ascii="AGaramond" w:hAnsi="AGaramond" w:cs="Arial"/>
          <w:lang w:val="es-BO"/>
        </w:rPr>
        <w:t xml:space="preserve">. Más sobre esta discusión en la sección </w:t>
      </w:r>
      <w:r w:rsidRPr="007821B8">
        <w:rPr>
          <w:rFonts w:ascii="AGaramond" w:hAnsi="AGaramond" w:cs="Arial"/>
          <w:lang w:val="es-BO"/>
        </w:rPr>
        <w:fldChar w:fldCharType="begin"/>
      </w:r>
      <w:r w:rsidRPr="007821B8">
        <w:rPr>
          <w:rFonts w:ascii="AGaramond" w:hAnsi="AGaramond" w:cs="Arial"/>
          <w:lang w:val="es-BO"/>
        </w:rPr>
        <w:instrText xml:space="preserve"> REF _Ref533009385 \r \h </w:instrText>
      </w:r>
      <w:r w:rsidR="007821B8" w:rsidRPr="007821B8">
        <w:rPr>
          <w:rFonts w:ascii="AGaramond" w:hAnsi="AGaramond" w:cs="Arial"/>
          <w:lang w:val="es-BO"/>
        </w:rPr>
        <w:instrText xml:space="preserve"> \* MERGEFORMAT </w:instrText>
      </w:r>
      <w:r w:rsidRPr="007821B8">
        <w:rPr>
          <w:rFonts w:ascii="AGaramond" w:hAnsi="AGaramond" w:cs="Arial"/>
          <w:lang w:val="es-BO"/>
        </w:rPr>
      </w:r>
      <w:r w:rsidRPr="007821B8">
        <w:rPr>
          <w:rFonts w:ascii="AGaramond" w:hAnsi="AGaramond" w:cs="Arial"/>
          <w:lang w:val="es-BO"/>
        </w:rPr>
        <w:fldChar w:fldCharType="separate"/>
      </w:r>
      <w:r w:rsidR="008076E6">
        <w:rPr>
          <w:rFonts w:ascii="AGaramond" w:hAnsi="AGaramond" w:cs="Arial"/>
          <w:lang w:val="es-BO"/>
        </w:rPr>
        <w:t>0</w:t>
      </w:r>
      <w:r w:rsidRPr="007821B8">
        <w:rPr>
          <w:rFonts w:ascii="AGaramond" w:hAnsi="AGaramond" w:cs="Arial"/>
          <w:lang w:val="es-BO"/>
        </w:rPr>
        <w:fldChar w:fldCharType="end"/>
      </w:r>
      <w:r w:rsidRPr="007821B8">
        <w:rPr>
          <w:rFonts w:ascii="AGaramond" w:hAnsi="AGaramond" w:cs="Arial"/>
          <w:lang w:val="es-BO"/>
        </w:rPr>
        <w:t>.</w:t>
      </w:r>
    </w:p>
  </w:footnote>
  <w:footnote w:id="2">
    <w:p w14:paraId="3384B4A9" w14:textId="14253A8B" w:rsidR="00937DC4" w:rsidRPr="007821B8" w:rsidRDefault="00937DC4" w:rsidP="00801EA1">
      <w:pPr>
        <w:pStyle w:val="Textonotapie"/>
        <w:tabs>
          <w:tab w:val="left" w:pos="142"/>
        </w:tabs>
        <w:ind w:left="142" w:hanging="142"/>
        <w:jc w:val="both"/>
        <w:rPr>
          <w:rFonts w:ascii="AGaramond" w:hAnsi="AGaramond" w:cs="Arial"/>
        </w:rPr>
      </w:pPr>
      <w:r w:rsidRPr="007821B8">
        <w:rPr>
          <w:rStyle w:val="Refdenotaalpie"/>
          <w:rFonts w:ascii="AGaramond" w:hAnsi="AGaramond" w:cs="Arial"/>
        </w:rPr>
        <w:footnoteRef/>
      </w:r>
      <w:r w:rsidRPr="007821B8">
        <w:rPr>
          <w:rFonts w:ascii="AGaramond" w:hAnsi="AGaramond" w:cs="Arial"/>
        </w:rPr>
        <w:t xml:space="preserve"> Existe un contraejemplo en relación a esta afirmación: Terminada la Segunda Guerra Mundial, Finlandia, nación primario exportadora con dotación maderera ingente, fue obligada a realizar pagos por reparaciones de guerra a la Unión Soviética, lo cual implicó, por necesidad, conducir el ahorro de su sector externo a favor del desarrollo económico inclusivo, capaz de producir el suficiente </w:t>
      </w:r>
      <w:r w:rsidRPr="007821B8">
        <w:rPr>
          <w:rFonts w:ascii="AGaramond" w:hAnsi="AGaramond" w:cs="Arial"/>
          <w:i/>
          <w:iCs/>
        </w:rPr>
        <w:t>output</w:t>
      </w:r>
      <w:r w:rsidRPr="007821B8">
        <w:rPr>
          <w:rFonts w:ascii="AGaramond" w:hAnsi="AGaramond" w:cs="Arial"/>
        </w:rPr>
        <w:t xml:space="preserve"> que le permitiese su autodeterminación como nación y cumplir con sus obligaciones de posguerra [ver </w:t>
      </w:r>
      <w:r w:rsidRPr="007821B8">
        <w:rPr>
          <w:rFonts w:ascii="AGaramond" w:hAnsi="AGaramond" w:cs="Arial"/>
          <w:noProof/>
        </w:rPr>
        <w:t>Hjerppe (2021)</w:t>
      </w:r>
      <w:r w:rsidRPr="007821B8">
        <w:rPr>
          <w:rFonts w:ascii="AGaramond" w:hAnsi="AGaramond" w:cs="Arial"/>
        </w:rPr>
        <w:t xml:space="preserve"> y </w:t>
      </w:r>
      <w:r w:rsidRPr="007821B8">
        <w:rPr>
          <w:rFonts w:ascii="AGaramond" w:hAnsi="AGaramond" w:cs="Arial"/>
          <w:noProof/>
        </w:rPr>
        <w:t xml:space="preserve">Alestalo </w:t>
      </w:r>
      <w:r w:rsidR="00770F21">
        <w:rPr>
          <w:rFonts w:ascii="AGaramond" w:hAnsi="AGaramond" w:cs="Arial"/>
          <w:noProof/>
        </w:rPr>
        <w:t>y</w:t>
      </w:r>
      <w:r w:rsidRPr="007821B8">
        <w:rPr>
          <w:rFonts w:ascii="AGaramond" w:hAnsi="AGaramond" w:cs="Arial"/>
          <w:noProof/>
        </w:rPr>
        <w:t xml:space="preserve"> Kuhnle (1986-1987)</w:t>
      </w:r>
      <w:r w:rsidRPr="007821B8">
        <w:rPr>
          <w:rFonts w:ascii="AGaramond" w:hAnsi="AGaramond" w:cs="Arial"/>
        </w:rPr>
        <w:t xml:space="preserve"> para una revisión del caso finlandés].</w:t>
      </w:r>
    </w:p>
  </w:footnote>
  <w:footnote w:id="3">
    <w:p w14:paraId="5989AA0C" w14:textId="0A02F57C" w:rsidR="00937DC4" w:rsidRPr="007821B8" w:rsidRDefault="00937DC4" w:rsidP="00801EA1">
      <w:pPr>
        <w:pStyle w:val="Textonotapie"/>
        <w:ind w:left="142" w:hanging="142"/>
        <w:jc w:val="both"/>
        <w:rPr>
          <w:rFonts w:ascii="AGaramond" w:hAnsi="AGaramond" w:cs="Arial"/>
        </w:rPr>
      </w:pPr>
      <w:r w:rsidRPr="007821B8">
        <w:rPr>
          <w:rStyle w:val="Refdenotaalpie"/>
          <w:rFonts w:ascii="AGaramond" w:hAnsi="AGaramond" w:cs="Arial"/>
        </w:rPr>
        <w:footnoteRef/>
      </w:r>
      <w:r w:rsidRPr="007821B8">
        <w:rPr>
          <w:rFonts w:ascii="AGaramond" w:hAnsi="AGaramond" w:cs="Arial"/>
        </w:rPr>
        <w:t xml:space="preserve"> Esta categoría creada por los autores de marras se refiere a las actividades extractivas tradicionales dentro de la globalización de los procesos productivos.</w:t>
      </w:r>
    </w:p>
  </w:footnote>
  <w:footnote w:id="4">
    <w:p w14:paraId="114D7277" w14:textId="09A9CBB4" w:rsidR="00937DC4" w:rsidRPr="007821B8" w:rsidRDefault="00937DC4" w:rsidP="00801EA1">
      <w:pPr>
        <w:pStyle w:val="Textonotapie"/>
        <w:ind w:left="142" w:hanging="142"/>
        <w:jc w:val="both"/>
        <w:rPr>
          <w:rFonts w:ascii="AGaramond" w:hAnsi="AGaramond" w:cs="Arial"/>
        </w:rPr>
      </w:pPr>
      <w:r w:rsidRPr="007821B8">
        <w:rPr>
          <w:rStyle w:val="Refdenotaalpie"/>
          <w:rFonts w:ascii="AGaramond" w:hAnsi="AGaramond"/>
        </w:rPr>
        <w:footnoteRef/>
      </w:r>
      <w:r w:rsidRPr="007821B8">
        <w:rPr>
          <w:rFonts w:ascii="AGaramond" w:hAnsi="AGaramond"/>
        </w:rPr>
        <w:t xml:space="preserve"> </w:t>
      </w:r>
      <w:r w:rsidRPr="007821B8">
        <w:rPr>
          <w:rFonts w:ascii="AGaramond" w:hAnsi="AGaramond" w:cs="Arial"/>
        </w:rPr>
        <w:t xml:space="preserve">La inferencia del </w:t>
      </w:r>
      <w:r w:rsidRPr="007821B8">
        <w:rPr>
          <w:rFonts w:ascii="AGaramond" w:hAnsi="AGaramond" w:cs="Arial"/>
          <w:i/>
        </w:rPr>
        <w:t>efecto social derrame</w:t>
      </w:r>
      <w:r w:rsidRPr="007821B8">
        <w:rPr>
          <w:rFonts w:ascii="AGaramond" w:hAnsi="AGaramond" w:cs="Arial"/>
        </w:rPr>
        <w:t xml:space="preserve"> proveniente del crecimiento económico no tiene una sustentación teórica desde la perspectiva de la eficiencia </w:t>
      </w:r>
      <w:proofErr w:type="spellStart"/>
      <w:r w:rsidRPr="007821B8">
        <w:rPr>
          <w:rFonts w:ascii="AGaramond" w:hAnsi="AGaramond" w:cs="Arial"/>
        </w:rPr>
        <w:t>Paretiana</w:t>
      </w:r>
      <w:proofErr w:type="spellEnd"/>
      <w:r w:rsidRPr="007821B8">
        <w:rPr>
          <w:rFonts w:ascii="AGaramond" w:hAnsi="AGaramond" w:cs="Arial"/>
        </w:rPr>
        <w:t xml:space="preserve">. En </w:t>
      </w:r>
      <w:proofErr w:type="spellStart"/>
      <w:r w:rsidRPr="007821B8">
        <w:rPr>
          <w:rFonts w:ascii="AGaramond" w:hAnsi="AGaramond" w:cs="Arial"/>
        </w:rPr>
        <w:t>Adelman</w:t>
      </w:r>
      <w:proofErr w:type="spellEnd"/>
      <w:r w:rsidRPr="007821B8">
        <w:rPr>
          <w:rFonts w:ascii="AGaramond" w:hAnsi="AGaramond" w:cs="Arial"/>
        </w:rPr>
        <w:t xml:space="preserve"> (2001) se presentan estos argumentos en cuanto a la </w:t>
      </w:r>
      <w:r w:rsidR="00801EA1">
        <w:rPr>
          <w:rFonts w:ascii="AGaramond" w:hAnsi="AGaramond" w:cs="Arial"/>
        </w:rPr>
        <w:t>“</w:t>
      </w:r>
      <w:r w:rsidRPr="007821B8">
        <w:rPr>
          <w:rFonts w:ascii="AGaramond" w:hAnsi="AGaramond" w:cs="Arial"/>
        </w:rPr>
        <w:t>economía neoclásica del desarrollo</w:t>
      </w:r>
      <w:r w:rsidR="00801EA1">
        <w:rPr>
          <w:rFonts w:ascii="AGaramond" w:hAnsi="AGaramond" w:cs="Arial"/>
        </w:rPr>
        <w:t>”</w:t>
      </w:r>
      <w:r w:rsidRPr="007821B8">
        <w:rPr>
          <w:rFonts w:ascii="AGaramond" w:hAnsi="AGaramond" w:cs="Arial"/>
        </w:rPr>
        <w:t xml:space="preserve"> (</w:t>
      </w:r>
      <w:r w:rsidRPr="0083015F">
        <w:rPr>
          <w:rFonts w:ascii="AGaramond" w:hAnsi="AGaramond" w:cs="Arial"/>
          <w:i/>
          <w:iCs/>
        </w:rPr>
        <w:t>sic</w:t>
      </w:r>
      <w:r w:rsidRPr="007821B8">
        <w:rPr>
          <w:rFonts w:ascii="AGaramond" w:hAnsi="AGaramond" w:cs="Arial"/>
        </w:rPr>
        <w:t xml:space="preserve">): </w:t>
      </w:r>
      <w:r w:rsidR="00801EA1">
        <w:rPr>
          <w:rFonts w:ascii="AGaramond" w:hAnsi="AGaramond" w:cs="Arial"/>
        </w:rPr>
        <w:t>a</w:t>
      </w:r>
      <w:r w:rsidRPr="007821B8">
        <w:rPr>
          <w:rFonts w:ascii="AGaramond" w:hAnsi="AGaramond" w:cs="Arial"/>
        </w:rPr>
        <w:t xml:space="preserve">l confundirse desarrollo con crecimiento se cree que las relaciones de mercado son suficientes para alterar la trayectoria impuesta por las condiciones socioeconómicas iniciales, lo cual va contrapelo respecto de la evidencia histórica de Alemania y Japón, y el surgimiento tardío de algunos países del sudeste asiático (Corea del Sur, Singapur y Taiwán, fundamentalmente). </w:t>
      </w:r>
    </w:p>
    <w:p w14:paraId="632D0C7B" w14:textId="77777777" w:rsidR="00937DC4" w:rsidRPr="007821B8" w:rsidRDefault="00937DC4" w:rsidP="00801EA1">
      <w:pPr>
        <w:pStyle w:val="Textonotapie"/>
        <w:ind w:left="142" w:hanging="142"/>
        <w:jc w:val="both"/>
        <w:rPr>
          <w:rFonts w:ascii="AGaramond" w:hAnsi="AGaramond" w:cs="Arial"/>
        </w:rPr>
      </w:pPr>
      <w:r w:rsidRPr="007821B8">
        <w:rPr>
          <w:rFonts w:ascii="AGaramond" w:hAnsi="AGaramond" w:cs="Arial"/>
        </w:rPr>
        <w:t xml:space="preserve"> </w:t>
      </w:r>
    </w:p>
  </w:footnote>
  <w:footnote w:id="5">
    <w:p w14:paraId="2FF80860" w14:textId="537407A0" w:rsidR="00937DC4" w:rsidRPr="007821B8" w:rsidRDefault="00937DC4" w:rsidP="00801EA1">
      <w:pPr>
        <w:pStyle w:val="Textonotapie"/>
        <w:ind w:left="142" w:hanging="142"/>
        <w:jc w:val="both"/>
        <w:rPr>
          <w:rFonts w:ascii="AGaramond" w:hAnsi="AGaramond" w:cs="Arial"/>
        </w:rPr>
      </w:pPr>
      <w:r w:rsidRPr="007821B8">
        <w:rPr>
          <w:rStyle w:val="Refdenotaalpie"/>
          <w:rFonts w:ascii="AGaramond" w:hAnsi="AGaramond"/>
        </w:rPr>
        <w:footnoteRef/>
      </w:r>
      <w:r w:rsidRPr="007821B8">
        <w:rPr>
          <w:rFonts w:ascii="AGaramond" w:hAnsi="AGaramond"/>
        </w:rPr>
        <w:t xml:space="preserve"> </w:t>
      </w:r>
      <w:r w:rsidRPr="007821B8">
        <w:rPr>
          <w:rFonts w:ascii="AGaramond" w:hAnsi="AGaramond" w:cs="Arial"/>
        </w:rPr>
        <w:t xml:space="preserve">Existen actividades ilícitas en las que se transan productos y servicios considerados prohibidos: </w:t>
      </w:r>
      <w:r w:rsidR="00801EA1">
        <w:rPr>
          <w:rFonts w:ascii="AGaramond" w:hAnsi="AGaramond" w:cs="Arial"/>
        </w:rPr>
        <w:t>p. ej</w:t>
      </w:r>
      <w:r w:rsidRPr="007821B8">
        <w:rPr>
          <w:rFonts w:ascii="AGaramond" w:hAnsi="AGaramond" w:cs="Arial"/>
        </w:rPr>
        <w:t xml:space="preserve">., narcóticos, órganos humanos, personas, etc. Estas actividades ilegales generan grandes ganancias por arbitraje; por eso existen y funcionan como mercados no regulados como consecuencia de las fallas de gobierno; así lo afirma el expresidente del Uruguay, José Mujica, </w:t>
      </w:r>
      <w:proofErr w:type="gramStart"/>
      <w:r w:rsidRPr="007821B8">
        <w:rPr>
          <w:rFonts w:ascii="AGaramond" w:hAnsi="AGaramond" w:cs="Arial"/>
        </w:rPr>
        <w:t>en relación al</w:t>
      </w:r>
      <w:proofErr w:type="gramEnd"/>
      <w:r w:rsidRPr="007821B8">
        <w:rPr>
          <w:rFonts w:ascii="AGaramond" w:hAnsi="AGaramond" w:cs="Arial"/>
        </w:rPr>
        <w:t xml:space="preserve"> narcotráfico: </w:t>
      </w:r>
      <w:r w:rsidR="00A828DE">
        <w:rPr>
          <w:rFonts w:ascii="AGaramond" w:hAnsi="AGaramond" w:cs="Arial"/>
        </w:rPr>
        <w:t>“</w:t>
      </w:r>
      <w:r w:rsidRPr="007821B8">
        <w:rPr>
          <w:rFonts w:ascii="AGaramond" w:hAnsi="AGaramond" w:cs="Arial"/>
        </w:rPr>
        <w:t>peor que la droga es el narcotráfico</w:t>
      </w:r>
      <w:r w:rsidR="00A828DE">
        <w:rPr>
          <w:rFonts w:ascii="AGaramond" w:hAnsi="AGaramond" w:cs="Arial"/>
        </w:rPr>
        <w:t>”</w:t>
      </w:r>
      <w:r w:rsidRPr="007821B8">
        <w:rPr>
          <w:rFonts w:ascii="AGaramond" w:hAnsi="AGaramond" w:cs="Arial"/>
        </w:rPr>
        <w:t xml:space="preserve">. El trabajo magistral de William </w:t>
      </w:r>
      <w:proofErr w:type="spellStart"/>
      <w:r w:rsidRPr="007821B8">
        <w:rPr>
          <w:rFonts w:ascii="AGaramond" w:hAnsi="AGaramond" w:cs="Arial"/>
        </w:rPr>
        <w:t>Baumol</w:t>
      </w:r>
      <w:proofErr w:type="spellEnd"/>
      <w:r w:rsidRPr="007821B8">
        <w:rPr>
          <w:rFonts w:ascii="AGaramond" w:hAnsi="AGaramond" w:cs="Arial"/>
        </w:rPr>
        <w:t xml:space="preserve"> </w:t>
      </w:r>
      <w:r w:rsidRPr="007821B8">
        <w:rPr>
          <w:rFonts w:ascii="AGaramond" w:hAnsi="AGaramond" w:cs="Arial"/>
          <w:noProof/>
        </w:rPr>
        <w:t>(1990)</w:t>
      </w:r>
      <w:r w:rsidRPr="007821B8">
        <w:rPr>
          <w:rFonts w:ascii="AGaramond" w:hAnsi="AGaramond" w:cs="Arial"/>
        </w:rPr>
        <w:t xml:space="preserve"> ilustra históricamente cómo la estructura retributiva (</w:t>
      </w:r>
      <w:proofErr w:type="spellStart"/>
      <w:r w:rsidRPr="007821B8">
        <w:rPr>
          <w:rFonts w:ascii="AGaramond" w:hAnsi="AGaramond" w:cs="Arial"/>
          <w:i/>
          <w:iCs/>
        </w:rPr>
        <w:t>structure</w:t>
      </w:r>
      <w:proofErr w:type="spellEnd"/>
      <w:r w:rsidRPr="007821B8">
        <w:rPr>
          <w:rFonts w:ascii="AGaramond" w:hAnsi="AGaramond" w:cs="Arial"/>
          <w:i/>
          <w:iCs/>
        </w:rPr>
        <w:t xml:space="preserve"> </w:t>
      </w:r>
      <w:proofErr w:type="spellStart"/>
      <w:r w:rsidRPr="007821B8">
        <w:rPr>
          <w:rFonts w:ascii="AGaramond" w:hAnsi="AGaramond" w:cs="Arial"/>
          <w:i/>
          <w:iCs/>
        </w:rPr>
        <w:t>of</w:t>
      </w:r>
      <w:proofErr w:type="spellEnd"/>
      <w:r w:rsidRPr="007821B8">
        <w:rPr>
          <w:rFonts w:ascii="AGaramond" w:hAnsi="AGaramond" w:cs="Arial"/>
          <w:i/>
          <w:iCs/>
        </w:rPr>
        <w:t xml:space="preserve"> </w:t>
      </w:r>
      <w:proofErr w:type="spellStart"/>
      <w:r w:rsidRPr="00DD194B">
        <w:rPr>
          <w:rFonts w:ascii="AGaramond" w:hAnsi="AGaramond" w:cs="Arial"/>
          <w:i/>
          <w:iCs/>
        </w:rPr>
        <w:t>payoffs</w:t>
      </w:r>
      <w:proofErr w:type="spellEnd"/>
      <w:r w:rsidRPr="007821B8">
        <w:rPr>
          <w:rFonts w:ascii="AGaramond" w:hAnsi="AGaramond" w:cs="Arial"/>
        </w:rPr>
        <w:t xml:space="preserve">) afecta la decisión de las actividades empresariales, y cómo invariantemente a lo largo de la historia, el arreglo institucional perfila dicha estructura. El análisis de </w:t>
      </w:r>
      <w:proofErr w:type="spellStart"/>
      <w:r w:rsidRPr="007821B8">
        <w:rPr>
          <w:rFonts w:ascii="AGaramond" w:hAnsi="AGaramond" w:cs="Arial"/>
        </w:rPr>
        <w:t>Baumol</w:t>
      </w:r>
      <w:proofErr w:type="spellEnd"/>
      <w:r w:rsidRPr="007821B8">
        <w:rPr>
          <w:rFonts w:ascii="AGaramond" w:hAnsi="AGaramond" w:cs="Arial"/>
        </w:rPr>
        <w:t xml:space="preserve"> es extensible al </w:t>
      </w:r>
      <w:proofErr w:type="spellStart"/>
      <w:r w:rsidRPr="007821B8">
        <w:rPr>
          <w:rFonts w:ascii="AGaramond" w:hAnsi="AGaramond" w:cs="Arial"/>
          <w:i/>
          <w:iCs/>
        </w:rPr>
        <w:t>rent</w:t>
      </w:r>
      <w:r w:rsidR="00A828DE">
        <w:rPr>
          <w:rFonts w:ascii="AGaramond" w:hAnsi="AGaramond" w:cs="Arial"/>
          <w:i/>
          <w:iCs/>
        </w:rPr>
        <w:t>-</w:t>
      </w:r>
      <w:r w:rsidRPr="007821B8">
        <w:rPr>
          <w:rFonts w:ascii="AGaramond" w:hAnsi="AGaramond" w:cs="Arial"/>
          <w:i/>
          <w:iCs/>
        </w:rPr>
        <w:t>seeking</w:t>
      </w:r>
      <w:proofErr w:type="spellEnd"/>
      <w:r w:rsidRPr="007821B8">
        <w:rPr>
          <w:rFonts w:ascii="AGaramond" w:hAnsi="AGaramond" w:cs="Arial"/>
          <w:i/>
          <w:iCs/>
        </w:rPr>
        <w:t>.</w:t>
      </w:r>
    </w:p>
  </w:footnote>
  <w:footnote w:id="6">
    <w:p w14:paraId="596626E3" w14:textId="77777777" w:rsidR="00937DC4" w:rsidRPr="007821B8" w:rsidRDefault="00937DC4" w:rsidP="00801EA1">
      <w:pPr>
        <w:pStyle w:val="Textonotapie"/>
        <w:ind w:left="142" w:hanging="142"/>
        <w:jc w:val="both"/>
        <w:rPr>
          <w:rFonts w:ascii="AGaramond" w:hAnsi="AGaramond" w:cs="Arial"/>
        </w:rPr>
      </w:pPr>
      <w:r w:rsidRPr="007821B8">
        <w:rPr>
          <w:rStyle w:val="Refdenotaalpie"/>
          <w:rFonts w:ascii="AGaramond" w:hAnsi="AGaramond"/>
        </w:rPr>
        <w:footnoteRef/>
      </w:r>
      <w:r w:rsidRPr="007821B8">
        <w:rPr>
          <w:rFonts w:ascii="AGaramond" w:hAnsi="AGaramond"/>
        </w:rPr>
        <w:t xml:space="preserve"> </w:t>
      </w:r>
      <w:r w:rsidRPr="007821B8">
        <w:rPr>
          <w:rFonts w:ascii="AGaramond" w:hAnsi="AGaramond" w:cs="Arial"/>
        </w:rPr>
        <w:t>Hay una advertencia a lugar: las fallas de mercado por la asimetría de información (incompletitud de mercado) invalidan algunos postulados de la teoría neoclásica. La teoría de juegos (juegos no cooperativos) es una respuesta a estas debilidades y es la elaboración teórica más avanzada de la escuela neoclásica. De hecho, la teoría de juegos explica la corrupción como la incapacidad de un árbitro (el Estado) de ejercer acciones punitivas, o por la imposibilidad de los agentes de ejercer retaliaciones y coordinar acciones colectivas correctivas.</w:t>
      </w:r>
    </w:p>
    <w:p w14:paraId="3EEEAE67" w14:textId="77777777" w:rsidR="00937DC4" w:rsidRPr="007821B8" w:rsidRDefault="00937DC4" w:rsidP="00801EA1">
      <w:pPr>
        <w:pStyle w:val="Textonotapie"/>
        <w:ind w:left="142" w:hanging="142"/>
        <w:jc w:val="both"/>
        <w:rPr>
          <w:rFonts w:ascii="AGaramond" w:hAnsi="AGaramond" w:cs="Arial"/>
        </w:rPr>
      </w:pPr>
    </w:p>
  </w:footnote>
  <w:footnote w:id="7">
    <w:p w14:paraId="1855010F" w14:textId="69B33ED2" w:rsidR="00937DC4" w:rsidRPr="007821B8" w:rsidRDefault="00937DC4" w:rsidP="00801EA1">
      <w:pPr>
        <w:pStyle w:val="Textonotapie"/>
        <w:ind w:left="142" w:hanging="142"/>
        <w:jc w:val="both"/>
        <w:rPr>
          <w:rFonts w:ascii="AGaramond" w:hAnsi="AGaramond" w:cs="Arial"/>
        </w:rPr>
      </w:pPr>
      <w:r w:rsidRPr="007821B8">
        <w:rPr>
          <w:rStyle w:val="Refdenotaalpie"/>
          <w:rFonts w:ascii="AGaramond" w:hAnsi="AGaramond"/>
        </w:rPr>
        <w:footnoteRef/>
      </w:r>
      <w:r w:rsidRPr="007821B8">
        <w:rPr>
          <w:rFonts w:ascii="AGaramond" w:hAnsi="AGaramond"/>
        </w:rPr>
        <w:t xml:space="preserve"> </w:t>
      </w:r>
      <w:r w:rsidRPr="007821B8">
        <w:rPr>
          <w:rFonts w:ascii="AGaramond" w:hAnsi="AGaramond" w:cs="Arial"/>
        </w:rPr>
        <w:t xml:space="preserve">La </w:t>
      </w:r>
      <w:proofErr w:type="spellStart"/>
      <w:r w:rsidRPr="007821B8">
        <w:rPr>
          <w:rFonts w:ascii="AGaramond" w:hAnsi="AGaramond" w:cs="Arial"/>
        </w:rPr>
        <w:t>prociclicidad</w:t>
      </w:r>
      <w:proofErr w:type="spellEnd"/>
      <w:r w:rsidRPr="007821B8">
        <w:rPr>
          <w:rFonts w:ascii="AGaramond" w:hAnsi="AGaramond" w:cs="Arial"/>
        </w:rPr>
        <w:t xml:space="preserve"> del gasto público genera efectos devastadores en la sociedad: esta política de gasto público no solo es fiscalmente insostenible, sino sociopolíticamente explosiva al causar grandes pérdidas de bienestar desde una perspectiva intergeneracional. Las formulaciones y diseños de reglas fiscales (RF), están llamadas a superar este rasgo típico (aunque no exclusivo) de las economías atrasadas</w:t>
      </w:r>
      <w:r w:rsidR="00A828DE">
        <w:rPr>
          <w:rFonts w:ascii="AGaramond" w:hAnsi="AGaramond" w:cs="Arial"/>
        </w:rPr>
        <w:t>,</w:t>
      </w:r>
      <w:r w:rsidRPr="007821B8">
        <w:rPr>
          <w:rFonts w:ascii="AGaramond" w:hAnsi="AGaramond" w:cs="Arial"/>
        </w:rPr>
        <w:t xml:space="preserve"> pero ricas en recursos naturales; incluso en la evolución del diseño de RF se incluyen </w:t>
      </w:r>
      <w:r w:rsidR="00A828DE">
        <w:rPr>
          <w:rFonts w:ascii="AGaramond" w:hAnsi="AGaramond" w:cs="Arial"/>
        </w:rPr>
        <w:t>“</w:t>
      </w:r>
      <w:r w:rsidRPr="007821B8">
        <w:rPr>
          <w:rFonts w:ascii="AGaramond" w:hAnsi="AGaramond" w:cs="Arial"/>
        </w:rPr>
        <w:t>cláusulas de escape</w:t>
      </w:r>
      <w:r w:rsidR="00A828DE">
        <w:rPr>
          <w:rFonts w:ascii="AGaramond" w:hAnsi="AGaramond" w:cs="Arial"/>
        </w:rPr>
        <w:t>”</w:t>
      </w:r>
      <w:r w:rsidRPr="007821B8">
        <w:rPr>
          <w:rFonts w:ascii="AGaramond" w:hAnsi="AGaramond" w:cs="Arial"/>
        </w:rPr>
        <w:t xml:space="preserve"> (</w:t>
      </w:r>
      <w:r w:rsidR="00751E41" w:rsidRPr="00751E41">
        <w:rPr>
          <w:rFonts w:ascii="AGaramond" w:hAnsi="AGaramond" w:cs="Arial"/>
          <w:i/>
        </w:rPr>
        <w:t>cfr</w:t>
      </w:r>
      <w:r w:rsidRPr="007821B8">
        <w:rPr>
          <w:rFonts w:ascii="AGaramond" w:hAnsi="AGaramond" w:cs="Arial"/>
        </w:rPr>
        <w:t xml:space="preserve">. </w:t>
      </w:r>
      <w:r w:rsidRPr="007821B8">
        <w:rPr>
          <w:rFonts w:ascii="AGaramond" w:hAnsi="AGaramond" w:cs="Arial"/>
          <w:noProof/>
        </w:rPr>
        <w:t xml:space="preserve">Moreno, Sosa </w:t>
      </w:r>
      <w:r w:rsidR="00A828DE">
        <w:rPr>
          <w:rFonts w:ascii="AGaramond" w:hAnsi="AGaramond" w:cs="Arial"/>
          <w:noProof/>
        </w:rPr>
        <w:t>y</w:t>
      </w:r>
      <w:r w:rsidRPr="007821B8">
        <w:rPr>
          <w:rFonts w:ascii="AGaramond" w:hAnsi="AGaramond" w:cs="Arial"/>
          <w:noProof/>
        </w:rPr>
        <w:t xml:space="preserve"> Zambrano, 2021)</w:t>
      </w:r>
      <w:r w:rsidRPr="007821B8">
        <w:rPr>
          <w:rFonts w:ascii="AGaramond" w:hAnsi="AGaramond" w:cs="Arial"/>
        </w:rPr>
        <w:t>. En el caso de los países atrasados ricos en recursos naturales, la implementación de reglas fiscales es sumamente ardua</w:t>
      </w:r>
      <w:r w:rsidR="00A828DE">
        <w:rPr>
          <w:rFonts w:ascii="AGaramond" w:hAnsi="AGaramond" w:cs="Arial"/>
        </w:rPr>
        <w:t>,</w:t>
      </w:r>
      <w:r w:rsidRPr="007821B8">
        <w:rPr>
          <w:rFonts w:ascii="AGaramond" w:hAnsi="AGaramond" w:cs="Arial"/>
        </w:rPr>
        <w:t xml:space="preserve"> sin embargo. La gestión pública se enfrenta a mercados políticos en los cuales el votante medio tiene una elevada tasa de impaciencia como consecuencia de sus bajos ingresos. Por tanto, las reglas fiscales son extremadamente difíciles de cumplir, tanto en per</w:t>
      </w:r>
      <w:r w:rsidR="00A828DE">
        <w:rPr>
          <w:rFonts w:ascii="AGaramond" w:hAnsi="AGaramond" w:cs="Arial"/>
        </w:rPr>
        <w:t>i</w:t>
      </w:r>
      <w:r w:rsidRPr="007821B8">
        <w:rPr>
          <w:rFonts w:ascii="AGaramond" w:hAnsi="AGaramond" w:cs="Arial"/>
        </w:rPr>
        <w:t xml:space="preserve">odos de auge de precios de los </w:t>
      </w:r>
      <w:proofErr w:type="spellStart"/>
      <w:r w:rsidRPr="007821B8">
        <w:rPr>
          <w:rFonts w:ascii="AGaramond" w:hAnsi="AGaramond" w:cs="Arial"/>
          <w:i/>
          <w:iCs/>
        </w:rPr>
        <w:t>commodities</w:t>
      </w:r>
      <w:proofErr w:type="spellEnd"/>
      <w:r w:rsidRPr="007821B8">
        <w:rPr>
          <w:rFonts w:ascii="AGaramond" w:hAnsi="AGaramond" w:cs="Arial"/>
        </w:rPr>
        <w:t xml:space="preserve"> de exportación (</w:t>
      </w:r>
      <w:r w:rsidRPr="007821B8">
        <w:rPr>
          <w:rFonts w:ascii="AGaramond" w:hAnsi="AGaramond" w:cs="Arial"/>
          <w:i/>
          <w:iCs/>
        </w:rPr>
        <w:t>boom times</w:t>
      </w:r>
      <w:r w:rsidRPr="007821B8">
        <w:rPr>
          <w:rFonts w:ascii="AGaramond" w:hAnsi="AGaramond" w:cs="Arial"/>
        </w:rPr>
        <w:t xml:space="preserve"> o </w:t>
      </w:r>
      <w:proofErr w:type="spellStart"/>
      <w:r w:rsidRPr="007821B8">
        <w:rPr>
          <w:rFonts w:ascii="AGaramond" w:hAnsi="AGaramond" w:cs="Arial"/>
          <w:i/>
          <w:iCs/>
        </w:rPr>
        <w:t>windfall</w:t>
      </w:r>
      <w:proofErr w:type="spellEnd"/>
      <w:r w:rsidRPr="007821B8">
        <w:rPr>
          <w:rFonts w:ascii="AGaramond" w:hAnsi="AGaramond" w:cs="Arial"/>
        </w:rPr>
        <w:t>) como en los tiempos de bajos precios (</w:t>
      </w:r>
      <w:proofErr w:type="spellStart"/>
      <w:r w:rsidRPr="007821B8">
        <w:rPr>
          <w:rFonts w:ascii="AGaramond" w:hAnsi="AGaramond" w:cs="Arial"/>
          <w:i/>
          <w:iCs/>
        </w:rPr>
        <w:t>bust</w:t>
      </w:r>
      <w:proofErr w:type="spellEnd"/>
      <w:r w:rsidRPr="007821B8">
        <w:rPr>
          <w:rFonts w:ascii="AGaramond" w:hAnsi="AGaramond" w:cs="Arial"/>
          <w:i/>
          <w:iCs/>
        </w:rPr>
        <w:t xml:space="preserve"> times</w:t>
      </w:r>
      <w:r w:rsidRPr="007821B8">
        <w:rPr>
          <w:rFonts w:ascii="AGaramond" w:hAnsi="AGaramond" w:cs="Arial"/>
        </w:rPr>
        <w:t>). Lo expuesto sugiere una discusión de las reglas de asignación de la renta económica de los recursos naturales como telón de fondo al diseño de reglas fiscales (</w:t>
      </w:r>
      <w:r w:rsidR="00751E41" w:rsidRPr="00751E41">
        <w:rPr>
          <w:rFonts w:ascii="AGaramond" w:hAnsi="AGaramond" w:cs="Arial"/>
          <w:i/>
        </w:rPr>
        <w:t>cfr</w:t>
      </w:r>
      <w:r w:rsidRPr="007821B8">
        <w:rPr>
          <w:rFonts w:ascii="AGaramond" w:hAnsi="AGaramond" w:cs="Arial"/>
        </w:rPr>
        <w:t xml:space="preserve">. </w:t>
      </w:r>
      <w:r w:rsidRPr="007821B8">
        <w:rPr>
          <w:rFonts w:ascii="AGaramond" w:hAnsi="AGaramond" w:cs="Arial"/>
          <w:noProof/>
        </w:rPr>
        <w:t xml:space="preserve">Sala-i-Martin </w:t>
      </w:r>
      <w:r w:rsidR="00A828DE">
        <w:rPr>
          <w:rFonts w:ascii="AGaramond" w:hAnsi="AGaramond" w:cs="Arial"/>
          <w:noProof/>
        </w:rPr>
        <w:t>y</w:t>
      </w:r>
      <w:r w:rsidRPr="007821B8">
        <w:rPr>
          <w:rFonts w:ascii="AGaramond" w:hAnsi="AGaramond" w:cs="Arial"/>
          <w:noProof/>
        </w:rPr>
        <w:t xml:space="preserve"> Subramanian</w:t>
      </w:r>
      <w:r w:rsidR="00A828DE">
        <w:rPr>
          <w:rFonts w:ascii="AGaramond" w:hAnsi="AGaramond" w:cs="Arial"/>
          <w:noProof/>
        </w:rPr>
        <w:t>,</w:t>
      </w:r>
      <w:r w:rsidRPr="007821B8">
        <w:rPr>
          <w:rFonts w:ascii="AGaramond" w:hAnsi="AGaramond" w:cs="Arial"/>
          <w:noProof/>
        </w:rPr>
        <w:t xml:space="preserve"> 2012)</w:t>
      </w:r>
      <w:r w:rsidRPr="007821B8">
        <w:rPr>
          <w:rFonts w:ascii="AGaramond" w:hAnsi="AGaramond" w:cs="Arial"/>
        </w:rPr>
        <w:t xml:space="preserve"> para una discusión del caso nigeriano.</w:t>
      </w:r>
    </w:p>
  </w:footnote>
  <w:footnote w:id="8">
    <w:p w14:paraId="10164ECE" w14:textId="3AA9AB2F" w:rsidR="00937DC4" w:rsidRPr="007821B8" w:rsidRDefault="00937DC4" w:rsidP="00801EA1">
      <w:pPr>
        <w:pStyle w:val="Textonotapie"/>
        <w:tabs>
          <w:tab w:val="left" w:pos="142"/>
        </w:tabs>
        <w:ind w:left="142" w:hanging="142"/>
        <w:jc w:val="both"/>
        <w:rPr>
          <w:rFonts w:ascii="AGaramond" w:hAnsi="AGaramond" w:cs="Arial"/>
        </w:rPr>
      </w:pPr>
      <w:r w:rsidRPr="007821B8">
        <w:rPr>
          <w:rStyle w:val="Refdenotaalpie"/>
          <w:rFonts w:ascii="AGaramond" w:hAnsi="AGaramond"/>
        </w:rPr>
        <w:footnoteRef/>
      </w:r>
      <w:r w:rsidRPr="007821B8">
        <w:rPr>
          <w:rFonts w:ascii="AGaramond" w:hAnsi="AGaramond"/>
        </w:rPr>
        <w:t xml:space="preserve"> </w:t>
      </w:r>
      <w:r w:rsidRPr="007821B8">
        <w:rPr>
          <w:rFonts w:ascii="AGaramond" w:hAnsi="AGaramond" w:cs="Arial"/>
        </w:rPr>
        <w:t>La experiencia venezolana desde 1999 a la fecha es emblemática (para una medición de los impactos económicos del manejo de Petróleo</w:t>
      </w:r>
      <w:r w:rsidR="00A828DE">
        <w:rPr>
          <w:rFonts w:ascii="AGaramond" w:hAnsi="AGaramond" w:cs="Arial"/>
        </w:rPr>
        <w:t>s</w:t>
      </w:r>
      <w:r w:rsidRPr="007821B8">
        <w:rPr>
          <w:rFonts w:ascii="AGaramond" w:hAnsi="AGaramond" w:cs="Arial"/>
        </w:rPr>
        <w:t xml:space="preserve"> de Venezuela</w:t>
      </w:r>
      <w:r w:rsidR="00A828DE">
        <w:rPr>
          <w:rFonts w:ascii="AGaramond" w:hAnsi="AGaramond" w:cs="Arial"/>
        </w:rPr>
        <w:t>, S. A.</w:t>
      </w:r>
      <w:r w:rsidRPr="007821B8">
        <w:rPr>
          <w:rFonts w:ascii="AGaramond" w:hAnsi="AGaramond" w:cs="Arial"/>
        </w:rPr>
        <w:t>-PDVSA durante este per</w:t>
      </w:r>
      <w:r w:rsidR="00A828DE">
        <w:rPr>
          <w:rFonts w:ascii="AGaramond" w:hAnsi="AGaramond" w:cs="Arial"/>
        </w:rPr>
        <w:t>i</w:t>
      </w:r>
      <w:r w:rsidRPr="007821B8">
        <w:rPr>
          <w:rFonts w:ascii="AGaramond" w:hAnsi="AGaramond" w:cs="Arial"/>
        </w:rPr>
        <w:t xml:space="preserve">odo (ver </w:t>
      </w:r>
      <w:r w:rsidRPr="007821B8">
        <w:rPr>
          <w:rFonts w:ascii="AGaramond" w:hAnsi="AGaramond" w:cs="Arial"/>
          <w:noProof/>
        </w:rPr>
        <w:t xml:space="preserve">Hernández </w:t>
      </w:r>
      <w:r w:rsidR="00A828DE">
        <w:rPr>
          <w:rFonts w:ascii="AGaramond" w:hAnsi="AGaramond" w:cs="Arial"/>
          <w:noProof/>
        </w:rPr>
        <w:t>y</w:t>
      </w:r>
      <w:r w:rsidRPr="007821B8">
        <w:rPr>
          <w:rFonts w:ascii="AGaramond" w:hAnsi="AGaramond" w:cs="Arial"/>
          <w:noProof/>
        </w:rPr>
        <w:t xml:space="preserve"> Leone, 2019)</w:t>
      </w:r>
      <w:r w:rsidRPr="007821B8">
        <w:rPr>
          <w:rFonts w:ascii="AGaramond" w:hAnsi="AGaramond" w:cs="Arial"/>
        </w:rPr>
        <w:t xml:space="preserve">. </w:t>
      </w:r>
    </w:p>
    <w:p w14:paraId="42D9EAB6" w14:textId="77777777" w:rsidR="00937DC4" w:rsidRPr="007821B8" w:rsidRDefault="00937DC4" w:rsidP="00801EA1">
      <w:pPr>
        <w:pStyle w:val="Textonotapie"/>
        <w:tabs>
          <w:tab w:val="left" w:pos="142"/>
        </w:tabs>
        <w:ind w:left="142" w:hanging="142"/>
        <w:jc w:val="both"/>
        <w:rPr>
          <w:rFonts w:ascii="AGaramond" w:hAnsi="AGaramond"/>
        </w:rPr>
      </w:pPr>
    </w:p>
  </w:footnote>
  <w:footnote w:id="9">
    <w:p w14:paraId="5FEC4030" w14:textId="7033B286" w:rsidR="00937DC4" w:rsidRPr="007821B8" w:rsidRDefault="00937DC4" w:rsidP="00237115">
      <w:pPr>
        <w:pStyle w:val="Textonotapie"/>
        <w:tabs>
          <w:tab w:val="left" w:pos="142"/>
        </w:tabs>
        <w:ind w:left="142" w:hanging="142"/>
        <w:jc w:val="both"/>
        <w:rPr>
          <w:rFonts w:ascii="AGaramond" w:hAnsi="AGaramond" w:cs="Arial"/>
        </w:rPr>
      </w:pPr>
      <w:r w:rsidRPr="007821B8">
        <w:rPr>
          <w:rStyle w:val="Refdenotaalpie"/>
          <w:rFonts w:ascii="AGaramond" w:hAnsi="AGaramond"/>
        </w:rPr>
        <w:footnoteRef/>
      </w:r>
      <w:r w:rsidRPr="007821B8">
        <w:rPr>
          <w:rFonts w:ascii="AGaramond" w:hAnsi="AGaramond"/>
        </w:rPr>
        <w:t xml:space="preserve"> </w:t>
      </w:r>
      <w:r w:rsidRPr="007821B8">
        <w:rPr>
          <w:rFonts w:ascii="AGaramond" w:hAnsi="AGaramond" w:cs="Arial"/>
        </w:rPr>
        <w:t xml:space="preserve">En general, la renta económica se deriva de la ruptura de la </w:t>
      </w:r>
      <w:r w:rsidRPr="007821B8">
        <w:rPr>
          <w:rFonts w:ascii="AGaramond" w:hAnsi="AGaramond" w:cs="Arial"/>
          <w:i/>
          <w:iCs/>
        </w:rPr>
        <w:t>condición d</w:t>
      </w:r>
      <w:r w:rsidRPr="007821B8">
        <w:rPr>
          <w:rFonts w:ascii="AGaramond" w:hAnsi="AGaramond" w:cs="Arial"/>
        </w:rPr>
        <w:t xml:space="preserve">e </w:t>
      </w:r>
      <w:r w:rsidRPr="007821B8">
        <w:rPr>
          <w:rFonts w:ascii="AGaramond" w:hAnsi="AGaramond" w:cs="Arial"/>
          <w:i/>
          <w:iCs/>
        </w:rPr>
        <w:t>cero-beneficio</w:t>
      </w:r>
      <w:r w:rsidRPr="007821B8">
        <w:rPr>
          <w:rFonts w:ascii="AGaramond" w:hAnsi="AGaramond" w:cs="Arial"/>
        </w:rPr>
        <w:t>. La consideración de los recursos naturales (activos no producidos) como factor de producción fijo implica que este factor devenga un ingreso</w:t>
      </w:r>
      <w:r w:rsidR="00345D41">
        <w:rPr>
          <w:rFonts w:ascii="AGaramond" w:hAnsi="AGaramond" w:cs="Arial"/>
        </w:rPr>
        <w:t>;</w:t>
      </w:r>
      <w:r w:rsidRPr="007821B8">
        <w:rPr>
          <w:rFonts w:ascii="AGaramond" w:hAnsi="AGaramond" w:cs="Arial"/>
        </w:rPr>
        <w:t xml:space="preserve"> es decir, renta (</w:t>
      </w:r>
      <w:r w:rsidR="00751E41" w:rsidRPr="00751E41">
        <w:rPr>
          <w:rFonts w:ascii="AGaramond" w:hAnsi="AGaramond" w:cs="Arial"/>
          <w:i/>
        </w:rPr>
        <w:t>cfr</w:t>
      </w:r>
      <w:r w:rsidRPr="007821B8">
        <w:rPr>
          <w:rFonts w:ascii="AGaramond" w:hAnsi="AGaramond" w:cs="Arial"/>
        </w:rPr>
        <w:t xml:space="preserve">. </w:t>
      </w:r>
      <w:r w:rsidRPr="007821B8">
        <w:rPr>
          <w:rFonts w:ascii="AGaramond" w:hAnsi="AGaramond" w:cs="Arial"/>
          <w:noProof/>
        </w:rPr>
        <w:t>Varian, 1992)</w:t>
      </w:r>
      <w:r w:rsidRPr="007821B8">
        <w:rPr>
          <w:rFonts w:ascii="AGaramond" w:hAnsi="AGaramond" w:cs="Arial"/>
        </w:rPr>
        <w:t>.</w:t>
      </w:r>
    </w:p>
  </w:footnote>
  <w:footnote w:id="10">
    <w:p w14:paraId="66CE13D1" w14:textId="24156D70" w:rsidR="00937DC4" w:rsidRPr="007821B8" w:rsidRDefault="00937DC4" w:rsidP="00801EA1">
      <w:pPr>
        <w:pStyle w:val="Textonotapie"/>
        <w:ind w:left="142" w:hanging="142"/>
        <w:jc w:val="both"/>
        <w:rPr>
          <w:rFonts w:ascii="AGaramond" w:hAnsi="AGaramond" w:cs="Arial"/>
        </w:rPr>
      </w:pPr>
      <w:r w:rsidRPr="007821B8">
        <w:rPr>
          <w:rStyle w:val="Refdenotaalpie"/>
          <w:rFonts w:ascii="AGaramond" w:hAnsi="AGaramond"/>
        </w:rPr>
        <w:footnoteRef/>
      </w:r>
      <w:r w:rsidRPr="007821B8">
        <w:rPr>
          <w:rFonts w:ascii="AGaramond" w:hAnsi="AGaramond"/>
        </w:rPr>
        <w:t xml:space="preserve"> </w:t>
      </w:r>
      <w:r w:rsidRPr="007821B8">
        <w:rPr>
          <w:rFonts w:ascii="AGaramond" w:hAnsi="AGaramond" w:cs="Arial"/>
        </w:rPr>
        <w:t xml:space="preserve">El tratamiento de la existencia e influencia de la renta económica fue un tema de interés del Prof. Asdrúbal Baptista quien se dio a la tarea, entre muchas contribuciones, a reformular el Sistema de Cuentas Nacionales para dar cabida a la remuneración de los recursos naturales como un factor específico. El título de su obra prima, </w:t>
      </w:r>
      <w:r w:rsidRPr="007821B8">
        <w:rPr>
          <w:rFonts w:ascii="AGaramond" w:hAnsi="AGaramond" w:cs="Arial"/>
          <w:i/>
          <w:noProof/>
        </w:rPr>
        <w:t xml:space="preserve">Teoría </w:t>
      </w:r>
      <w:r w:rsidR="00751E41" w:rsidRPr="007821B8">
        <w:rPr>
          <w:rFonts w:ascii="AGaramond" w:hAnsi="AGaramond" w:cs="Arial"/>
          <w:i/>
          <w:noProof/>
        </w:rPr>
        <w:t xml:space="preserve">económica del capitalismo rentístico </w:t>
      </w:r>
      <w:r w:rsidRPr="007821B8">
        <w:rPr>
          <w:rFonts w:ascii="AGaramond" w:hAnsi="AGaramond" w:cs="Arial"/>
          <w:noProof/>
        </w:rPr>
        <w:t>(2010)</w:t>
      </w:r>
      <w:r w:rsidRPr="007821B8">
        <w:rPr>
          <w:rFonts w:ascii="AGaramond" w:hAnsi="AGaramond" w:cs="Arial"/>
        </w:rPr>
        <w:t xml:space="preserve"> es un oxímoron que refleja la especificidad de las economías latinoamericanas.</w:t>
      </w:r>
    </w:p>
  </w:footnote>
  <w:footnote w:id="11">
    <w:p w14:paraId="1403BD01" w14:textId="6F050E08" w:rsidR="00937DC4" w:rsidRPr="007821B8" w:rsidRDefault="00CC1027" w:rsidP="00C72031">
      <w:pPr>
        <w:pStyle w:val="Textonotapie"/>
        <w:ind w:left="142" w:hanging="142"/>
        <w:jc w:val="both"/>
        <w:rPr>
          <w:rFonts w:ascii="AGaramond" w:hAnsi="AGaramond" w:cs="Arial"/>
        </w:rPr>
      </w:pPr>
      <w:hyperlink w:anchor="_INTRODUCCIÓN:_LA_CORRUPCIÓN" w:history="1">
        <w:r w:rsidR="00937DC4" w:rsidRPr="00751E41">
          <w:rPr>
            <w:rStyle w:val="Hipervnculo"/>
            <w:rFonts w:ascii="AGaramond" w:hAnsi="AGaramond"/>
            <w:color w:val="auto"/>
            <w:u w:val="none"/>
            <w:vertAlign w:val="superscript"/>
          </w:rPr>
          <w:footnoteRef/>
        </w:r>
      </w:hyperlink>
      <w:r w:rsidR="00937DC4" w:rsidRPr="007821B8">
        <w:rPr>
          <w:rFonts w:ascii="AGaramond" w:hAnsi="AGaramond"/>
        </w:rPr>
        <w:t xml:space="preserve"> </w:t>
      </w:r>
      <w:r w:rsidR="00937DC4" w:rsidRPr="007821B8">
        <w:rPr>
          <w:rFonts w:ascii="AGaramond" w:hAnsi="AGaramond" w:cs="Arial"/>
        </w:rPr>
        <w:t xml:space="preserve">Lo afirmado tiene una sustentación robusta desde la perspectiva de la psicología social. La </w:t>
      </w:r>
      <w:r w:rsidR="00937DC4" w:rsidRPr="007821B8">
        <w:rPr>
          <w:rFonts w:ascii="AGaramond" w:hAnsi="AGaramond" w:cs="Arial"/>
          <w:i/>
          <w:iCs/>
        </w:rPr>
        <w:t>transformación del carácter</w:t>
      </w:r>
      <w:r w:rsidR="00937DC4" w:rsidRPr="007821B8">
        <w:rPr>
          <w:rFonts w:ascii="AGaramond" w:hAnsi="AGaramond" w:cs="Arial"/>
        </w:rPr>
        <w:t xml:space="preserve"> de los agentes encargados de administrar, sin restricción, la </w:t>
      </w:r>
      <w:proofErr w:type="spellStart"/>
      <w:r w:rsidR="00937DC4" w:rsidRPr="007821B8">
        <w:rPr>
          <w:rFonts w:ascii="AGaramond" w:hAnsi="AGaramond" w:cs="Arial"/>
        </w:rPr>
        <w:t>REPRN</w:t>
      </w:r>
      <w:proofErr w:type="spellEnd"/>
      <w:r w:rsidR="00937DC4" w:rsidRPr="007821B8">
        <w:rPr>
          <w:rFonts w:ascii="AGaramond" w:hAnsi="AGaramond" w:cs="Arial"/>
        </w:rPr>
        <w:t>, (como consecuencia de la asimetría de información y de la ausencia de sensación de los principales en cuanto a un costo de oportunidad directo (</w:t>
      </w:r>
      <w:proofErr w:type="spellStart"/>
      <w:r w:rsidR="00937DC4" w:rsidRPr="007821B8">
        <w:rPr>
          <w:rFonts w:ascii="AGaramond" w:hAnsi="AGaramond" w:cs="Arial"/>
          <w:noProof/>
        </w:rPr>
        <w:t>Loewenstein</w:t>
      </w:r>
      <w:proofErr w:type="spellEnd"/>
      <w:r w:rsidR="00937DC4" w:rsidRPr="007821B8">
        <w:rPr>
          <w:rFonts w:ascii="AGaramond" w:hAnsi="AGaramond" w:cs="Arial"/>
          <w:noProof/>
        </w:rPr>
        <w:t xml:space="preserve"> </w:t>
      </w:r>
      <w:r w:rsidR="00751E41">
        <w:rPr>
          <w:rFonts w:ascii="AGaramond" w:hAnsi="AGaramond" w:cs="Arial"/>
          <w:noProof/>
        </w:rPr>
        <w:t>y</w:t>
      </w:r>
      <w:r w:rsidR="00937DC4" w:rsidRPr="007821B8">
        <w:rPr>
          <w:rFonts w:ascii="AGaramond" w:hAnsi="AGaramond" w:cs="Arial"/>
          <w:noProof/>
        </w:rPr>
        <w:t xml:space="preserve"> Thaler, </w:t>
      </w:r>
      <w:r w:rsidR="00937DC4" w:rsidRPr="00751E41">
        <w:rPr>
          <w:rFonts w:ascii="AGaramond" w:hAnsi="AGaramond" w:cs="Arial"/>
          <w:i/>
          <w:iCs/>
          <w:noProof/>
        </w:rPr>
        <w:t>op. cit</w:t>
      </w:r>
      <w:r w:rsidR="00937DC4" w:rsidRPr="007821B8">
        <w:rPr>
          <w:rFonts w:ascii="AGaramond" w:hAnsi="AGaramond" w:cs="Arial"/>
          <w:noProof/>
        </w:rPr>
        <w:t>.)</w:t>
      </w:r>
      <w:r w:rsidR="00937DC4" w:rsidRPr="007821B8">
        <w:rPr>
          <w:rFonts w:ascii="AGaramond" w:hAnsi="AGaramond" w:cs="Arial"/>
        </w:rPr>
        <w:t xml:space="preserve"> presenta una contrapartida en el </w:t>
      </w:r>
      <w:r w:rsidR="00937DC4" w:rsidRPr="007821B8">
        <w:rPr>
          <w:rFonts w:ascii="AGaramond" w:hAnsi="AGaramond" w:cs="Arial"/>
          <w:i/>
          <w:iCs/>
        </w:rPr>
        <w:t>efecto Zimbardo</w:t>
      </w:r>
      <w:r w:rsidR="00937DC4" w:rsidRPr="007821B8">
        <w:rPr>
          <w:rFonts w:ascii="AGaramond" w:hAnsi="AGaramond" w:cs="Arial"/>
        </w:rPr>
        <w:t xml:space="preserve">, también conocido como el </w:t>
      </w:r>
      <w:r w:rsidR="00937DC4" w:rsidRPr="007821B8">
        <w:rPr>
          <w:rFonts w:ascii="AGaramond" w:hAnsi="AGaramond" w:cs="Arial"/>
          <w:i/>
          <w:iCs/>
        </w:rPr>
        <w:t>efecto Lucifer</w:t>
      </w:r>
      <w:r w:rsidR="00937DC4" w:rsidRPr="007821B8">
        <w:rPr>
          <w:rFonts w:ascii="AGaramond" w:hAnsi="AGaramond" w:cs="Arial"/>
        </w:rPr>
        <w:t xml:space="preserve"> </w:t>
      </w:r>
      <w:sdt>
        <w:sdtPr>
          <w:rPr>
            <w:rFonts w:ascii="AGaramond" w:hAnsi="AGaramond" w:cs="Arial"/>
          </w:rPr>
          <w:id w:val="-205802154"/>
          <w:citation/>
        </w:sdtPr>
        <w:sdtEndPr/>
        <w:sdtContent>
          <w:r w:rsidR="00937DC4" w:rsidRPr="007821B8">
            <w:rPr>
              <w:rFonts w:ascii="AGaramond" w:hAnsi="AGaramond" w:cs="Arial"/>
            </w:rPr>
            <w:fldChar w:fldCharType="begin"/>
          </w:r>
          <w:r w:rsidR="00937DC4" w:rsidRPr="007821B8">
            <w:rPr>
              <w:rFonts w:ascii="AGaramond" w:hAnsi="AGaramond" w:cs="Arial"/>
            </w:rPr>
            <w:instrText xml:space="preserve"> CITATION Phi08 \l 8202 </w:instrText>
          </w:r>
          <w:r w:rsidR="00937DC4" w:rsidRPr="007821B8">
            <w:rPr>
              <w:rFonts w:ascii="AGaramond" w:hAnsi="AGaramond" w:cs="Arial"/>
            </w:rPr>
            <w:fldChar w:fldCharType="separate"/>
          </w:r>
          <w:r w:rsidR="00937DC4" w:rsidRPr="007821B8">
            <w:rPr>
              <w:rFonts w:ascii="AGaramond" w:hAnsi="AGaramond" w:cs="Arial"/>
              <w:noProof/>
            </w:rPr>
            <w:t>(Zimbardo, 2008)</w:t>
          </w:r>
          <w:r w:rsidR="00937DC4" w:rsidRPr="007821B8">
            <w:rPr>
              <w:rFonts w:ascii="AGaramond" w:hAnsi="AGaramond" w:cs="Arial"/>
            </w:rPr>
            <w:fldChar w:fldCharType="end"/>
          </w:r>
        </w:sdtContent>
      </w:sdt>
      <w:r w:rsidR="00937DC4" w:rsidRPr="007821B8">
        <w:rPr>
          <w:rFonts w:ascii="AGaramond" w:hAnsi="AGaramond" w:cs="Arial"/>
        </w:rPr>
        <w:t xml:space="preserve">. Es decir, el manejo de cuantiosos recursos económicos provenientes de activos no producidos ejerce una influencia transformadora en la psicología del agente (administrador del Estado) debido al </w:t>
      </w:r>
      <w:r w:rsidR="00937DC4" w:rsidRPr="007821B8">
        <w:rPr>
          <w:rFonts w:ascii="AGaramond" w:hAnsi="AGaramond" w:cs="Arial"/>
          <w:i/>
          <w:iCs/>
        </w:rPr>
        <w:t>poder situacional</w:t>
      </w:r>
      <w:r w:rsidR="00937DC4" w:rsidRPr="007821B8">
        <w:rPr>
          <w:rFonts w:ascii="AGaramond" w:hAnsi="AGaramond" w:cs="Arial"/>
        </w:rPr>
        <w:t xml:space="preserve">, elemento que los modelos económicos no toman en consideración. Lo anterior significa que, en el plano subjetivo, cuando el agente está imbuido en la administración </w:t>
      </w:r>
      <w:proofErr w:type="spellStart"/>
      <w:r w:rsidR="00937DC4" w:rsidRPr="007821B8">
        <w:rPr>
          <w:rFonts w:ascii="AGaramond" w:hAnsi="AGaramond" w:cs="Arial"/>
        </w:rPr>
        <w:t>inmonitoreada</w:t>
      </w:r>
      <w:proofErr w:type="spellEnd"/>
      <w:r w:rsidR="00937DC4" w:rsidRPr="007821B8">
        <w:rPr>
          <w:rFonts w:ascii="AGaramond" w:hAnsi="AGaramond" w:cs="Arial"/>
        </w:rPr>
        <w:t xml:space="preserve"> de cuantiosos recursos, un impacto transformativo en la psicología de él y de todos aquellos que cercanamente le rodean, ocurre. El político que </w:t>
      </w:r>
      <w:r w:rsidR="00C72031">
        <w:rPr>
          <w:rFonts w:ascii="AGaramond" w:hAnsi="AGaramond" w:cs="Arial"/>
        </w:rPr>
        <w:t>“</w:t>
      </w:r>
      <w:r w:rsidR="00937DC4" w:rsidRPr="007821B8">
        <w:rPr>
          <w:rFonts w:ascii="AGaramond" w:hAnsi="AGaramond" w:cs="Arial"/>
        </w:rPr>
        <w:t>de buena fe</w:t>
      </w:r>
      <w:r w:rsidR="00C72031">
        <w:rPr>
          <w:rFonts w:ascii="AGaramond" w:hAnsi="AGaramond" w:cs="Arial"/>
        </w:rPr>
        <w:t>”</w:t>
      </w:r>
      <w:r w:rsidR="00937DC4" w:rsidRPr="007821B8">
        <w:rPr>
          <w:rFonts w:ascii="AGaramond" w:hAnsi="AGaramond" w:cs="Arial"/>
        </w:rPr>
        <w:t xml:space="preserve"> promete una administración proba y eficiente de la </w:t>
      </w:r>
      <w:proofErr w:type="spellStart"/>
      <w:r w:rsidR="00937DC4" w:rsidRPr="007821B8">
        <w:rPr>
          <w:rFonts w:ascii="AGaramond" w:hAnsi="AGaramond" w:cs="Arial"/>
        </w:rPr>
        <w:t>REPRN</w:t>
      </w:r>
      <w:proofErr w:type="spellEnd"/>
      <w:r w:rsidR="00937DC4" w:rsidRPr="007821B8">
        <w:rPr>
          <w:rFonts w:ascii="AGaramond" w:hAnsi="AGaramond" w:cs="Arial"/>
        </w:rPr>
        <w:t xml:space="preserve">, cambia completamente cuando obtiene el poder: por un lado, la </w:t>
      </w:r>
      <w:proofErr w:type="spellStart"/>
      <w:r w:rsidR="00937DC4" w:rsidRPr="007821B8">
        <w:rPr>
          <w:rFonts w:ascii="AGaramond" w:hAnsi="AGaramond" w:cs="Arial"/>
        </w:rPr>
        <w:t>REPRN</w:t>
      </w:r>
      <w:proofErr w:type="spellEnd"/>
      <w:r w:rsidR="00937DC4" w:rsidRPr="007821B8">
        <w:rPr>
          <w:rFonts w:ascii="AGaramond" w:hAnsi="AGaramond" w:cs="Arial"/>
        </w:rPr>
        <w:t xml:space="preserve">, al invertir la relación Estado-ciudadano, le permite ejercer control social a través de políticas redistributivas que garantizan su sobrevivencia política; por otro, el </w:t>
      </w:r>
      <w:proofErr w:type="spellStart"/>
      <w:r w:rsidR="00937DC4" w:rsidRPr="007821B8">
        <w:rPr>
          <w:rFonts w:ascii="AGaramond" w:hAnsi="AGaramond" w:cs="Arial"/>
          <w:i/>
          <w:iCs/>
        </w:rPr>
        <w:t>rent</w:t>
      </w:r>
      <w:r w:rsidR="00C72031">
        <w:rPr>
          <w:rFonts w:ascii="AGaramond" w:hAnsi="AGaramond" w:cs="Arial"/>
          <w:i/>
          <w:iCs/>
        </w:rPr>
        <w:t>-</w:t>
      </w:r>
      <w:r w:rsidR="00937DC4" w:rsidRPr="007821B8">
        <w:rPr>
          <w:rFonts w:ascii="AGaramond" w:hAnsi="AGaramond" w:cs="Arial"/>
          <w:i/>
          <w:iCs/>
        </w:rPr>
        <w:t>seeking</w:t>
      </w:r>
      <w:proofErr w:type="spellEnd"/>
      <w:r w:rsidR="00937DC4" w:rsidRPr="007821B8">
        <w:rPr>
          <w:rFonts w:ascii="AGaramond" w:hAnsi="AGaramond" w:cs="Arial"/>
          <w:i/>
          <w:iCs/>
        </w:rPr>
        <w:t xml:space="preserve"> </w:t>
      </w:r>
      <w:r w:rsidR="00937DC4" w:rsidRPr="007821B8">
        <w:rPr>
          <w:rFonts w:ascii="AGaramond" w:hAnsi="AGaramond" w:cs="Arial"/>
        </w:rPr>
        <w:t xml:space="preserve">y las acciones de los hogares dirigidas a capturar ingresos públicos retroalimentan y refuerzan el poder situacional, promoviendo la gestión dolosa del presupuesto y la asignación contraproducente de recursos económicos, en términos de crecimiento y bienestar. Como si fuese tan fácil </w:t>
      </w:r>
      <w:r w:rsidR="00C72031">
        <w:rPr>
          <w:rFonts w:ascii="AGaramond" w:hAnsi="AGaramond" w:cs="Arial"/>
        </w:rPr>
        <w:t>“s</w:t>
      </w:r>
      <w:r w:rsidR="00937DC4" w:rsidRPr="007821B8">
        <w:rPr>
          <w:rFonts w:ascii="AGaramond" w:hAnsi="AGaramond" w:cs="Arial"/>
        </w:rPr>
        <w:t>embrar el petróleo</w:t>
      </w:r>
      <w:r w:rsidR="00C72031">
        <w:rPr>
          <w:rFonts w:ascii="AGaramond" w:hAnsi="AGaramond" w:cs="Arial"/>
        </w:rPr>
        <w:t>”</w:t>
      </w:r>
      <w:r w:rsidR="00937DC4" w:rsidRPr="007821B8">
        <w:rPr>
          <w:rFonts w:ascii="AGaramond" w:hAnsi="AGaramond" w:cs="Arial"/>
        </w:rPr>
        <w:t xml:space="preserve">, </w:t>
      </w:r>
      <w:r w:rsidR="00937DC4" w:rsidRPr="00C72031">
        <w:rPr>
          <w:rFonts w:ascii="AGaramond" w:hAnsi="AGaramond" w:cs="Arial"/>
          <w:i/>
          <w:iCs/>
        </w:rPr>
        <w:t>i.</w:t>
      </w:r>
      <w:r w:rsidR="00C72031" w:rsidRPr="00C72031">
        <w:rPr>
          <w:rFonts w:ascii="AGaramond" w:hAnsi="AGaramond" w:cs="Arial"/>
          <w:i/>
          <w:iCs/>
        </w:rPr>
        <w:t xml:space="preserve"> </w:t>
      </w:r>
      <w:r w:rsidR="00937DC4" w:rsidRPr="00C72031">
        <w:rPr>
          <w:rFonts w:ascii="AGaramond" w:hAnsi="AGaramond" w:cs="Arial"/>
          <w:i/>
          <w:iCs/>
        </w:rPr>
        <w:t>e.</w:t>
      </w:r>
      <w:r w:rsidR="00937DC4" w:rsidRPr="007821B8">
        <w:rPr>
          <w:rFonts w:ascii="AGaramond" w:hAnsi="AGaramond" w:cs="Arial"/>
        </w:rPr>
        <w:t xml:space="preserve">, transformar la </w:t>
      </w:r>
      <w:proofErr w:type="spellStart"/>
      <w:r w:rsidR="00937DC4" w:rsidRPr="007821B8">
        <w:rPr>
          <w:rFonts w:ascii="AGaramond" w:hAnsi="AGaramond" w:cs="Arial"/>
        </w:rPr>
        <w:t>REPRN</w:t>
      </w:r>
      <w:proofErr w:type="spellEnd"/>
      <w:r w:rsidR="00937DC4" w:rsidRPr="007821B8">
        <w:rPr>
          <w:rFonts w:ascii="AGaramond" w:hAnsi="AGaramond" w:cs="Arial"/>
        </w:rPr>
        <w:t xml:space="preserve"> en capital físico o financiero, por ejemplo, </w:t>
      </w:r>
      <w:proofErr w:type="gramStart"/>
      <w:r w:rsidR="00937DC4" w:rsidRPr="007821B8">
        <w:rPr>
          <w:rFonts w:ascii="AGaramond" w:hAnsi="AGaramond" w:cs="Arial"/>
        </w:rPr>
        <w:t>de acuerdo al</w:t>
      </w:r>
      <w:proofErr w:type="gramEnd"/>
      <w:r w:rsidR="00937DC4" w:rsidRPr="007821B8">
        <w:rPr>
          <w:rFonts w:ascii="AGaramond" w:hAnsi="AGaramond" w:cs="Arial"/>
        </w:rPr>
        <w:t xml:space="preserve"> modelo de Solow-</w:t>
      </w:r>
      <w:proofErr w:type="spellStart"/>
      <w:r w:rsidR="00937DC4" w:rsidRPr="007821B8">
        <w:rPr>
          <w:rFonts w:ascii="AGaramond" w:hAnsi="AGaramond" w:cs="Arial"/>
        </w:rPr>
        <w:t>Hartwick</w:t>
      </w:r>
      <w:proofErr w:type="spellEnd"/>
      <w:r w:rsidR="00937DC4" w:rsidRPr="007821B8">
        <w:rPr>
          <w:rFonts w:ascii="AGaramond" w:hAnsi="AGaramond" w:cs="Arial"/>
        </w:rPr>
        <w:t xml:space="preserve">, o al modelo de la </w:t>
      </w:r>
      <w:r w:rsidR="00C72031" w:rsidRPr="007821B8">
        <w:rPr>
          <w:rFonts w:ascii="AGaramond" w:hAnsi="AGaramond" w:cs="Arial"/>
        </w:rPr>
        <w:t>hipótesis de la renta perma</w:t>
      </w:r>
      <w:r w:rsidR="00937DC4" w:rsidRPr="007821B8">
        <w:rPr>
          <w:rFonts w:ascii="AGaramond" w:hAnsi="AGaramond" w:cs="Arial"/>
        </w:rPr>
        <w:t>nente de Friedman…</w:t>
      </w:r>
      <w:r w:rsidR="00C72031">
        <w:rPr>
          <w:rFonts w:ascii="AGaramond" w:hAnsi="AGaramond" w:cs="Arial"/>
        </w:rPr>
        <w:t xml:space="preserve"> </w:t>
      </w:r>
      <w:r w:rsidR="00937DC4" w:rsidRPr="007821B8">
        <w:rPr>
          <w:rFonts w:ascii="AGaramond" w:hAnsi="AGaramond" w:cs="Arial"/>
        </w:rPr>
        <w:t>Tal visión ingenua, preferida por la mayoría de los economistas (de la cual se hacen eco los políticos de profesión), en ausencia del análisis de los problemas de agencia derivados del poder situacional, ha sido catastrófica en términos de crecimiento económico sostenido e inclusivo (</w:t>
      </w:r>
      <w:r w:rsidR="00937DC4" w:rsidRPr="00C72031">
        <w:rPr>
          <w:rFonts w:ascii="AGaramond" w:hAnsi="AGaramond" w:cs="Arial"/>
          <w:i/>
          <w:iCs/>
        </w:rPr>
        <w:t>i.</w:t>
      </w:r>
      <w:r w:rsidR="00C72031" w:rsidRPr="00C72031">
        <w:rPr>
          <w:rFonts w:ascii="AGaramond" w:hAnsi="AGaramond" w:cs="Arial"/>
          <w:i/>
          <w:iCs/>
        </w:rPr>
        <w:t xml:space="preserve"> </w:t>
      </w:r>
      <w:r w:rsidR="00937DC4" w:rsidRPr="00C72031">
        <w:rPr>
          <w:rFonts w:ascii="AGaramond" w:hAnsi="AGaramond" w:cs="Arial"/>
          <w:i/>
          <w:iCs/>
        </w:rPr>
        <w:t>e.</w:t>
      </w:r>
      <w:r w:rsidR="00937DC4" w:rsidRPr="007821B8">
        <w:rPr>
          <w:rFonts w:ascii="AGaramond" w:hAnsi="AGaramond" w:cs="Arial"/>
        </w:rPr>
        <w:t>, desarrollo o el alcance de la modernidad), y ha constituido la fuente primaria de la corrupción del Estado. Esta aseveración posee una correspondencia histórica inobjetable en Venezuela.</w:t>
      </w:r>
    </w:p>
  </w:footnote>
  <w:footnote w:id="12">
    <w:p w14:paraId="54861844" w14:textId="2FF83541" w:rsidR="00937DC4" w:rsidRPr="007821B8" w:rsidRDefault="00937DC4" w:rsidP="00801EA1">
      <w:pPr>
        <w:pStyle w:val="Textonotapie"/>
        <w:ind w:left="142" w:hanging="142"/>
        <w:jc w:val="both"/>
        <w:rPr>
          <w:rFonts w:ascii="AGaramond" w:hAnsi="AGaramond" w:cs="Arial"/>
        </w:rPr>
      </w:pPr>
      <w:r w:rsidRPr="007821B8">
        <w:rPr>
          <w:rStyle w:val="Refdenotaalpie"/>
          <w:rFonts w:ascii="AGaramond" w:hAnsi="AGaramond"/>
        </w:rPr>
        <w:footnoteRef/>
      </w:r>
      <w:r w:rsidRPr="007821B8">
        <w:rPr>
          <w:rFonts w:ascii="AGaramond" w:hAnsi="AGaramond"/>
        </w:rPr>
        <w:t xml:space="preserve"> </w:t>
      </w:r>
      <w:r w:rsidRPr="007821B8">
        <w:rPr>
          <w:rFonts w:ascii="AGaramond" w:hAnsi="AGaramond" w:cs="Arial"/>
        </w:rPr>
        <w:t xml:space="preserve">Los resultados presentados están teóricamente enmarcados dentro de la discusión que hace </w:t>
      </w:r>
      <w:r w:rsidRPr="007821B8">
        <w:rPr>
          <w:rFonts w:ascii="AGaramond" w:hAnsi="AGaramond" w:cs="Arial"/>
          <w:noProof/>
        </w:rPr>
        <w:t>Williamson (1993)</w:t>
      </w:r>
      <w:r w:rsidRPr="007821B8">
        <w:rPr>
          <w:rFonts w:ascii="AGaramond" w:hAnsi="AGaramond" w:cs="Arial"/>
        </w:rPr>
        <w:t xml:space="preserve"> sobre el oportunismo de los agentes en diferentes contextos. Claramente, nos referimos a la situación que enfrenta un empleado público con cargos relacionados a la administración de recursos financieros del Estado, dentro de un panorama personal de ingresos propios futuros ciertos o inciertos. La situación hipotética (juego) ayuda entender el fenómeno de la corrupción del Estado fuera de las consideraciones éticas.</w:t>
      </w:r>
    </w:p>
  </w:footnote>
  <w:footnote w:id="13">
    <w:p w14:paraId="375DD307" w14:textId="26F43ADA" w:rsidR="00937DC4" w:rsidRPr="007821B8" w:rsidRDefault="00937DC4" w:rsidP="00801EA1">
      <w:pPr>
        <w:tabs>
          <w:tab w:val="left" w:pos="142"/>
        </w:tabs>
        <w:ind w:left="142" w:hanging="142"/>
        <w:jc w:val="both"/>
        <w:rPr>
          <w:rFonts w:ascii="AGaramond" w:hAnsi="AGaramond" w:cs="Arial"/>
          <w:sz w:val="20"/>
          <w:szCs w:val="20"/>
          <w:lang w:val="es-BO"/>
        </w:rPr>
      </w:pPr>
      <w:r w:rsidRPr="007821B8">
        <w:rPr>
          <w:rStyle w:val="Refdenotaalpie"/>
          <w:rFonts w:ascii="AGaramond" w:hAnsi="AGaramond"/>
          <w:sz w:val="20"/>
          <w:szCs w:val="20"/>
        </w:rPr>
        <w:footnoteRef/>
      </w:r>
      <w:r w:rsidRPr="007821B8">
        <w:rPr>
          <w:rFonts w:ascii="AGaramond" w:hAnsi="AGaramond"/>
          <w:sz w:val="20"/>
          <w:szCs w:val="20"/>
        </w:rPr>
        <w:t xml:space="preserve"> </w:t>
      </w:r>
      <w:r w:rsidR="00C72031">
        <w:rPr>
          <w:rFonts w:ascii="AGaramond" w:hAnsi="AGaramond"/>
          <w:sz w:val="20"/>
          <w:szCs w:val="20"/>
        </w:rPr>
        <w:t>“</w:t>
      </w:r>
      <w:r w:rsidRPr="007821B8">
        <w:rPr>
          <w:rFonts w:ascii="AGaramond" w:hAnsi="AGaramond" w:cs="Arial"/>
          <w:sz w:val="20"/>
          <w:szCs w:val="20"/>
          <w:lang w:val="es-BO"/>
        </w:rPr>
        <w:t>Yo creo, en efecto, que en Venezuela los funcionarios y sus allegados en general roban para hablar de robo en un sentido popular y no el que tendría en la técnica jurídica, porque no tienen razones para no robar. En una sociedad donde el dinero es la clave de todos los ascensos y donde hay abundancia de oportunidades para meter la mano, s</w:t>
      </w:r>
      <w:r w:rsidR="00AC6E9E">
        <w:rPr>
          <w:rFonts w:ascii="AGaramond" w:hAnsi="AGaramond" w:cs="Arial"/>
          <w:sz w:val="20"/>
          <w:szCs w:val="20"/>
          <w:lang w:val="es-BO"/>
        </w:rPr>
        <w:t>o</w:t>
      </w:r>
      <w:r w:rsidRPr="007821B8">
        <w:rPr>
          <w:rFonts w:ascii="AGaramond" w:hAnsi="AGaramond" w:cs="Arial"/>
          <w:sz w:val="20"/>
          <w:szCs w:val="20"/>
          <w:lang w:val="es-BO"/>
        </w:rPr>
        <w:t>lo una minoría con sentido moral, en cierto modo excepcional, no se siente atraída por la tentación de aprovecharse, cuando no hay en realidad fuerzas que se lo impidan</w:t>
      </w:r>
      <w:r w:rsidR="00C72031">
        <w:rPr>
          <w:rFonts w:ascii="AGaramond" w:hAnsi="AGaramond" w:cs="Arial"/>
          <w:sz w:val="20"/>
          <w:szCs w:val="20"/>
          <w:lang w:val="es-BO"/>
        </w:rPr>
        <w:t>”</w:t>
      </w:r>
      <w:r w:rsidRPr="007821B8">
        <w:rPr>
          <w:rFonts w:ascii="AGaramond" w:hAnsi="AGaramond" w:cs="Arial"/>
          <w:sz w:val="20"/>
          <w:szCs w:val="20"/>
          <w:lang w:val="es-BO"/>
        </w:rPr>
        <w:t xml:space="preserve"> </w:t>
      </w:r>
      <w:r w:rsidR="00C72031">
        <w:rPr>
          <w:rFonts w:ascii="AGaramond" w:hAnsi="AGaramond" w:cs="Arial"/>
          <w:sz w:val="20"/>
          <w:szCs w:val="20"/>
          <w:lang w:val="es-BO"/>
        </w:rPr>
        <w:t>(</w:t>
      </w:r>
      <w:r w:rsidRPr="007821B8">
        <w:rPr>
          <w:rFonts w:ascii="AGaramond" w:hAnsi="AGaramond" w:cs="Arial"/>
          <w:sz w:val="20"/>
          <w:szCs w:val="20"/>
          <w:lang w:val="es-BO"/>
        </w:rPr>
        <w:t xml:space="preserve">Declaraciones del presidente de Acción Democrática, Gonzalo Barrios, diario </w:t>
      </w:r>
      <w:r w:rsidRPr="00C72031">
        <w:rPr>
          <w:rFonts w:ascii="AGaramond" w:hAnsi="AGaramond" w:cs="Arial"/>
          <w:i/>
          <w:iCs/>
          <w:sz w:val="20"/>
          <w:szCs w:val="20"/>
          <w:lang w:val="es-BO"/>
        </w:rPr>
        <w:t>El Nacional</w:t>
      </w:r>
      <w:r w:rsidRPr="007821B8">
        <w:rPr>
          <w:rFonts w:ascii="AGaramond" w:hAnsi="AGaramond" w:cs="Arial"/>
          <w:sz w:val="20"/>
          <w:szCs w:val="20"/>
          <w:lang w:val="es-BO"/>
        </w:rPr>
        <w:t xml:space="preserve">, Venezuela, 10 de diciembre de 1977 </w:t>
      </w:r>
      <w:r w:rsidR="00C72031">
        <w:rPr>
          <w:rFonts w:ascii="AGaramond" w:hAnsi="AGaramond" w:cs="Arial"/>
          <w:noProof/>
          <w:sz w:val="20"/>
          <w:szCs w:val="20"/>
        </w:rPr>
        <w:t>[</w:t>
      </w:r>
      <w:r w:rsidRPr="007821B8">
        <w:rPr>
          <w:rFonts w:ascii="AGaramond" w:hAnsi="AGaramond" w:cs="Arial"/>
          <w:noProof/>
          <w:sz w:val="20"/>
          <w:szCs w:val="20"/>
        </w:rPr>
        <w:t>Polar, 2021</w:t>
      </w:r>
      <w:r w:rsidR="00C72031">
        <w:rPr>
          <w:rFonts w:ascii="AGaramond" w:hAnsi="AGaramond" w:cs="Arial"/>
          <w:noProof/>
          <w:sz w:val="20"/>
          <w:szCs w:val="20"/>
        </w:rPr>
        <w:t>])</w:t>
      </w:r>
      <w:r w:rsidRPr="007821B8">
        <w:rPr>
          <w:rFonts w:ascii="AGaramond" w:hAnsi="AGaramond" w:cs="Arial"/>
          <w:sz w:val="20"/>
          <w:szCs w:val="20"/>
          <w:lang w:val="es-BO"/>
        </w:rPr>
        <w:t>.</w:t>
      </w:r>
    </w:p>
  </w:footnote>
  <w:footnote w:id="14">
    <w:p w14:paraId="257583B8" w14:textId="34796FBE" w:rsidR="00937DC4" w:rsidRPr="007821B8" w:rsidRDefault="00937DC4" w:rsidP="00801EA1">
      <w:pPr>
        <w:pStyle w:val="Textonotapie"/>
        <w:tabs>
          <w:tab w:val="left" w:pos="142"/>
        </w:tabs>
        <w:ind w:left="142" w:hanging="142"/>
        <w:jc w:val="both"/>
        <w:rPr>
          <w:rFonts w:ascii="AGaramond" w:hAnsi="AGaramond" w:cs="Arial"/>
        </w:rPr>
      </w:pPr>
      <w:r w:rsidRPr="007821B8">
        <w:rPr>
          <w:rStyle w:val="Refdenotaalpie"/>
          <w:rFonts w:ascii="AGaramond" w:hAnsi="AGaramond"/>
        </w:rPr>
        <w:footnoteRef/>
      </w:r>
      <w:r w:rsidRPr="007821B8">
        <w:rPr>
          <w:rFonts w:ascii="AGaramond" w:hAnsi="AGaramond"/>
        </w:rPr>
        <w:t xml:space="preserve"> </w:t>
      </w:r>
      <w:r w:rsidRPr="007821B8">
        <w:rPr>
          <w:rFonts w:ascii="AGaramond" w:hAnsi="AGaramond" w:cs="Arial"/>
        </w:rPr>
        <w:t>La endogeneidad institucional no es un argumento a favor de la explicación cultural de la corrupción. La endogeneidad, más bien, pone énfasis en el rol del liderazgo intelectual para advertir los riesgos concomitantes a las condiciones sociopolíticas iniciales y las especificidades económicas de una nación, y su influencia en la gestión pública (</w:t>
      </w:r>
      <w:r w:rsidR="00751E41" w:rsidRPr="00751E41">
        <w:rPr>
          <w:rFonts w:ascii="AGaramond" w:hAnsi="AGaramond" w:cs="Arial"/>
          <w:i/>
        </w:rPr>
        <w:t>cfr</w:t>
      </w:r>
      <w:r w:rsidRPr="007821B8">
        <w:rPr>
          <w:rFonts w:ascii="AGaramond" w:hAnsi="AGaramond" w:cs="Arial"/>
        </w:rPr>
        <w:t xml:space="preserve">. </w:t>
      </w:r>
      <w:r w:rsidR="00A64BDD" w:rsidRPr="00A64BDD">
        <w:rPr>
          <w:rFonts w:ascii="AGaramond" w:hAnsi="AGaramond" w:cs="Arial"/>
          <w:noProof/>
        </w:rPr>
        <w:t>Acemo</w:t>
      </w:r>
      <w:r w:rsidR="00A64BDD" w:rsidRPr="00A64BDD">
        <w:rPr>
          <w:rFonts w:ascii="Cambria" w:hAnsi="Cambria" w:cs="Cambria"/>
          <w:noProof/>
        </w:rPr>
        <w:t>ğ</w:t>
      </w:r>
      <w:r w:rsidR="00A64BDD" w:rsidRPr="00A64BDD">
        <w:rPr>
          <w:rFonts w:ascii="AGaramond" w:hAnsi="AGaramond" w:cs="Arial"/>
          <w:noProof/>
        </w:rPr>
        <w:t>lu</w:t>
      </w:r>
      <w:r w:rsidRPr="007821B8">
        <w:rPr>
          <w:rFonts w:ascii="AGaramond" w:hAnsi="AGaramond" w:cs="Arial"/>
          <w:noProof/>
        </w:rPr>
        <w:t xml:space="preserve">, Johnson </w:t>
      </w:r>
      <w:r w:rsidR="00A64BDD">
        <w:rPr>
          <w:rFonts w:ascii="AGaramond" w:hAnsi="AGaramond" w:cs="Arial"/>
          <w:noProof/>
        </w:rPr>
        <w:t>y</w:t>
      </w:r>
      <w:r w:rsidRPr="007821B8">
        <w:rPr>
          <w:rFonts w:ascii="AGaramond" w:hAnsi="AGaramond" w:cs="Arial"/>
          <w:noProof/>
        </w:rPr>
        <w:t xml:space="preserve"> Robinson, 2005)</w:t>
      </w:r>
      <w:r w:rsidRPr="007821B8">
        <w:rPr>
          <w:rFonts w:ascii="AGaramond" w:hAnsi="AGaramond" w:cs="Arial"/>
        </w:rPr>
        <w:t xml:space="preserve">. Por tanto, los diseños de mecanismo son imperativos en presencia de la </w:t>
      </w:r>
      <w:proofErr w:type="spellStart"/>
      <w:r w:rsidRPr="007821B8">
        <w:rPr>
          <w:rFonts w:ascii="AGaramond" w:hAnsi="AGaramond" w:cs="Arial"/>
        </w:rPr>
        <w:t>REPRN</w:t>
      </w:r>
      <w:proofErr w:type="spellEnd"/>
      <w:r w:rsidRPr="007821B8">
        <w:rPr>
          <w:rFonts w:ascii="AGaramond" w:hAnsi="AGaramond" w:cs="Arial"/>
        </w:rPr>
        <w:t>.</w:t>
      </w:r>
    </w:p>
  </w:footnote>
  <w:footnote w:id="15">
    <w:p w14:paraId="5D248CEC" w14:textId="7CC46F24" w:rsidR="00937DC4" w:rsidRPr="007821B8" w:rsidRDefault="00937DC4" w:rsidP="00801EA1">
      <w:pPr>
        <w:pStyle w:val="Textonotapie"/>
        <w:ind w:left="142" w:hanging="142"/>
        <w:jc w:val="both"/>
        <w:rPr>
          <w:rFonts w:ascii="AGaramond" w:hAnsi="AGaramond" w:cs="Arial"/>
        </w:rPr>
      </w:pPr>
      <w:r w:rsidRPr="007821B8">
        <w:rPr>
          <w:rStyle w:val="Refdenotaalpie"/>
          <w:rFonts w:ascii="AGaramond" w:hAnsi="AGaramond" w:cs="Arial"/>
        </w:rPr>
        <w:footnoteRef/>
      </w:r>
      <w:r w:rsidRPr="007821B8">
        <w:rPr>
          <w:rFonts w:ascii="AGaramond" w:hAnsi="AGaramond" w:cs="Arial"/>
        </w:rPr>
        <w:t xml:space="preserve"> Si el lado derecho de la inecuación 1 es muy bajo, ¡es muy difícil encontrar una tasa de descuento lo suficientemente pequeña que permita cumplir con la restricción de la desigualdad! En efecto, en el lado izquierdo de la inecuación intervienen aspectos subjetivos, i.e., valores normativos, sobre los cuales los hacedores de políticas públicas no pueden influir.</w:t>
      </w:r>
    </w:p>
  </w:footnote>
  <w:footnote w:id="16">
    <w:p w14:paraId="3762A31B" w14:textId="16E8B8E2" w:rsidR="00937DC4" w:rsidRPr="007821B8" w:rsidRDefault="00937DC4" w:rsidP="00801EA1">
      <w:pPr>
        <w:pStyle w:val="Textonotapie"/>
        <w:jc w:val="both"/>
        <w:rPr>
          <w:rFonts w:ascii="AGaramond" w:hAnsi="AGaramond"/>
        </w:rPr>
      </w:pPr>
      <w:r w:rsidRPr="007821B8">
        <w:rPr>
          <w:rStyle w:val="Refdenotaalpie"/>
          <w:rFonts w:ascii="AGaramond" w:hAnsi="AGaramond" w:cs="Arial"/>
        </w:rPr>
        <w:footnoteRef/>
      </w:r>
      <w:r w:rsidRPr="007821B8">
        <w:rPr>
          <w:rFonts w:ascii="AGaramond" w:hAnsi="AGaramond" w:cs="Arial"/>
        </w:rPr>
        <w:t xml:space="preserve"> Trivialmente</w:t>
      </w:r>
      <w:r w:rsidRPr="007821B8">
        <w:rPr>
          <w:rFonts w:ascii="AGaramond" w:hAnsi="AGaramond"/>
        </w:rPr>
        <w:t xml:space="preserve">, </w:t>
      </w:r>
      <m:oMath>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I+</m:t>
                </m:r>
                <m:sSup>
                  <m:sSupPr>
                    <m:ctrlPr>
                      <w:rPr>
                        <w:rFonts w:ascii="Cambria Math" w:hAnsi="Cambria Math"/>
                        <w:i/>
                      </w:rPr>
                    </m:ctrlPr>
                  </m:sSupPr>
                  <m:e>
                    <m:r>
                      <w:rPr>
                        <w:rFonts w:ascii="Cambria Math" w:hAnsi="Cambria Math"/>
                      </w:rPr>
                      <m:t>P</m:t>
                    </m:r>
                  </m:e>
                  <m:sup>
                    <m:r>
                      <w:rPr>
                        <w:rFonts w:ascii="Cambria Math" w:hAnsi="Cambria Math"/>
                      </w:rPr>
                      <m:t>γ</m:t>
                    </m:r>
                  </m:sup>
                </m:sSup>
              </m:e>
            </m:d>
          </m:num>
          <m:den>
            <m:sSup>
              <m:sSupPr>
                <m:ctrlPr>
                  <w:rPr>
                    <w:rFonts w:ascii="Cambria Math" w:hAnsi="Cambria Math"/>
                    <w:i/>
                  </w:rPr>
                </m:ctrlPr>
              </m:sSupPr>
              <m:e>
                <m:d>
                  <m:dPr>
                    <m:begChr m:val="["/>
                    <m:endChr m:val="]"/>
                    <m:ctrlPr>
                      <w:rPr>
                        <w:rFonts w:ascii="Cambria Math" w:hAnsi="Cambria Math"/>
                        <w:i/>
                      </w:rPr>
                    </m:ctrlPr>
                  </m:dPr>
                  <m:e>
                    <m:d>
                      <m:dPr>
                        <m:ctrlPr>
                          <w:rPr>
                            <w:rFonts w:ascii="Cambria Math" w:hAnsi="Cambria Math"/>
                            <w:i/>
                          </w:rPr>
                        </m:ctrlPr>
                      </m:dPr>
                      <m:e>
                        <w:bookmarkStart w:id="6" w:name="_Hlk78208281"/>
                        <m:r>
                          <w:rPr>
                            <w:rFonts w:ascii="Cambria Math" w:hAnsi="Cambria Math"/>
                          </w:rPr>
                          <m:t>M-</m:t>
                        </m:r>
                        <m:sSup>
                          <m:sSupPr>
                            <m:ctrlPr>
                              <w:rPr>
                                <w:rFonts w:ascii="Cambria Math" w:hAnsi="Cambria Math"/>
                                <w:i/>
                              </w:rPr>
                            </m:ctrlPr>
                          </m:sSupPr>
                          <m:e>
                            <m:r>
                              <w:rPr>
                                <w:rFonts w:ascii="Cambria Math" w:hAnsi="Cambria Math"/>
                              </w:rPr>
                              <m:t>P</m:t>
                            </m:r>
                          </m:e>
                          <m:sup>
                            <m:r>
                              <w:rPr>
                                <w:rFonts w:ascii="Cambria Math" w:hAnsi="Cambria Math"/>
                              </w:rPr>
                              <m:t>γ</m:t>
                            </m:r>
                          </m:sup>
                        </m:sSup>
                        <w:bookmarkEnd w:id="6"/>
                      </m:e>
                    </m:d>
                    <m:r>
                      <w:rPr>
                        <w:rFonts w:ascii="Cambria Math" w:hAnsi="Cambria Math"/>
                      </w:rPr>
                      <m:t>-I</m:t>
                    </m:r>
                  </m:e>
                </m:d>
              </m:e>
              <m:sup>
                <m:r>
                  <w:rPr>
                    <w:rFonts w:ascii="Cambria Math" w:hAnsi="Cambria Math"/>
                  </w:rPr>
                  <m:t>2</m:t>
                </m:r>
              </m:sup>
            </m:sSup>
          </m:den>
        </m:f>
        <m:r>
          <w:rPr>
            <w:rFonts w:ascii="Cambria Math" w:eastAsiaTheme="minorEastAsia" w:hAnsi="Cambria Math"/>
          </w:rPr>
          <m:t>&lt;0</m:t>
        </m:r>
      </m:oMath>
      <w:r w:rsidRPr="007821B8">
        <w:rPr>
          <w:rFonts w:ascii="AGaramond" w:eastAsiaTheme="minorEastAsia" w:hAnsi="AGaramond"/>
        </w:rPr>
        <w:t>.</w:t>
      </w:r>
    </w:p>
  </w:footnote>
  <w:footnote w:id="17">
    <w:p w14:paraId="5DA2A2E4" w14:textId="5A633E03" w:rsidR="00937DC4" w:rsidRPr="007821B8" w:rsidRDefault="00937DC4" w:rsidP="00AC2EE3">
      <w:pPr>
        <w:pStyle w:val="Textonotapie"/>
        <w:ind w:left="142" w:hanging="142"/>
        <w:jc w:val="both"/>
        <w:rPr>
          <w:rFonts w:ascii="AGaramond" w:hAnsi="AGaramond"/>
        </w:rPr>
      </w:pPr>
      <w:r w:rsidRPr="007821B8">
        <w:rPr>
          <w:rStyle w:val="Refdenotaalpie"/>
          <w:rFonts w:ascii="AGaramond" w:hAnsi="AGaramond" w:cs="Arial"/>
        </w:rPr>
        <w:footnoteRef/>
      </w:r>
      <w:r w:rsidRPr="007821B8">
        <w:rPr>
          <w:rFonts w:ascii="AGaramond" w:hAnsi="AGaramond" w:cs="Arial"/>
        </w:rPr>
        <w:t xml:space="preserve"> Es evidente que los diseños de mecanismos deben formularse e implementarse </w:t>
      </w:r>
      <w:r w:rsidRPr="007821B8">
        <w:rPr>
          <w:rFonts w:ascii="AGaramond" w:hAnsi="AGaramond" w:cs="Arial"/>
          <w:i/>
          <w:iCs/>
        </w:rPr>
        <w:t>ex ante</w:t>
      </w:r>
      <w:r w:rsidRPr="007821B8">
        <w:rPr>
          <w:rFonts w:ascii="AGaramond" w:hAnsi="AGaramond" w:cs="Arial"/>
        </w:rPr>
        <w:t xml:space="preserve"> a la ocurrencia de incrementos ingentes en los ingresos fiscales provenientes de activos no producidos. De lo contrario, los hacedores de políticas públicas no tendrían incentivos para llevar a cabo tales arreglos institucionales. Sin embargo, la sociedad puede decidir neutralizar los efectos del aumento de los ingresos fiscales proveniente de los recursos naturales mediante reglas de asignación, por ejemplo, mediante el modelo </w:t>
      </w:r>
      <w:r w:rsidR="00AC2EE3">
        <w:rPr>
          <w:rFonts w:ascii="AGaramond" w:hAnsi="AGaramond" w:cs="Arial"/>
        </w:rPr>
        <w:t>“</w:t>
      </w:r>
      <w:r w:rsidRPr="007821B8">
        <w:rPr>
          <w:rFonts w:ascii="AGaramond" w:hAnsi="AGaramond" w:cs="Arial"/>
        </w:rPr>
        <w:t>Ave en Mano</w:t>
      </w:r>
      <w:r w:rsidR="00AC2EE3">
        <w:rPr>
          <w:rFonts w:ascii="AGaramond" w:hAnsi="AGaramond" w:cs="Arial"/>
        </w:rPr>
        <w:t>”</w:t>
      </w:r>
      <w:r w:rsidRPr="007821B8">
        <w:rPr>
          <w:rFonts w:ascii="AGaramond" w:hAnsi="AGaramond" w:cs="Arial"/>
        </w:rPr>
        <w:t xml:space="preserve"> (</w:t>
      </w:r>
      <w:r w:rsidR="00AC2EE3">
        <w:rPr>
          <w:rFonts w:ascii="AGaramond" w:hAnsi="AGaramond" w:cs="Arial"/>
        </w:rPr>
        <w:t>p</w:t>
      </w:r>
      <w:r w:rsidRPr="007821B8">
        <w:rPr>
          <w:rFonts w:ascii="AGaramond" w:hAnsi="AGaramond" w:cs="Arial"/>
        </w:rPr>
        <w:t>.</w:t>
      </w:r>
      <w:r w:rsidR="00AC2EE3">
        <w:rPr>
          <w:rFonts w:ascii="AGaramond" w:hAnsi="AGaramond" w:cs="Arial"/>
        </w:rPr>
        <w:t xml:space="preserve"> ej</w:t>
      </w:r>
      <w:r w:rsidRPr="007821B8">
        <w:rPr>
          <w:rFonts w:ascii="AGaramond" w:hAnsi="AGaramond" w:cs="Arial"/>
        </w:rPr>
        <w:t xml:space="preserve">., Noruega), el modelo de la </w:t>
      </w:r>
      <w:r w:rsidR="00AC2EE3" w:rsidRPr="007821B8">
        <w:rPr>
          <w:rFonts w:ascii="AGaramond" w:hAnsi="AGaramond" w:cs="Arial"/>
        </w:rPr>
        <w:t>hipótesis de la renta permanente</w:t>
      </w:r>
      <w:r w:rsidRPr="007821B8">
        <w:rPr>
          <w:rFonts w:ascii="AGaramond" w:hAnsi="AGaramond" w:cs="Arial"/>
        </w:rPr>
        <w:t>, (</w:t>
      </w:r>
      <w:proofErr w:type="spellStart"/>
      <w:r w:rsidRPr="007821B8">
        <w:rPr>
          <w:rFonts w:ascii="AGaramond" w:hAnsi="AGaramond" w:cs="Arial"/>
        </w:rPr>
        <w:t>PIH</w:t>
      </w:r>
      <w:proofErr w:type="spellEnd"/>
      <w:r w:rsidRPr="007821B8">
        <w:rPr>
          <w:rFonts w:ascii="AGaramond" w:hAnsi="AGaramond" w:cs="Arial"/>
        </w:rPr>
        <w:t>), de Friedman o mediante la adjudicación directa de los ingresos fiscales extraordinarios a sus ciudadanos (</w:t>
      </w:r>
      <w:r w:rsidR="00AC2EE3">
        <w:rPr>
          <w:rFonts w:ascii="AGaramond" w:hAnsi="AGaramond" w:cs="Arial"/>
        </w:rPr>
        <w:t>p. ej</w:t>
      </w:r>
      <w:r w:rsidRPr="007821B8">
        <w:rPr>
          <w:rFonts w:ascii="AGaramond" w:hAnsi="AGaramond" w:cs="Arial"/>
        </w:rPr>
        <w:t xml:space="preserve">. Alaska). Para la regla </w:t>
      </w:r>
      <w:proofErr w:type="spellStart"/>
      <w:r w:rsidRPr="007821B8">
        <w:rPr>
          <w:rFonts w:ascii="AGaramond" w:hAnsi="AGaramond" w:cs="Arial"/>
        </w:rPr>
        <w:t>PIH</w:t>
      </w:r>
      <w:proofErr w:type="spellEnd"/>
      <w:r w:rsidRPr="007821B8">
        <w:rPr>
          <w:rFonts w:ascii="AGaramond" w:hAnsi="AGaramond" w:cs="Arial"/>
        </w:rPr>
        <w:t xml:space="preserve">, </w:t>
      </w:r>
      <w:r w:rsidR="00751E41" w:rsidRPr="00751E41">
        <w:rPr>
          <w:rFonts w:ascii="AGaramond" w:hAnsi="AGaramond" w:cs="Arial"/>
          <w:i/>
        </w:rPr>
        <w:t>cfr</w:t>
      </w:r>
      <w:r w:rsidRPr="007821B8">
        <w:rPr>
          <w:rFonts w:ascii="AGaramond" w:hAnsi="AGaramond" w:cs="Arial"/>
        </w:rPr>
        <w:t xml:space="preserve">. </w:t>
      </w:r>
      <w:r w:rsidRPr="007821B8">
        <w:rPr>
          <w:rFonts w:ascii="AGaramond" w:hAnsi="AGaramond" w:cs="Arial"/>
          <w:noProof/>
        </w:rPr>
        <w:t xml:space="preserve">Ghura </w:t>
      </w:r>
      <w:r w:rsidRPr="00AC2EE3">
        <w:rPr>
          <w:rFonts w:ascii="AGaramond" w:hAnsi="AGaramond" w:cs="Arial"/>
          <w:i/>
          <w:iCs/>
          <w:noProof/>
        </w:rPr>
        <w:t>et al</w:t>
      </w:r>
      <w:r w:rsidRPr="007821B8">
        <w:rPr>
          <w:rFonts w:ascii="AGaramond" w:hAnsi="AGaramond" w:cs="Arial"/>
          <w:noProof/>
        </w:rPr>
        <w:t>, (2012). En Venezuela, en la década de los setenta, el economista Juan Pablo Pérez Alfonso argumentó a favor de neutralizar el aumento súbito de ingresos fiscales, sin éxito. Se enfrentó a unos hacedores de política que heredaron una institucionalidad procíclica del gasto, a una población con una alta tasa de impaciencia, y a una intelectualidad imbuida de pensamientos estructuralistas antimercado.</w:t>
      </w:r>
    </w:p>
  </w:footnote>
  <w:footnote w:id="18">
    <w:p w14:paraId="434FE15D" w14:textId="6B31D5C3" w:rsidR="00937DC4" w:rsidRPr="007821B8" w:rsidRDefault="00937DC4" w:rsidP="00801EA1">
      <w:pPr>
        <w:pStyle w:val="Textonotapie"/>
        <w:ind w:left="142" w:hanging="142"/>
        <w:jc w:val="both"/>
        <w:rPr>
          <w:rFonts w:ascii="AGaramond" w:hAnsi="AGaramond" w:cs="Arial"/>
        </w:rPr>
      </w:pPr>
      <w:r w:rsidRPr="007821B8">
        <w:rPr>
          <w:rStyle w:val="Refdenotaalpie"/>
          <w:rFonts w:ascii="AGaramond" w:hAnsi="AGaramond" w:cs="Arial"/>
        </w:rPr>
        <w:footnoteRef/>
      </w:r>
      <w:r w:rsidRPr="007821B8">
        <w:rPr>
          <w:rFonts w:ascii="AGaramond" w:hAnsi="AGaramond" w:cs="Arial"/>
        </w:rPr>
        <w:t xml:space="preserve"> Para una discusión relativa a los costos y viabilidad política del redimensionamiento del Estado, </w:t>
      </w:r>
      <w:r w:rsidR="00AC2EE3">
        <w:rPr>
          <w:rFonts w:ascii="AGaramond" w:hAnsi="AGaramond" w:cs="Arial"/>
        </w:rPr>
        <w:t>(</w:t>
      </w:r>
      <w:r w:rsidR="00751E41" w:rsidRPr="00751E41">
        <w:rPr>
          <w:rFonts w:ascii="AGaramond" w:hAnsi="AGaramond" w:cs="Arial"/>
          <w:i/>
        </w:rPr>
        <w:t>cfr</w:t>
      </w:r>
      <w:r w:rsidRPr="007821B8">
        <w:rPr>
          <w:rFonts w:ascii="AGaramond" w:hAnsi="AGaramond" w:cs="Arial"/>
        </w:rPr>
        <w:t xml:space="preserve">. </w:t>
      </w:r>
      <w:r w:rsidRPr="007821B8">
        <w:rPr>
          <w:rFonts w:ascii="AGaramond" w:hAnsi="AGaramond" w:cs="Arial"/>
          <w:noProof/>
        </w:rPr>
        <w:t>Hernández, 2020).</w:t>
      </w:r>
    </w:p>
  </w:footnote>
  <w:footnote w:id="19">
    <w:p w14:paraId="6A859323" w14:textId="77777777" w:rsidR="00937DC4" w:rsidRPr="007821B8" w:rsidRDefault="00937DC4" w:rsidP="00801EA1">
      <w:pPr>
        <w:pStyle w:val="Textonotapie"/>
        <w:jc w:val="both"/>
        <w:rPr>
          <w:rFonts w:ascii="AGaramond" w:eastAsiaTheme="minorEastAsia" w:hAnsi="AGaramond"/>
        </w:rPr>
      </w:pPr>
      <w:r w:rsidRPr="007821B8">
        <w:rPr>
          <w:rStyle w:val="Refdenotaalpie"/>
          <w:rFonts w:ascii="AGaramond" w:hAnsi="AGaramond"/>
        </w:rPr>
        <w:footnoteRef/>
      </w:r>
      <w:r w:rsidRPr="007821B8">
        <w:rPr>
          <w:rFonts w:ascii="AGaramond" w:hAnsi="AGaramond"/>
        </w:rPr>
        <w:t xml:space="preserve"> </w:t>
      </w:r>
      <m:oMath>
        <m:sSub>
          <m:sSubPr>
            <m:ctrlPr>
              <w:rPr>
                <w:rFonts w:ascii="Cambria Math" w:hAnsi="Cambria Math" w:cs="Arial"/>
                <w:i/>
              </w:rPr>
            </m:ctrlPr>
          </m:sSubPr>
          <m:e>
            <m:r>
              <w:rPr>
                <w:rFonts w:ascii="Cambria Math" w:hAnsi="Cambria Math" w:cs="Arial"/>
              </w:rPr>
              <m:t>r</m:t>
            </m:r>
          </m:e>
          <m:sub>
            <m:r>
              <w:rPr>
                <w:rFonts w:ascii="Cambria Math" w:hAnsi="Cambria Math" w:cs="Arial"/>
              </w:rPr>
              <m:t>I</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d>
              <m:dPr>
                <m:begChr m:val="["/>
                <m:endChr m:val="]"/>
                <m:ctrlPr>
                  <w:rPr>
                    <w:rFonts w:ascii="Cambria Math" w:hAnsi="Cambria Math" w:cs="Arial"/>
                    <w:i/>
                  </w:rPr>
                </m:ctrlPr>
              </m:dPr>
              <m:e>
                <m:d>
                  <m:dPr>
                    <m:ctrlPr>
                      <w:rPr>
                        <w:rFonts w:ascii="Cambria Math" w:hAnsi="Cambria Math" w:cs="Arial"/>
                        <w:i/>
                      </w:rPr>
                    </m:ctrlPr>
                  </m:dPr>
                  <m:e>
                    <m:r>
                      <w:rPr>
                        <w:rFonts w:ascii="Cambria Math" w:hAnsi="Cambria Math" w:cs="Arial"/>
                      </w:rPr>
                      <m:t>M-</m:t>
                    </m:r>
                    <m:sSup>
                      <m:sSupPr>
                        <m:ctrlPr>
                          <w:rPr>
                            <w:rFonts w:ascii="Cambria Math" w:hAnsi="Cambria Math" w:cs="Arial"/>
                            <w:i/>
                          </w:rPr>
                        </m:ctrlPr>
                      </m:sSupPr>
                      <m:e>
                        <m:r>
                          <w:rPr>
                            <w:rFonts w:ascii="Cambria Math" w:hAnsi="Cambria Math" w:cs="Arial"/>
                          </w:rPr>
                          <m:t>P</m:t>
                        </m:r>
                      </m:e>
                      <m:sup>
                        <m:r>
                          <w:rPr>
                            <w:rFonts w:ascii="Cambria Math" w:hAnsi="Cambria Math" w:cs="Arial"/>
                          </w:rPr>
                          <m:t>γ</m:t>
                        </m:r>
                      </m:sup>
                    </m:sSup>
                  </m:e>
                </m:d>
                <m:r>
                  <w:rPr>
                    <w:rFonts w:ascii="Cambria Math" w:hAnsi="Cambria Math" w:cs="Arial"/>
                  </w:rPr>
                  <m:t>-I</m:t>
                </m:r>
              </m:e>
            </m:d>
          </m:den>
        </m:f>
        <m:r>
          <w:rPr>
            <w:rFonts w:ascii="Cambria Math" w:hAnsi="Cambria Math" w:cs="Arial"/>
          </w:rPr>
          <m:t>+</m:t>
        </m:r>
        <m:f>
          <m:fPr>
            <m:ctrlPr>
              <w:rPr>
                <w:rFonts w:ascii="Cambria Math" w:hAnsi="Cambria Math" w:cs="Arial"/>
                <w:i/>
              </w:rPr>
            </m:ctrlPr>
          </m:fPr>
          <m:num>
            <m:r>
              <w:rPr>
                <w:rFonts w:ascii="Cambria Math" w:hAnsi="Cambria Math" w:cs="Arial"/>
              </w:rPr>
              <m:t>I+</m:t>
            </m:r>
            <m:sSup>
              <m:sSupPr>
                <m:ctrlPr>
                  <w:rPr>
                    <w:rFonts w:ascii="Cambria Math" w:hAnsi="Cambria Math" w:cs="Arial"/>
                    <w:i/>
                  </w:rPr>
                </m:ctrlPr>
              </m:sSupPr>
              <m:e>
                <m:r>
                  <w:rPr>
                    <w:rFonts w:ascii="Cambria Math" w:hAnsi="Cambria Math" w:cs="Arial"/>
                  </w:rPr>
                  <m:t>P</m:t>
                </m:r>
              </m:e>
              <m:sup>
                <m:r>
                  <w:rPr>
                    <w:rFonts w:ascii="Cambria Math" w:hAnsi="Cambria Math" w:cs="Arial"/>
                  </w:rPr>
                  <m:t>γ</m:t>
                </m:r>
              </m:sup>
            </m:sSup>
          </m:num>
          <m:den>
            <m:sSup>
              <m:sSupPr>
                <m:ctrlPr>
                  <w:rPr>
                    <w:rFonts w:ascii="Cambria Math" w:hAnsi="Cambria Math" w:cs="Arial"/>
                    <w:i/>
                  </w:rPr>
                </m:ctrlPr>
              </m:sSupPr>
              <m:e>
                <m:d>
                  <m:dPr>
                    <m:begChr m:val="["/>
                    <m:endChr m:val="]"/>
                    <m:ctrlPr>
                      <w:rPr>
                        <w:rFonts w:ascii="Cambria Math" w:hAnsi="Cambria Math" w:cs="Arial"/>
                        <w:i/>
                      </w:rPr>
                    </m:ctrlPr>
                  </m:dPr>
                  <m:e>
                    <m:d>
                      <m:dPr>
                        <m:ctrlPr>
                          <w:rPr>
                            <w:rFonts w:ascii="Cambria Math" w:hAnsi="Cambria Math" w:cs="Arial"/>
                            <w:i/>
                          </w:rPr>
                        </m:ctrlPr>
                      </m:dPr>
                      <m:e>
                        <m:r>
                          <w:rPr>
                            <w:rFonts w:ascii="Cambria Math" w:hAnsi="Cambria Math" w:cs="Arial"/>
                          </w:rPr>
                          <m:t>M-</m:t>
                        </m:r>
                        <m:sSup>
                          <m:sSupPr>
                            <m:ctrlPr>
                              <w:rPr>
                                <w:rFonts w:ascii="Cambria Math" w:hAnsi="Cambria Math" w:cs="Arial"/>
                                <w:i/>
                              </w:rPr>
                            </m:ctrlPr>
                          </m:sSupPr>
                          <m:e>
                            <m:r>
                              <w:rPr>
                                <w:rFonts w:ascii="Cambria Math" w:hAnsi="Cambria Math" w:cs="Arial"/>
                              </w:rPr>
                              <m:t>P</m:t>
                            </m:r>
                          </m:e>
                          <m:sup>
                            <m:r>
                              <w:rPr>
                                <w:rFonts w:ascii="Cambria Math" w:hAnsi="Cambria Math" w:cs="Arial"/>
                              </w:rPr>
                              <m:t>γ</m:t>
                            </m:r>
                          </m:sup>
                        </m:sSup>
                      </m:e>
                    </m:d>
                    <m:r>
                      <w:rPr>
                        <w:rFonts w:ascii="Cambria Math" w:hAnsi="Cambria Math" w:cs="Arial"/>
                      </w:rPr>
                      <m:t>-I</m:t>
                    </m:r>
                  </m:e>
                </m:d>
              </m:e>
              <m:sup>
                <m:r>
                  <w:rPr>
                    <w:rFonts w:ascii="Cambria Math" w:hAnsi="Cambria Math" w:cs="Arial"/>
                  </w:rPr>
                  <m:t>2</m:t>
                </m:r>
              </m:sup>
            </m:sSup>
          </m:den>
        </m:f>
        <m:r>
          <w:rPr>
            <w:rFonts w:ascii="Cambria Math" w:hAnsi="Cambria Math" w:cs="Arial"/>
          </w:rPr>
          <m:t xml:space="preserve">&gt;0 ∀ </m:t>
        </m:r>
        <m:d>
          <m:dPr>
            <m:ctrlPr>
              <w:rPr>
                <w:rFonts w:ascii="Cambria Math" w:hAnsi="Cambria Math" w:cs="Arial"/>
                <w:i/>
              </w:rPr>
            </m:ctrlPr>
          </m:dPr>
          <m:e>
            <m:r>
              <w:rPr>
                <w:rFonts w:ascii="Cambria Math" w:hAnsi="Cambria Math" w:cs="Arial"/>
              </w:rPr>
              <m:t>M-</m:t>
            </m:r>
            <m:sSup>
              <m:sSupPr>
                <m:ctrlPr>
                  <w:rPr>
                    <w:rFonts w:ascii="Cambria Math" w:hAnsi="Cambria Math" w:cs="Arial"/>
                    <w:i/>
                  </w:rPr>
                </m:ctrlPr>
              </m:sSupPr>
              <m:e>
                <m:r>
                  <w:rPr>
                    <w:rFonts w:ascii="Cambria Math" w:hAnsi="Cambria Math" w:cs="Arial"/>
                  </w:rPr>
                  <m:t>P</m:t>
                </m:r>
              </m:e>
              <m:sup>
                <m:r>
                  <w:rPr>
                    <w:rFonts w:ascii="Cambria Math" w:hAnsi="Cambria Math" w:cs="Arial"/>
                  </w:rPr>
                  <m:t>γ</m:t>
                </m:r>
              </m:sup>
            </m:sSup>
          </m:e>
        </m:d>
        <m:r>
          <w:rPr>
            <w:rFonts w:ascii="Cambria Math" w:hAnsi="Cambria Math" w:cs="Arial"/>
          </w:rPr>
          <m:t xml:space="preserve">-I&gt;0; </m:t>
        </m:r>
        <m:sSub>
          <m:sSubPr>
            <m:ctrlPr>
              <w:rPr>
                <w:rFonts w:ascii="Cambria Math" w:hAnsi="Cambria Math" w:cs="Arial"/>
                <w:i/>
              </w:rPr>
            </m:ctrlPr>
          </m:sSubPr>
          <m:e>
            <m:r>
              <w:rPr>
                <w:rFonts w:ascii="Cambria Math" w:hAnsi="Cambria Math" w:cs="Arial"/>
              </w:rPr>
              <m:t>r</m:t>
            </m:r>
          </m:e>
          <m:sub>
            <m:r>
              <w:rPr>
                <w:rFonts w:ascii="Cambria Math" w:hAnsi="Cambria Math" w:cs="Arial"/>
              </w:rPr>
              <m:t>P</m:t>
            </m:r>
          </m:sub>
        </m:sSub>
        <m:r>
          <w:rPr>
            <w:rFonts w:ascii="Cambria Math" w:hAnsi="Cambria Math" w:cs="Arial"/>
          </w:rPr>
          <m:t>=</m:t>
        </m:r>
        <m:f>
          <m:fPr>
            <m:ctrlPr>
              <w:rPr>
                <w:rFonts w:ascii="Cambria Math" w:hAnsi="Cambria Math" w:cs="Arial"/>
                <w:i/>
              </w:rPr>
            </m:ctrlPr>
          </m:fPr>
          <m:num>
            <m:r>
              <w:rPr>
                <w:rFonts w:ascii="Cambria Math" w:hAnsi="Cambria Math" w:cs="Arial"/>
              </w:rPr>
              <m:t>γ</m:t>
            </m:r>
            <m:sSup>
              <m:sSupPr>
                <m:ctrlPr>
                  <w:rPr>
                    <w:rFonts w:ascii="Cambria Math" w:hAnsi="Cambria Math" w:cs="Arial"/>
                    <w:i/>
                  </w:rPr>
                </m:ctrlPr>
              </m:sSupPr>
              <m:e>
                <m:r>
                  <w:rPr>
                    <w:rFonts w:ascii="Cambria Math" w:hAnsi="Cambria Math" w:cs="Arial"/>
                  </w:rPr>
                  <m:t>P</m:t>
                </m:r>
              </m:e>
              <m:sup>
                <m:r>
                  <w:rPr>
                    <w:rFonts w:ascii="Cambria Math" w:hAnsi="Cambria Math" w:cs="Arial"/>
                  </w:rPr>
                  <m:t>γ-1</m:t>
                </m:r>
              </m:sup>
            </m:sSup>
            <m:d>
              <m:dPr>
                <m:begChr m:val="["/>
                <m:endChr m:val="]"/>
                <m:ctrlPr>
                  <w:rPr>
                    <w:rFonts w:ascii="Cambria Math" w:hAnsi="Cambria Math" w:cs="Arial"/>
                    <w:i/>
                  </w:rPr>
                </m:ctrlPr>
              </m:dPr>
              <m:e>
                <m:d>
                  <m:dPr>
                    <m:ctrlPr>
                      <w:rPr>
                        <w:rFonts w:ascii="Cambria Math" w:hAnsi="Cambria Math" w:cs="Arial"/>
                        <w:i/>
                      </w:rPr>
                    </m:ctrlPr>
                  </m:dPr>
                  <m:e>
                    <m:r>
                      <w:rPr>
                        <w:rFonts w:ascii="Cambria Math" w:hAnsi="Cambria Math" w:cs="Arial"/>
                      </w:rPr>
                      <m:t>M-</m:t>
                    </m:r>
                    <m:sSup>
                      <m:sSupPr>
                        <m:ctrlPr>
                          <w:rPr>
                            <w:rFonts w:ascii="Cambria Math" w:hAnsi="Cambria Math" w:cs="Arial"/>
                            <w:i/>
                          </w:rPr>
                        </m:ctrlPr>
                      </m:sSupPr>
                      <m:e>
                        <m:r>
                          <w:rPr>
                            <w:rFonts w:ascii="Cambria Math" w:hAnsi="Cambria Math" w:cs="Arial"/>
                          </w:rPr>
                          <m:t>P</m:t>
                        </m:r>
                      </m:e>
                      <m:sup>
                        <m:r>
                          <w:rPr>
                            <w:rFonts w:ascii="Cambria Math" w:hAnsi="Cambria Math" w:cs="Arial"/>
                          </w:rPr>
                          <m:t>γ</m:t>
                        </m:r>
                      </m:sup>
                    </m:sSup>
                  </m:e>
                </m:d>
                <m:r>
                  <w:rPr>
                    <w:rFonts w:ascii="Cambria Math" w:hAnsi="Cambria Math" w:cs="Arial"/>
                  </w:rPr>
                  <m:t>-I</m:t>
                </m:r>
              </m:e>
            </m:d>
            <m:r>
              <w:rPr>
                <w:rFonts w:ascii="Cambria Math" w:hAnsi="Cambria Math" w:cs="Arial"/>
              </w:rPr>
              <m:t>+γ</m:t>
            </m:r>
            <m:sSup>
              <m:sSupPr>
                <m:ctrlPr>
                  <w:rPr>
                    <w:rFonts w:ascii="Cambria Math" w:hAnsi="Cambria Math" w:cs="Arial"/>
                    <w:i/>
                  </w:rPr>
                </m:ctrlPr>
              </m:sSupPr>
              <m:e>
                <m:r>
                  <w:rPr>
                    <w:rFonts w:ascii="Cambria Math" w:hAnsi="Cambria Math" w:cs="Arial"/>
                  </w:rPr>
                  <m:t>P</m:t>
                </m:r>
              </m:e>
              <m:sup>
                <m:r>
                  <w:rPr>
                    <w:rFonts w:ascii="Cambria Math" w:hAnsi="Cambria Math" w:cs="Arial"/>
                  </w:rPr>
                  <m:t>γ-1</m:t>
                </m:r>
              </m:sup>
            </m:sSup>
            <m:d>
              <m:dPr>
                <m:ctrlPr>
                  <w:rPr>
                    <w:rFonts w:ascii="Cambria Math" w:hAnsi="Cambria Math" w:cs="Arial"/>
                    <w:i/>
                  </w:rPr>
                </m:ctrlPr>
              </m:dPr>
              <m:e>
                <m:r>
                  <w:rPr>
                    <w:rFonts w:ascii="Cambria Math" w:hAnsi="Cambria Math" w:cs="Arial"/>
                  </w:rPr>
                  <m:t>I+</m:t>
                </m:r>
                <m:sSup>
                  <m:sSupPr>
                    <m:ctrlPr>
                      <w:rPr>
                        <w:rFonts w:ascii="Cambria Math" w:hAnsi="Cambria Math" w:cs="Arial"/>
                        <w:i/>
                      </w:rPr>
                    </m:ctrlPr>
                  </m:sSupPr>
                  <m:e>
                    <m:r>
                      <w:rPr>
                        <w:rFonts w:ascii="Cambria Math" w:hAnsi="Cambria Math" w:cs="Arial"/>
                      </w:rPr>
                      <m:t>P</m:t>
                    </m:r>
                  </m:e>
                  <m:sup>
                    <m:r>
                      <w:rPr>
                        <w:rFonts w:ascii="Cambria Math" w:hAnsi="Cambria Math" w:cs="Arial"/>
                      </w:rPr>
                      <m:t>γ</m:t>
                    </m:r>
                  </m:sup>
                </m:sSup>
              </m:e>
            </m:d>
          </m:num>
          <m:den>
            <m:sSup>
              <m:sSupPr>
                <m:ctrlPr>
                  <w:rPr>
                    <w:rFonts w:ascii="Cambria Math" w:hAnsi="Cambria Math" w:cs="Arial"/>
                    <w:i/>
                  </w:rPr>
                </m:ctrlPr>
              </m:sSupPr>
              <m:e>
                <m:d>
                  <m:dPr>
                    <m:begChr m:val="["/>
                    <m:endChr m:val="]"/>
                    <m:ctrlPr>
                      <w:rPr>
                        <w:rFonts w:ascii="Cambria Math" w:hAnsi="Cambria Math" w:cs="Arial"/>
                        <w:i/>
                      </w:rPr>
                    </m:ctrlPr>
                  </m:dPr>
                  <m:e>
                    <m:d>
                      <m:dPr>
                        <m:ctrlPr>
                          <w:rPr>
                            <w:rFonts w:ascii="Cambria Math" w:hAnsi="Cambria Math" w:cs="Arial"/>
                            <w:i/>
                          </w:rPr>
                        </m:ctrlPr>
                      </m:dPr>
                      <m:e>
                        <m:r>
                          <w:rPr>
                            <w:rFonts w:ascii="Cambria Math" w:hAnsi="Cambria Math" w:cs="Arial"/>
                          </w:rPr>
                          <m:t>M-</m:t>
                        </m:r>
                        <m:sSup>
                          <m:sSupPr>
                            <m:ctrlPr>
                              <w:rPr>
                                <w:rFonts w:ascii="Cambria Math" w:hAnsi="Cambria Math" w:cs="Arial"/>
                                <w:i/>
                              </w:rPr>
                            </m:ctrlPr>
                          </m:sSupPr>
                          <m:e>
                            <m:r>
                              <w:rPr>
                                <w:rFonts w:ascii="Cambria Math" w:hAnsi="Cambria Math" w:cs="Arial"/>
                              </w:rPr>
                              <m:t>P</m:t>
                            </m:r>
                          </m:e>
                          <m:sup>
                            <m:r>
                              <w:rPr>
                                <w:rFonts w:ascii="Cambria Math" w:hAnsi="Cambria Math" w:cs="Arial"/>
                              </w:rPr>
                              <m:t>γ</m:t>
                            </m:r>
                          </m:sup>
                        </m:sSup>
                      </m:e>
                    </m:d>
                    <m:r>
                      <w:rPr>
                        <w:rFonts w:ascii="Cambria Math" w:hAnsi="Cambria Math" w:cs="Arial"/>
                      </w:rPr>
                      <m:t>-I</m:t>
                    </m:r>
                  </m:e>
                </m:d>
              </m:e>
              <m:sup>
                <m:r>
                  <w:rPr>
                    <w:rFonts w:ascii="Cambria Math" w:hAnsi="Cambria Math" w:cs="Arial"/>
                  </w:rPr>
                  <m:t>2</m:t>
                </m:r>
              </m:sup>
            </m:sSup>
          </m:den>
        </m:f>
        <m:r>
          <w:rPr>
            <w:rFonts w:ascii="Cambria Math" w:hAnsi="Cambria Math" w:cs="Arial"/>
          </w:rPr>
          <m:t>&gt;0;</m:t>
        </m:r>
      </m:oMath>
    </w:p>
    <w:p w14:paraId="216A8434" w14:textId="77777777" w:rsidR="00937DC4" w:rsidRPr="007821B8" w:rsidRDefault="00937DC4" w:rsidP="00801EA1">
      <w:pPr>
        <w:pStyle w:val="Textonotapie"/>
        <w:jc w:val="both"/>
        <w:rPr>
          <w:rFonts w:ascii="AGaramond" w:eastAsiaTheme="minorEastAsia" w:hAnsi="AGaramond" w:cs="Arial"/>
        </w:rPr>
      </w:pPr>
    </w:p>
    <w:p w14:paraId="0E5E743E" w14:textId="77777777" w:rsidR="00937DC4" w:rsidRPr="007821B8" w:rsidRDefault="00CC1027" w:rsidP="00801EA1">
      <w:pPr>
        <w:pStyle w:val="Textonotapie"/>
        <w:ind w:left="142"/>
        <w:jc w:val="both"/>
        <w:rPr>
          <w:rFonts w:ascii="AGaramond" w:eastAsiaTheme="minorEastAsia" w:hAnsi="AGaramond"/>
        </w:rPr>
      </w:pPr>
      <m:oMathPara>
        <m:oMathParaPr>
          <m:jc m:val="left"/>
        </m:oMathParaPr>
        <m:oMath>
          <m:sSub>
            <m:sSubPr>
              <m:ctrlPr>
                <w:rPr>
                  <w:rFonts w:ascii="Cambria Math" w:hAnsi="Cambria Math" w:cs="Arial"/>
                  <w:i/>
                </w:rPr>
              </m:ctrlPr>
            </m:sSubPr>
            <m:e>
              <m:r>
                <w:rPr>
                  <w:rFonts w:ascii="Cambria Math" w:hAnsi="Cambria Math" w:cs="Arial"/>
                </w:rPr>
                <m:t>r</m:t>
              </m:r>
            </m:e>
            <m:sub>
              <m:r>
                <w:rPr>
                  <w:rFonts w:ascii="Cambria Math" w:hAnsi="Cambria Math" w:cs="Arial"/>
                </w:rPr>
                <m:t>γ</m:t>
              </m:r>
            </m:sub>
          </m:sSub>
          <m:r>
            <w:rPr>
              <w:rFonts w:ascii="Cambria Math" w:hAnsi="Cambria Math" w:cs="Arial"/>
            </w:rPr>
            <m:t>=</m:t>
          </m:r>
          <m:f>
            <m:fPr>
              <m:ctrlPr>
                <w:rPr>
                  <w:rFonts w:ascii="Cambria Math" w:hAnsi="Cambria Math" w:cs="Arial"/>
                  <w:i/>
                </w:rPr>
              </m:ctrlPr>
            </m:fPr>
            <m:num>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P</m:t>
                      </m:r>
                    </m:e>
                    <m:sup>
                      <m:r>
                        <w:rPr>
                          <w:rFonts w:ascii="Cambria Math" w:hAnsi="Cambria Math" w:cs="Arial"/>
                        </w:rPr>
                        <m:t>γ</m:t>
                      </m:r>
                    </m:sup>
                  </m:sSup>
                  <m:func>
                    <m:funcPr>
                      <m:ctrlPr>
                        <w:rPr>
                          <w:rFonts w:ascii="Cambria Math" w:hAnsi="Cambria Math" w:cs="Arial"/>
                          <w:i/>
                        </w:rPr>
                      </m:ctrlPr>
                    </m:funcPr>
                    <m:fName>
                      <m:r>
                        <m:rPr>
                          <m:sty m:val="p"/>
                        </m:rPr>
                        <w:rPr>
                          <w:rFonts w:ascii="Cambria Math" w:hAnsi="Cambria Math" w:cs="Arial"/>
                        </w:rPr>
                        <m:t>ln</m:t>
                      </m:r>
                    </m:fName>
                    <m:e>
                      <m:r>
                        <w:rPr>
                          <w:rFonts w:ascii="Cambria Math" w:hAnsi="Cambria Math" w:cs="Arial"/>
                        </w:rPr>
                        <m:t>P</m:t>
                      </m:r>
                    </m:e>
                  </m:func>
                </m:e>
              </m:d>
              <m:r>
                <w:rPr>
                  <w:rFonts w:ascii="Cambria Math" w:hAnsi="Cambria Math" w:cs="Arial"/>
                </w:rPr>
                <m:t>M</m:t>
              </m:r>
            </m:num>
            <m:den>
              <m:sSup>
                <m:sSupPr>
                  <m:ctrlPr>
                    <w:rPr>
                      <w:rFonts w:ascii="Cambria Math" w:hAnsi="Cambria Math" w:cs="Arial"/>
                      <w:i/>
                    </w:rPr>
                  </m:ctrlPr>
                </m:sSupPr>
                <m:e>
                  <m:d>
                    <m:dPr>
                      <m:begChr m:val="["/>
                      <m:endChr m:val="]"/>
                      <m:ctrlPr>
                        <w:rPr>
                          <w:rFonts w:ascii="Cambria Math" w:hAnsi="Cambria Math" w:cs="Arial"/>
                          <w:i/>
                        </w:rPr>
                      </m:ctrlPr>
                    </m:dPr>
                    <m:e>
                      <m:d>
                        <m:dPr>
                          <m:ctrlPr>
                            <w:rPr>
                              <w:rFonts w:ascii="Cambria Math" w:hAnsi="Cambria Math" w:cs="Arial"/>
                              <w:i/>
                            </w:rPr>
                          </m:ctrlPr>
                        </m:dPr>
                        <m:e>
                          <m:r>
                            <w:rPr>
                              <w:rFonts w:ascii="Cambria Math" w:hAnsi="Cambria Math" w:cs="Arial"/>
                            </w:rPr>
                            <m:t>M-</m:t>
                          </m:r>
                          <m:sSup>
                            <m:sSupPr>
                              <m:ctrlPr>
                                <w:rPr>
                                  <w:rFonts w:ascii="Cambria Math" w:hAnsi="Cambria Math" w:cs="Arial"/>
                                  <w:i/>
                                </w:rPr>
                              </m:ctrlPr>
                            </m:sSupPr>
                            <m:e>
                              <m:r>
                                <w:rPr>
                                  <w:rFonts w:ascii="Cambria Math" w:hAnsi="Cambria Math" w:cs="Arial"/>
                                </w:rPr>
                                <m:t>P</m:t>
                              </m:r>
                            </m:e>
                            <m:sup>
                              <m:r>
                                <w:rPr>
                                  <w:rFonts w:ascii="Cambria Math" w:hAnsi="Cambria Math" w:cs="Arial"/>
                                </w:rPr>
                                <m:t>γ</m:t>
                              </m:r>
                            </m:sup>
                          </m:sSup>
                        </m:e>
                      </m:d>
                      <m:r>
                        <w:rPr>
                          <w:rFonts w:ascii="Cambria Math" w:hAnsi="Cambria Math" w:cs="Arial"/>
                        </w:rPr>
                        <m:t>-I</m:t>
                      </m:r>
                    </m:e>
                  </m:d>
                </m:e>
                <m:sup>
                  <m:r>
                    <w:rPr>
                      <w:rFonts w:ascii="Cambria Math" w:hAnsi="Cambria Math" w:cs="Arial"/>
                    </w:rPr>
                    <m:t>2</m:t>
                  </m:r>
                </m:sup>
              </m:sSup>
            </m:den>
          </m:f>
          <m:r>
            <w:rPr>
              <w:rFonts w:ascii="Cambria Math" w:hAnsi="Cambria Math" w:cs="Arial"/>
            </w:rPr>
            <m:t>&gt;0.</m:t>
          </m:r>
        </m:oMath>
      </m:oMathPara>
    </w:p>
    <w:p w14:paraId="589E2E96" w14:textId="77777777" w:rsidR="00937DC4" w:rsidRPr="007821B8" w:rsidRDefault="00937DC4" w:rsidP="00801EA1">
      <w:pPr>
        <w:pStyle w:val="Textonotapie"/>
        <w:ind w:left="142"/>
        <w:jc w:val="both"/>
        <w:rPr>
          <w:rFonts w:ascii="AGaramond" w:hAnsi="AGaramond"/>
        </w:rPr>
      </w:pPr>
    </w:p>
  </w:footnote>
  <w:footnote w:id="20">
    <w:p w14:paraId="476E15F2" w14:textId="77777777" w:rsidR="00937DC4" w:rsidRPr="007821B8" w:rsidRDefault="00937DC4" w:rsidP="00801EA1">
      <w:pPr>
        <w:pStyle w:val="Textonotapie"/>
        <w:ind w:left="142" w:hanging="142"/>
        <w:jc w:val="both"/>
        <w:rPr>
          <w:rFonts w:ascii="AGaramond" w:hAnsi="AGaramond" w:cs="Arial"/>
        </w:rPr>
      </w:pPr>
      <w:r w:rsidRPr="007821B8">
        <w:rPr>
          <w:rStyle w:val="Refdenotaalpie"/>
          <w:rFonts w:ascii="AGaramond" w:hAnsi="AGaramond" w:cs="Arial"/>
        </w:rPr>
        <w:footnoteRef/>
      </w:r>
      <w:r w:rsidRPr="007821B8">
        <w:rPr>
          <w:rFonts w:ascii="AGaramond" w:hAnsi="AGaramond" w:cs="Arial"/>
        </w:rPr>
        <w:t xml:space="preserve"> Una percepción posible del empleado público es que sea probable que sus ingresos reales futuros disminuyan significativamente, en cuyo caso: </w:t>
      </w:r>
      <m:oMath>
        <m:r>
          <w:rPr>
            <w:rFonts w:ascii="Cambria Math" w:hAnsi="Cambria Math" w:cs="Arial"/>
          </w:rPr>
          <m:t>r&lt;</m:t>
        </m:r>
        <m:f>
          <m:fPr>
            <m:ctrlPr>
              <w:rPr>
                <w:rFonts w:ascii="Cambria Math" w:hAnsi="Cambria Math" w:cs="Arial"/>
                <w:i/>
              </w:rPr>
            </m:ctrlPr>
          </m:fPr>
          <m:num>
            <m:r>
              <w:rPr>
                <w:rFonts w:ascii="Cambria Math" w:hAnsi="Cambria Math" w:cs="Arial"/>
              </w:rPr>
              <m:t>δI+</m:t>
            </m:r>
            <m:sSup>
              <m:sSupPr>
                <m:ctrlPr>
                  <w:rPr>
                    <w:rFonts w:ascii="Cambria Math" w:hAnsi="Cambria Math" w:cs="Arial"/>
                    <w:i/>
                  </w:rPr>
                </m:ctrlPr>
              </m:sSupPr>
              <m:e>
                <m:r>
                  <w:rPr>
                    <w:rFonts w:ascii="Cambria Math" w:hAnsi="Cambria Math" w:cs="Arial"/>
                  </w:rPr>
                  <m:t>P</m:t>
                </m:r>
              </m:e>
              <m:sup>
                <m:r>
                  <w:rPr>
                    <w:rFonts w:ascii="Cambria Math" w:hAnsi="Cambria Math" w:cs="Arial"/>
                  </w:rPr>
                  <m:t>γ</m:t>
                </m:r>
              </m:sup>
            </m:sSup>
          </m:num>
          <m:den>
            <m:d>
              <m:dPr>
                <m:ctrlPr>
                  <w:rPr>
                    <w:rFonts w:ascii="Cambria Math" w:hAnsi="Cambria Math" w:cs="Arial"/>
                    <w:i/>
                  </w:rPr>
                </m:ctrlPr>
              </m:dPr>
              <m:e>
                <m:r>
                  <w:rPr>
                    <w:rFonts w:ascii="Cambria Math" w:hAnsi="Cambria Math" w:cs="Arial"/>
                  </w:rPr>
                  <m:t>M-</m:t>
                </m:r>
                <m:sSup>
                  <m:sSupPr>
                    <m:ctrlPr>
                      <w:rPr>
                        <w:rFonts w:ascii="Cambria Math" w:hAnsi="Cambria Math" w:cs="Arial"/>
                        <w:i/>
                      </w:rPr>
                    </m:ctrlPr>
                  </m:sSupPr>
                  <m:e>
                    <m:r>
                      <w:rPr>
                        <w:rFonts w:ascii="Cambria Math" w:hAnsi="Cambria Math" w:cs="Arial"/>
                      </w:rPr>
                      <m:t>P</m:t>
                    </m:r>
                  </m:e>
                  <m:sup>
                    <m:r>
                      <w:rPr>
                        <w:rFonts w:ascii="Cambria Math" w:hAnsi="Cambria Math" w:cs="Arial"/>
                      </w:rPr>
                      <m:t>γ</m:t>
                    </m:r>
                  </m:sup>
                </m:sSup>
              </m:e>
            </m:d>
            <m:r>
              <w:rPr>
                <w:rFonts w:ascii="Cambria Math" w:hAnsi="Cambria Math" w:cs="Arial"/>
              </w:rPr>
              <m:t>-I</m:t>
            </m:r>
          </m:den>
        </m:f>
        <m:r>
          <w:rPr>
            <w:rFonts w:ascii="Cambria Math" w:hAnsi="Cambria Math" w:cs="Arial"/>
          </w:rPr>
          <m:t xml:space="preserve"> ∀ δ=1-ρ</m:t>
        </m:r>
      </m:oMath>
      <w:r w:rsidRPr="007821B8">
        <w:rPr>
          <w:rFonts w:ascii="AGaramond" w:eastAsiaTheme="minorEastAsia" w:hAnsi="AGaramond" w:cs="Arial"/>
        </w:rPr>
        <w:t xml:space="preserve">, donde </w:t>
      </w:r>
      <m:oMath>
        <m:r>
          <w:rPr>
            <w:rFonts w:ascii="Cambria Math" w:hAnsi="Cambria Math" w:cs="Arial"/>
          </w:rPr>
          <m:t>ρ</m:t>
        </m:r>
      </m:oMath>
      <w:r w:rsidRPr="007821B8">
        <w:rPr>
          <w:rFonts w:ascii="AGaramond" w:eastAsiaTheme="minorEastAsia" w:hAnsi="AGaramond" w:cs="Arial"/>
        </w:rPr>
        <w:t xml:space="preserve"> es la percepción (probabilidad subjetiva) que los ingresos reales futuros disminuyan.</w:t>
      </w:r>
    </w:p>
  </w:footnote>
  <w:footnote w:id="21">
    <w:p w14:paraId="654CBC81" w14:textId="77777777" w:rsidR="00937DC4" w:rsidRPr="007821B8" w:rsidRDefault="00937DC4" w:rsidP="00801EA1">
      <w:pPr>
        <w:pStyle w:val="Textonotapie"/>
        <w:tabs>
          <w:tab w:val="left" w:pos="142"/>
        </w:tabs>
        <w:ind w:left="142" w:hanging="142"/>
        <w:jc w:val="both"/>
        <w:rPr>
          <w:rFonts w:ascii="AGaramond" w:hAnsi="AGaramond" w:cs="Arial"/>
        </w:rPr>
      </w:pPr>
      <w:r w:rsidRPr="007821B8">
        <w:rPr>
          <w:rStyle w:val="Refdenotaalpie"/>
          <w:rFonts w:ascii="AGaramond" w:hAnsi="AGaramond" w:cs="Arial"/>
        </w:rPr>
        <w:footnoteRef/>
      </w:r>
      <w:r w:rsidRPr="007821B8">
        <w:rPr>
          <w:rFonts w:ascii="AGaramond" w:hAnsi="AGaramond" w:cs="Arial"/>
        </w:rPr>
        <w:t xml:space="preserve"> Para el análisis, los equilibrios de Nash en estrategias mixtas solo pueden aportar el </w:t>
      </w:r>
      <w:r w:rsidRPr="007821B8">
        <w:rPr>
          <w:rFonts w:ascii="AGaramond" w:hAnsi="AGaramond" w:cs="Arial"/>
          <w:i/>
          <w:iCs/>
        </w:rPr>
        <w:t>componente de indiferencia</w:t>
      </w:r>
      <w:r w:rsidRPr="007821B8">
        <w:rPr>
          <w:rFonts w:ascii="AGaramond" w:hAnsi="AGaramond" w:cs="Arial"/>
        </w:rPr>
        <w:t xml:space="preserve"> basado en un rango continuo de decisiones probables de los agentes, lo cual agrega poco al objetivo que se persigue: indagar en cuáles circunstancias el equilibrio de Nash pudiese coincidir con el resultado Pareto eficiente.</w:t>
      </w:r>
    </w:p>
  </w:footnote>
  <w:footnote w:id="22">
    <w:p w14:paraId="32A966B1" w14:textId="76FC7AFA" w:rsidR="00937DC4" w:rsidRPr="007821B8" w:rsidRDefault="00937DC4" w:rsidP="005245F2">
      <w:pPr>
        <w:pStyle w:val="Textonotapie"/>
        <w:ind w:left="142" w:hanging="142"/>
        <w:jc w:val="both"/>
        <w:rPr>
          <w:rFonts w:ascii="AGaramond" w:hAnsi="AGaramond"/>
        </w:rPr>
      </w:pPr>
      <w:r w:rsidRPr="007821B8">
        <w:rPr>
          <w:rStyle w:val="Refdenotaalpie"/>
          <w:rFonts w:ascii="AGaramond" w:hAnsi="AGaramond"/>
        </w:rPr>
        <w:footnoteRef/>
      </w:r>
      <w:r w:rsidRPr="007821B8">
        <w:rPr>
          <w:rFonts w:ascii="AGaramond" w:hAnsi="AGaramond"/>
        </w:rPr>
        <w:t xml:space="preserve"> </w:t>
      </w:r>
      <m:oMath>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&lt;0</m:t>
        </m:r>
      </m:oMath>
      <w:r w:rsidRPr="007821B8">
        <w:rPr>
          <w:rFonts w:ascii="AGaramond" w:eastAsiaTheme="minorEastAsia" w:hAnsi="AGaramond"/>
        </w:rPr>
        <w:t xml:space="preserve"> </w:t>
      </w:r>
      <w:r w:rsidRPr="007821B8">
        <w:rPr>
          <w:rFonts w:ascii="AGaramond" w:eastAsiaTheme="minorEastAsia" w:hAnsi="AGaramond" w:cs="Arial"/>
        </w:rPr>
        <w:t>y</w:t>
      </w:r>
      <w:r w:rsidRPr="007821B8">
        <w:rPr>
          <w:rFonts w:ascii="AGaramond" w:eastAsiaTheme="minorEastAsia" w:hAnsi="AGaramond"/>
        </w:rPr>
        <w:t xml:space="preserve"> </w:t>
      </w:r>
      <m:oMath>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≤0</m:t>
        </m:r>
      </m:oMath>
      <w:r w:rsidRPr="007821B8">
        <w:rPr>
          <w:rFonts w:ascii="AGaramond" w:eastAsiaTheme="minorEastAsia" w:hAnsi="AGaramond"/>
        </w:rPr>
        <w:t xml:space="preserv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&gt;0</m:t>
        </m:r>
      </m:oMath>
      <w:r w:rsidRPr="007821B8">
        <w:rPr>
          <w:rFonts w:ascii="AGaramond" w:eastAsiaTheme="minorEastAsia" w:hAnsi="AGaramond"/>
        </w:rPr>
        <w:t xml:space="preserve">. Si </w:t>
      </w:r>
      <m:oMath>
        <m:r>
          <m:rPr>
            <m:sty m:val="bi"/>
          </m:rPr>
          <w:rPr>
            <w:rFonts w:ascii="Cambria Math" w:eastAsiaTheme="minorEastAsia" w:hAnsi="Cambria Math"/>
          </w:rPr>
          <m:t>r</m:t>
        </m:r>
      </m:oMath>
      <w:r w:rsidRPr="007821B8">
        <w:rPr>
          <w:rFonts w:ascii="AGaramond" w:eastAsiaTheme="minorEastAsia" w:hAnsi="AGaramond"/>
          <w:b/>
          <w:bCs/>
        </w:rPr>
        <w:t xml:space="preserve"> </w:t>
      </w:r>
      <w:r w:rsidRPr="007821B8">
        <w:rPr>
          <w:rFonts w:ascii="AGaramond" w:eastAsiaTheme="minorEastAsia" w:hAnsi="AGaramond"/>
        </w:rPr>
        <w:t>lo suficientemente baja, el equilibrio (</w:t>
      </w:r>
      <m:oMath>
        <m:r>
          <m:rPr>
            <m:sty m:val="bi"/>
          </m:rPr>
          <w:rPr>
            <w:rFonts w:ascii="Cambria Math" w:eastAsiaTheme="minorEastAsia" w:hAnsi="Cambria Math"/>
          </w:rPr>
          <m:t>I,I</m:t>
        </m:r>
      </m:oMath>
      <w:r w:rsidRPr="007821B8">
        <w:rPr>
          <w:rFonts w:ascii="AGaramond" w:eastAsiaTheme="minorEastAsia" w:hAnsi="AGaramond"/>
        </w:rPr>
        <w:t xml:space="preserve">) constituiría un </w:t>
      </w:r>
      <w:r w:rsidR="005245F2">
        <w:rPr>
          <w:rFonts w:ascii="AGaramond" w:eastAsiaTheme="minorEastAsia" w:hAnsi="AGaramond"/>
        </w:rPr>
        <w:t>e</w:t>
      </w:r>
      <w:r w:rsidRPr="007821B8">
        <w:rPr>
          <w:rFonts w:ascii="AGaramond" w:eastAsiaTheme="minorEastAsia" w:hAnsi="AGaramond"/>
        </w:rPr>
        <w:t xml:space="preserve">quilibrio de Nash </w:t>
      </w:r>
      <w:r w:rsidR="005245F2">
        <w:rPr>
          <w:rFonts w:ascii="AGaramond" w:eastAsiaTheme="minorEastAsia" w:hAnsi="AGaramond"/>
        </w:rPr>
        <w:t>p</w:t>
      </w:r>
      <w:r w:rsidRPr="007821B8">
        <w:rPr>
          <w:rFonts w:ascii="AGaramond" w:eastAsiaTheme="minorEastAsia" w:hAnsi="AGaramond"/>
        </w:rPr>
        <w:t xml:space="preserve">erfecto del </w:t>
      </w:r>
      <w:proofErr w:type="spellStart"/>
      <w:r w:rsidR="005245F2">
        <w:rPr>
          <w:rFonts w:ascii="AGaramond" w:eastAsiaTheme="minorEastAsia" w:hAnsi="AGaramond"/>
        </w:rPr>
        <w:t>s</w:t>
      </w:r>
      <w:r w:rsidRPr="007821B8">
        <w:rPr>
          <w:rFonts w:ascii="AGaramond" w:eastAsiaTheme="minorEastAsia" w:hAnsi="AGaramond"/>
        </w:rPr>
        <w:t>ubjuego</w:t>
      </w:r>
      <w:proofErr w:type="spellEnd"/>
      <w:r w:rsidRPr="007821B8">
        <w:rPr>
          <w:rFonts w:ascii="AGaramond" w:eastAsiaTheme="minorEastAsia" w:hAnsi="AGaramond"/>
        </w:rPr>
        <w:t>, (</w:t>
      </w:r>
      <w:proofErr w:type="spellStart"/>
      <w:r w:rsidRPr="007821B8">
        <w:rPr>
          <w:rFonts w:ascii="AGaramond" w:eastAsiaTheme="minorEastAsia" w:hAnsi="AGaramond"/>
        </w:rPr>
        <w:t>SPNE</w:t>
      </w:r>
      <w:proofErr w:type="spellEnd"/>
      <w:r w:rsidRPr="007821B8">
        <w:rPr>
          <w:rFonts w:ascii="AGaramond" w:eastAsiaTheme="minorEastAsia" w:hAnsi="AGaramond"/>
        </w:rPr>
        <w:t>).</w:t>
      </w:r>
    </w:p>
  </w:footnote>
  <w:footnote w:id="23">
    <w:p w14:paraId="27D5574A" w14:textId="7C26B17F" w:rsidR="00937DC4" w:rsidRPr="007821B8" w:rsidRDefault="00937DC4" w:rsidP="00801EA1">
      <w:pPr>
        <w:pStyle w:val="Textonotapie"/>
        <w:ind w:left="142" w:hanging="142"/>
        <w:jc w:val="both"/>
        <w:rPr>
          <w:rFonts w:ascii="AGaramond" w:hAnsi="AGaramond" w:cs="Arial"/>
        </w:rPr>
      </w:pPr>
      <w:r w:rsidRPr="007821B8">
        <w:rPr>
          <w:rStyle w:val="Refdenotaalpie"/>
          <w:rFonts w:ascii="AGaramond" w:hAnsi="AGaramond" w:cs="Arial"/>
        </w:rPr>
        <w:footnoteRef/>
      </w:r>
      <w:r w:rsidRPr="007821B8">
        <w:rPr>
          <w:rFonts w:ascii="AGaramond" w:hAnsi="AGaramond" w:cs="Arial"/>
        </w:rPr>
        <w:t xml:space="preserve"> El equilibrio </w:t>
      </w:r>
      <w:r w:rsidRPr="007821B8">
        <w:rPr>
          <w:rFonts w:ascii="AGaramond" w:hAnsi="AGaramond" w:cs="Arial"/>
          <w:lang w:val="es-BO"/>
        </w:rPr>
        <w:t>(</w:t>
      </w:r>
      <m:oMath>
        <m:r>
          <m:rPr>
            <m:sty m:val="bi"/>
          </m:rPr>
          <w:rPr>
            <w:rFonts w:ascii="Cambria Math" w:hAnsi="Cambria Math" w:cs="Arial"/>
            <w:lang w:val="es-BO"/>
          </w:rPr>
          <m:t>m,m</m:t>
        </m:r>
      </m:oMath>
      <w:r w:rsidRPr="007821B8">
        <w:rPr>
          <w:rFonts w:ascii="AGaramond" w:hAnsi="AGaramond" w:cs="Arial"/>
          <w:lang w:val="es-BO"/>
        </w:rPr>
        <w:t xml:space="preserve">) es un </w:t>
      </w:r>
      <w:proofErr w:type="spellStart"/>
      <w:r w:rsidRPr="007821B8">
        <w:rPr>
          <w:rFonts w:ascii="AGaramond" w:hAnsi="AGaramond" w:cs="Arial"/>
          <w:i/>
          <w:iCs/>
          <w:lang w:val="es-BO"/>
        </w:rPr>
        <w:t>superatractor</w:t>
      </w:r>
      <w:proofErr w:type="spellEnd"/>
      <w:r w:rsidRPr="007821B8">
        <w:rPr>
          <w:rFonts w:ascii="AGaramond" w:hAnsi="AGaramond" w:cs="Arial"/>
          <w:i/>
          <w:iCs/>
          <w:lang w:val="es-BO"/>
        </w:rPr>
        <w:t xml:space="preserve">: </w:t>
      </w:r>
      <w:r w:rsidRPr="007821B8">
        <w:rPr>
          <w:rFonts w:ascii="AGaramond" w:hAnsi="AGaramond" w:cs="Arial"/>
          <w:lang w:val="es-BO"/>
        </w:rPr>
        <w:t>no hay ámbitos de la administración pública que escape a actos ilícitos. (T</w:t>
      </w:r>
      <w:proofErr w:type="spellStart"/>
      <w:r w:rsidRPr="007821B8">
        <w:rPr>
          <w:rFonts w:ascii="AGaramond" w:hAnsi="AGaramond" w:cs="Arial"/>
        </w:rPr>
        <w:t>omando</w:t>
      </w:r>
      <w:proofErr w:type="spellEnd"/>
      <w:r w:rsidRPr="007821B8">
        <w:rPr>
          <w:rFonts w:ascii="AGaramond" w:hAnsi="AGaramond" w:cs="Arial"/>
        </w:rPr>
        <w:t xml:space="preserve"> prestado los conceptos de la astrofísica, refleja una </w:t>
      </w:r>
      <w:r w:rsidRPr="007821B8">
        <w:rPr>
          <w:rFonts w:ascii="AGaramond" w:hAnsi="AGaramond" w:cs="Arial"/>
          <w:i/>
          <w:iCs/>
        </w:rPr>
        <w:t>singularidad</w:t>
      </w:r>
      <w:r w:rsidRPr="007821B8">
        <w:rPr>
          <w:rFonts w:ascii="AGaramond" w:hAnsi="AGaramond" w:cs="Arial"/>
        </w:rPr>
        <w:t xml:space="preserve">.) El lector familiarizado con aspectos básicos de la teoría de juegos ha de identificar esta situación como </w:t>
      </w:r>
      <w:r w:rsidRPr="007821B8">
        <w:rPr>
          <w:rFonts w:ascii="AGaramond" w:hAnsi="AGaramond" w:cs="Arial"/>
          <w:i/>
          <w:iCs/>
        </w:rPr>
        <w:t>el dilema del prisionero</w:t>
      </w:r>
      <w:r w:rsidRPr="007821B8">
        <w:rPr>
          <w:rFonts w:ascii="AGaramond" w:hAnsi="AGaramond" w:cs="Arial"/>
        </w:rPr>
        <w:t>. En estas circunstancias, la sociedad experimenta un grado extremo de malestar.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3D4AF" w14:textId="066EB7AD" w:rsidR="00DD28DE" w:rsidRPr="00B7573F" w:rsidRDefault="00E5117E" w:rsidP="001620EE">
    <w:pPr>
      <w:pStyle w:val="ENCABEZATITULO"/>
      <w:ind w:left="142"/>
      <w:jc w:val="left"/>
      <w:rPr>
        <w:rFonts w:ascii="AGaramond" w:hAnsi="AGaramond"/>
        <w:sz w:val="22"/>
        <w:szCs w:val="22"/>
        <w:lang w:val="es-VE"/>
      </w:rPr>
    </w:pPr>
    <w:r w:rsidRPr="00E5117E">
      <w:rPr>
        <w:rFonts w:ascii="AGaramond" w:hAnsi="AGaramond"/>
        <w:sz w:val="22"/>
        <w:szCs w:val="22"/>
        <w:lang w:val="es-VE"/>
      </w:rPr>
      <w:t>Reflexiones sobre la corrupción del Estado, el desarrollo económico y la renta de los recursos naturales en américa latina: una respuesta a Calderón y Castell</w:t>
    </w:r>
    <w:r w:rsidR="00770F21">
      <w:rPr>
        <w:rFonts w:ascii="AGaramond" w:hAnsi="AGaramond"/>
        <w:sz w:val="22"/>
        <w:szCs w:val="22"/>
        <w:lang w:val="es-VE"/>
      </w:rPr>
      <w:t>s</w:t>
    </w:r>
  </w:p>
  <w:p w14:paraId="0A42FAF2" w14:textId="77777777" w:rsidR="001E793C" w:rsidRPr="00B7573F" w:rsidRDefault="00F16B86" w:rsidP="001E793C">
    <w:pPr>
      <w:pStyle w:val="ENCABEZATITULO"/>
      <w:rPr>
        <w:rFonts w:ascii="AGaramond" w:hAnsi="AGaramond"/>
        <w:sz w:val="22"/>
        <w:szCs w:val="22"/>
        <w:lang w:val="es-VE"/>
      </w:rPr>
    </w:pPr>
    <w:r w:rsidRPr="00B7573F">
      <w:rPr>
        <w:rFonts w:ascii="AGaramond" w:hAnsi="AGaramond"/>
        <w:noProof/>
        <w:sz w:val="22"/>
        <w:szCs w:val="22"/>
        <w:lang w:val="es-VE" w:eastAsia="es-VE"/>
      </w:rPr>
      <mc:AlternateContent>
        <mc:Choice Requires="wps">
          <w:drawing>
            <wp:anchor distT="0" distB="0" distL="114300" distR="114300" simplePos="0" relativeHeight="251663360" behindDoc="0" locked="0" layoutInCell="1" allowOverlap="1" wp14:anchorId="7E86D68B" wp14:editId="15E19CD1">
              <wp:simplePos x="0" y="0"/>
              <wp:positionH relativeFrom="column">
                <wp:posOffset>33020</wp:posOffset>
              </wp:positionH>
              <wp:positionV relativeFrom="paragraph">
                <wp:posOffset>57150</wp:posOffset>
              </wp:positionV>
              <wp:extent cx="6219825" cy="0"/>
              <wp:effectExtent l="0" t="0" r="3175" b="0"/>
              <wp:wrapNone/>
              <wp:docPr id="6"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219825"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5A2010F" id="Conector recto 2"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4.5pt" to="492.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" strokecolor="black [3200]" strokeweight=".5pt">
              <v:stroke joinstyle="miter"/>
              <o:lock v:ext="edit" shapetype="f"/>
            </v:line>
          </w:pict>
        </mc:Fallback>
      </mc:AlternateContent>
    </w:r>
  </w:p>
  <w:p w14:paraId="26813151" w14:textId="20B6FFC5" w:rsidR="00427DC8" w:rsidRDefault="00E5117E" w:rsidP="00427DC8">
    <w:pPr>
      <w:pStyle w:val="ENCABEZATITULO"/>
      <w:ind w:right="143"/>
      <w:jc w:val="right"/>
      <w:rPr>
        <w:rFonts w:ascii="AGaramond" w:hAnsi="AGaramond"/>
        <w:i w:val="0"/>
        <w:smallCaps/>
        <w:sz w:val="22"/>
        <w:szCs w:val="22"/>
        <w:lang w:val="es-VE"/>
      </w:rPr>
    </w:pPr>
    <w:r>
      <w:rPr>
        <w:rFonts w:ascii="AGaramond" w:hAnsi="AGaramond"/>
        <w:i w:val="0"/>
        <w:smallCaps/>
        <w:sz w:val="22"/>
        <w:szCs w:val="22"/>
        <w:lang w:val="es-VE"/>
      </w:rPr>
      <w:t>Jorge Hernández</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4967A" w14:textId="29DB7D98" w:rsidR="006F6469" w:rsidRPr="00B7573F" w:rsidRDefault="00F16B86" w:rsidP="006F6469">
    <w:pPr>
      <w:ind w:left="142"/>
      <w:rPr>
        <w:rFonts w:ascii="AGaramond" w:hAnsi="AGaramond"/>
        <w:color w:val="000000" w:themeColor="text1"/>
        <w:sz w:val="15"/>
        <w:szCs w:val="15"/>
      </w:rPr>
    </w:pPr>
    <w:r w:rsidRPr="00B7573F">
      <w:rPr>
        <w:rFonts w:ascii="AGaramond" w:hAnsi="AGaramond" w:cs="Times"/>
        <w:iCs/>
        <w:noProof/>
        <w:sz w:val="16"/>
        <w:szCs w:val="16"/>
        <w:lang w:val="es-VE" w:eastAsia="es-VE"/>
      </w:rPr>
      <mc:AlternateContent>
        <mc:Choice Requires="wps">
          <w:drawing>
            <wp:anchor distT="0" distB="0" distL="114300" distR="114300" simplePos="0" relativeHeight="251664384" behindDoc="0" locked="0" layoutInCell="1" allowOverlap="1" wp14:anchorId="65851040" wp14:editId="3CCD4B0E">
              <wp:simplePos x="0" y="0"/>
              <wp:positionH relativeFrom="column">
                <wp:posOffset>0</wp:posOffset>
              </wp:positionH>
              <wp:positionV relativeFrom="paragraph">
                <wp:posOffset>-635</wp:posOffset>
              </wp:positionV>
              <wp:extent cx="0" cy="339725"/>
              <wp:effectExtent l="0" t="0" r="0" b="3175"/>
              <wp:wrapNone/>
              <wp:docPr id="4"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9725"/>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EB2E0" id="Conector recto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0,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" strokecolor="black [3200]">
              <v:stroke joinstyle="miter"/>
              <o:lock v:ext="edit" shapetype="f"/>
            </v:line>
          </w:pict>
        </mc:Fallback>
      </mc:AlternateContent>
    </w:r>
    <w:r w:rsidR="006F6469" w:rsidRPr="00B7573F">
      <w:rPr>
        <w:rFonts w:ascii="AGaramond" w:hAnsi="AGaramond"/>
        <w:color w:val="000000" w:themeColor="text1"/>
        <w:sz w:val="16"/>
        <w:szCs w:val="16"/>
      </w:rPr>
      <w:t>F</w:t>
    </w:r>
    <w:r w:rsidR="006F6469" w:rsidRPr="00B7573F">
      <w:rPr>
        <w:rFonts w:ascii="AGaramond" w:hAnsi="AGaramond"/>
        <w:color w:val="000000" w:themeColor="text1"/>
        <w:sz w:val="15"/>
        <w:szCs w:val="15"/>
      </w:rPr>
      <w:t xml:space="preserve">echa de recepción </w:t>
    </w:r>
    <w:r w:rsidR="00EA1BDD">
      <w:rPr>
        <w:rFonts w:ascii="AGaramond" w:hAnsi="AGaramond"/>
        <w:color w:val="000000" w:themeColor="text1"/>
        <w:sz w:val="15"/>
        <w:szCs w:val="15"/>
      </w:rPr>
      <w:t>04</w:t>
    </w:r>
    <w:r w:rsidR="006F6469" w:rsidRPr="00B7573F">
      <w:rPr>
        <w:rFonts w:ascii="AGaramond" w:hAnsi="AGaramond"/>
        <w:color w:val="000000" w:themeColor="text1"/>
        <w:sz w:val="15"/>
        <w:szCs w:val="15"/>
      </w:rPr>
      <w:t>/</w:t>
    </w:r>
    <w:r w:rsidR="00EA1BDD">
      <w:rPr>
        <w:rFonts w:ascii="AGaramond" w:hAnsi="AGaramond"/>
        <w:color w:val="000000" w:themeColor="text1"/>
        <w:sz w:val="15"/>
        <w:szCs w:val="15"/>
      </w:rPr>
      <w:t>06</w:t>
    </w:r>
    <w:r w:rsidR="006F6469" w:rsidRPr="00B7573F">
      <w:rPr>
        <w:rFonts w:ascii="AGaramond" w:hAnsi="AGaramond"/>
        <w:color w:val="000000" w:themeColor="text1"/>
        <w:sz w:val="15"/>
        <w:szCs w:val="15"/>
      </w:rPr>
      <w:t>/</w:t>
    </w:r>
    <w:r w:rsidR="00AF4CA5">
      <w:rPr>
        <w:rFonts w:ascii="AGaramond" w:hAnsi="AGaramond"/>
        <w:color w:val="000000" w:themeColor="text1"/>
        <w:sz w:val="15"/>
        <w:szCs w:val="15"/>
      </w:rPr>
      <w:t>20</w:t>
    </w:r>
    <w:r w:rsidR="00EA1BDD">
      <w:rPr>
        <w:rFonts w:ascii="AGaramond" w:hAnsi="AGaramond"/>
        <w:color w:val="000000" w:themeColor="text1"/>
        <w:sz w:val="15"/>
        <w:szCs w:val="15"/>
      </w:rPr>
      <w:t>21</w:t>
    </w:r>
  </w:p>
  <w:p w14:paraId="5D6DAE52" w14:textId="4966C19B" w:rsidR="006F6469" w:rsidRPr="00B7573F" w:rsidRDefault="006F6469" w:rsidP="006F6469">
    <w:pPr>
      <w:ind w:left="142"/>
      <w:rPr>
        <w:rFonts w:ascii="AGaramond" w:hAnsi="AGaramond"/>
        <w:color w:val="000000" w:themeColor="text1"/>
        <w:sz w:val="15"/>
        <w:szCs w:val="15"/>
      </w:rPr>
    </w:pPr>
    <w:r w:rsidRPr="00B7573F">
      <w:rPr>
        <w:rFonts w:ascii="AGaramond" w:hAnsi="AGaramond"/>
        <w:color w:val="000000" w:themeColor="text1"/>
        <w:sz w:val="15"/>
        <w:szCs w:val="15"/>
      </w:rPr>
      <w:t xml:space="preserve">Fecha de aceptación: </w:t>
    </w:r>
    <w:r w:rsidR="00EA1BDD">
      <w:rPr>
        <w:rFonts w:ascii="AGaramond" w:hAnsi="AGaramond"/>
        <w:color w:val="000000" w:themeColor="text1"/>
        <w:sz w:val="15"/>
        <w:szCs w:val="15"/>
      </w:rPr>
      <w:t>21</w:t>
    </w:r>
    <w:r w:rsidRPr="00B7573F">
      <w:rPr>
        <w:rFonts w:ascii="AGaramond" w:hAnsi="AGaramond"/>
        <w:color w:val="000000" w:themeColor="text1"/>
        <w:sz w:val="15"/>
        <w:szCs w:val="15"/>
      </w:rPr>
      <w:t>/</w:t>
    </w:r>
    <w:r w:rsidR="00EA1BDD">
      <w:rPr>
        <w:rFonts w:ascii="AGaramond" w:hAnsi="AGaramond"/>
        <w:color w:val="000000" w:themeColor="text1"/>
        <w:sz w:val="15"/>
        <w:szCs w:val="15"/>
      </w:rPr>
      <w:t>06</w:t>
    </w:r>
    <w:r w:rsidRPr="00B7573F">
      <w:rPr>
        <w:rFonts w:ascii="AGaramond" w:hAnsi="AGaramond"/>
        <w:color w:val="000000" w:themeColor="text1"/>
        <w:sz w:val="15"/>
        <w:szCs w:val="15"/>
      </w:rPr>
      <w:t>/</w:t>
    </w:r>
    <w:r w:rsidR="00AF4CA5">
      <w:rPr>
        <w:rFonts w:ascii="AGaramond" w:hAnsi="AGaramond"/>
        <w:color w:val="000000" w:themeColor="text1"/>
        <w:sz w:val="15"/>
        <w:szCs w:val="15"/>
      </w:rPr>
      <w:t>20</w:t>
    </w:r>
    <w:r w:rsidR="00EA1BDD">
      <w:rPr>
        <w:rFonts w:ascii="AGaramond" w:hAnsi="AGaramond"/>
        <w:color w:val="000000" w:themeColor="text1"/>
        <w:sz w:val="15"/>
        <w:szCs w:val="15"/>
      </w:rPr>
      <w:t>21</w:t>
    </w:r>
  </w:p>
  <w:p w14:paraId="53C55E1F" w14:textId="73CA879A" w:rsidR="006F6469" w:rsidRPr="00B7573F" w:rsidRDefault="006F6469" w:rsidP="006F6469">
    <w:pPr>
      <w:ind w:left="142"/>
      <w:rPr>
        <w:rFonts w:ascii="AGaramond" w:hAnsi="AGaramond"/>
        <w:color w:val="000000" w:themeColor="text1"/>
        <w:sz w:val="15"/>
        <w:szCs w:val="15"/>
      </w:rPr>
    </w:pPr>
    <w:r w:rsidRPr="00B7573F">
      <w:rPr>
        <w:rFonts w:ascii="AGaramond" w:hAnsi="AGaramond"/>
        <w:color w:val="000000" w:themeColor="text1"/>
        <w:sz w:val="15"/>
        <w:szCs w:val="15"/>
      </w:rPr>
      <w:t>Pp</w:t>
    </w:r>
    <w:r w:rsidR="0066699B" w:rsidRPr="00B7573F">
      <w:rPr>
        <w:rFonts w:ascii="AGaramond" w:hAnsi="AGaramond"/>
        <w:color w:val="000000" w:themeColor="text1"/>
        <w:sz w:val="15"/>
        <w:szCs w:val="15"/>
      </w:rPr>
      <w:t>.</w:t>
    </w:r>
    <w:r w:rsidRPr="00B7573F">
      <w:rPr>
        <w:rFonts w:ascii="AGaramond" w:hAnsi="AGaramond"/>
        <w:color w:val="000000" w:themeColor="text1"/>
        <w:sz w:val="15"/>
        <w:szCs w:val="15"/>
      </w:rPr>
      <w:t xml:space="preserve"> </w:t>
    </w:r>
    <w:r w:rsidR="003E52DB">
      <w:rPr>
        <w:rFonts w:ascii="AGaramond" w:hAnsi="AGaramond"/>
        <w:color w:val="000000" w:themeColor="text1"/>
        <w:sz w:val="15"/>
        <w:szCs w:val="15"/>
      </w:rPr>
      <w:t>74</w:t>
    </w:r>
    <w:r w:rsidRPr="00B7573F">
      <w:rPr>
        <w:rFonts w:ascii="AGaramond" w:hAnsi="AGaramond"/>
        <w:color w:val="000000" w:themeColor="text1"/>
        <w:sz w:val="15"/>
        <w:szCs w:val="15"/>
      </w:rPr>
      <w:t xml:space="preserve"> – Pp. </w:t>
    </w:r>
    <w:r w:rsidR="003E52DB">
      <w:rPr>
        <w:rFonts w:ascii="AGaramond" w:hAnsi="AGaramond"/>
        <w:color w:val="000000" w:themeColor="text1"/>
        <w:sz w:val="15"/>
        <w:szCs w:val="15"/>
      </w:rPr>
      <w:t>91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4C453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1C526D"/>
    <w:multiLevelType w:val="hybridMultilevel"/>
    <w:tmpl w:val="B150B81C"/>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15:restartNumberingAfterBreak="0">
    <w:nsid w:val="07E0462F"/>
    <w:multiLevelType w:val="hybridMultilevel"/>
    <w:tmpl w:val="6A0E1044"/>
    <w:lvl w:ilvl="0" w:tplc="D27210A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B0DDD"/>
    <w:multiLevelType w:val="hybridMultilevel"/>
    <w:tmpl w:val="0F78E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C44F74"/>
    <w:multiLevelType w:val="hybridMultilevel"/>
    <w:tmpl w:val="D826C8EA"/>
    <w:lvl w:ilvl="0" w:tplc="200A0001">
      <w:start w:val="1"/>
      <w:numFmt w:val="bullet"/>
      <w:lvlText w:val=""/>
      <w:lvlJc w:val="left"/>
      <w:pPr>
        <w:ind w:left="720" w:hanging="360"/>
      </w:pPr>
      <w:rPr>
        <w:rFonts w:ascii="Symbol" w:hAnsi="Symbol"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15:restartNumberingAfterBreak="0">
    <w:nsid w:val="12A56E30"/>
    <w:multiLevelType w:val="hybridMultilevel"/>
    <w:tmpl w:val="EBD4AAD8"/>
    <w:lvl w:ilvl="0" w:tplc="A88EFD4C">
      <w:start w:val="1"/>
      <w:numFmt w:val="bullet"/>
      <w:lvlText w:val="•"/>
      <w:lvlJc w:val="left"/>
      <w:pPr>
        <w:tabs>
          <w:tab w:val="num" w:pos="360"/>
        </w:tabs>
        <w:ind w:left="360" w:hanging="360"/>
      </w:pPr>
      <w:rPr>
        <w:rFonts w:ascii="Times New Roman" w:hAnsi="Times New Roman" w:hint="default"/>
      </w:rPr>
    </w:lvl>
    <w:lvl w:ilvl="1" w:tplc="E8882914" w:tentative="1">
      <w:start w:val="1"/>
      <w:numFmt w:val="bullet"/>
      <w:lvlText w:val="•"/>
      <w:lvlJc w:val="left"/>
      <w:pPr>
        <w:tabs>
          <w:tab w:val="num" w:pos="1080"/>
        </w:tabs>
        <w:ind w:left="1080" w:hanging="360"/>
      </w:pPr>
      <w:rPr>
        <w:rFonts w:ascii="Times New Roman" w:hAnsi="Times New Roman" w:hint="default"/>
      </w:rPr>
    </w:lvl>
    <w:lvl w:ilvl="2" w:tplc="5898300A" w:tentative="1">
      <w:start w:val="1"/>
      <w:numFmt w:val="bullet"/>
      <w:lvlText w:val="•"/>
      <w:lvlJc w:val="left"/>
      <w:pPr>
        <w:tabs>
          <w:tab w:val="num" w:pos="1800"/>
        </w:tabs>
        <w:ind w:left="1800" w:hanging="360"/>
      </w:pPr>
      <w:rPr>
        <w:rFonts w:ascii="Times New Roman" w:hAnsi="Times New Roman" w:hint="default"/>
      </w:rPr>
    </w:lvl>
    <w:lvl w:ilvl="3" w:tplc="4B44D0F8" w:tentative="1">
      <w:start w:val="1"/>
      <w:numFmt w:val="bullet"/>
      <w:lvlText w:val="•"/>
      <w:lvlJc w:val="left"/>
      <w:pPr>
        <w:tabs>
          <w:tab w:val="num" w:pos="2520"/>
        </w:tabs>
        <w:ind w:left="2520" w:hanging="360"/>
      </w:pPr>
      <w:rPr>
        <w:rFonts w:ascii="Times New Roman" w:hAnsi="Times New Roman" w:hint="default"/>
      </w:rPr>
    </w:lvl>
    <w:lvl w:ilvl="4" w:tplc="6038CE58" w:tentative="1">
      <w:start w:val="1"/>
      <w:numFmt w:val="bullet"/>
      <w:lvlText w:val="•"/>
      <w:lvlJc w:val="left"/>
      <w:pPr>
        <w:tabs>
          <w:tab w:val="num" w:pos="3240"/>
        </w:tabs>
        <w:ind w:left="3240" w:hanging="360"/>
      </w:pPr>
      <w:rPr>
        <w:rFonts w:ascii="Times New Roman" w:hAnsi="Times New Roman" w:hint="default"/>
      </w:rPr>
    </w:lvl>
    <w:lvl w:ilvl="5" w:tplc="834EEA7E" w:tentative="1">
      <w:start w:val="1"/>
      <w:numFmt w:val="bullet"/>
      <w:lvlText w:val="•"/>
      <w:lvlJc w:val="left"/>
      <w:pPr>
        <w:tabs>
          <w:tab w:val="num" w:pos="3960"/>
        </w:tabs>
        <w:ind w:left="3960" w:hanging="360"/>
      </w:pPr>
      <w:rPr>
        <w:rFonts w:ascii="Times New Roman" w:hAnsi="Times New Roman" w:hint="default"/>
      </w:rPr>
    </w:lvl>
    <w:lvl w:ilvl="6" w:tplc="8F927732" w:tentative="1">
      <w:start w:val="1"/>
      <w:numFmt w:val="bullet"/>
      <w:lvlText w:val="•"/>
      <w:lvlJc w:val="left"/>
      <w:pPr>
        <w:tabs>
          <w:tab w:val="num" w:pos="4680"/>
        </w:tabs>
        <w:ind w:left="4680" w:hanging="360"/>
      </w:pPr>
      <w:rPr>
        <w:rFonts w:ascii="Times New Roman" w:hAnsi="Times New Roman" w:hint="default"/>
      </w:rPr>
    </w:lvl>
    <w:lvl w:ilvl="7" w:tplc="2BE8B2B4" w:tentative="1">
      <w:start w:val="1"/>
      <w:numFmt w:val="bullet"/>
      <w:lvlText w:val="•"/>
      <w:lvlJc w:val="left"/>
      <w:pPr>
        <w:tabs>
          <w:tab w:val="num" w:pos="5400"/>
        </w:tabs>
        <w:ind w:left="5400" w:hanging="360"/>
      </w:pPr>
      <w:rPr>
        <w:rFonts w:ascii="Times New Roman" w:hAnsi="Times New Roman" w:hint="default"/>
      </w:rPr>
    </w:lvl>
    <w:lvl w:ilvl="8" w:tplc="12768C28" w:tentative="1">
      <w:start w:val="1"/>
      <w:numFmt w:val="bullet"/>
      <w:lvlText w:val="•"/>
      <w:lvlJc w:val="left"/>
      <w:pPr>
        <w:tabs>
          <w:tab w:val="num" w:pos="6120"/>
        </w:tabs>
        <w:ind w:left="6120" w:hanging="360"/>
      </w:pPr>
      <w:rPr>
        <w:rFonts w:ascii="Times New Roman" w:hAnsi="Times New Roman" w:hint="default"/>
      </w:rPr>
    </w:lvl>
  </w:abstractNum>
  <w:abstractNum w:abstractNumId="6" w15:restartNumberingAfterBreak="0">
    <w:nsid w:val="133760D2"/>
    <w:multiLevelType w:val="hybridMultilevel"/>
    <w:tmpl w:val="51603C4A"/>
    <w:lvl w:ilvl="0" w:tplc="200A001B">
      <w:start w:val="1"/>
      <w:numFmt w:val="lowerRoman"/>
      <w:lvlText w:val="%1."/>
      <w:lvlJc w:val="righ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15:restartNumberingAfterBreak="0">
    <w:nsid w:val="138F0FA1"/>
    <w:multiLevelType w:val="hybridMultilevel"/>
    <w:tmpl w:val="A6E40696"/>
    <w:lvl w:ilvl="0" w:tplc="4454B24C">
      <w:start w:val="1"/>
      <w:numFmt w:val="bullet"/>
      <w:lvlText w:val="*"/>
      <w:lvlJc w:val="left"/>
      <w:pPr>
        <w:ind w:left="720" w:hanging="360"/>
      </w:pPr>
      <w:rPr>
        <w:rFonts w:ascii="Arial" w:hAnsi="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15:restartNumberingAfterBreak="0">
    <w:nsid w:val="141D5164"/>
    <w:multiLevelType w:val="hybridMultilevel"/>
    <w:tmpl w:val="CD7A5DF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5AC0D78"/>
    <w:multiLevelType w:val="hybridMultilevel"/>
    <w:tmpl w:val="5464D05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84C4F4C"/>
    <w:multiLevelType w:val="multilevel"/>
    <w:tmpl w:val="80E08BA4"/>
    <w:lvl w:ilvl="0">
      <w:start w:val="1"/>
      <w:numFmt w:val="decimal"/>
      <w:pStyle w:val="Titulo1"/>
      <w:lvlText w:val="%1."/>
      <w:lvlJc w:val="left"/>
      <w:pPr>
        <w:ind w:left="890" w:hanging="360"/>
      </w:pPr>
    </w:lvl>
    <w:lvl w:ilvl="1">
      <w:start w:val="1"/>
      <w:numFmt w:val="decimal"/>
      <w:isLgl/>
      <w:lvlText w:val="%1.%2"/>
      <w:lvlJc w:val="left"/>
      <w:pPr>
        <w:ind w:left="890" w:hanging="360"/>
      </w:pPr>
      <w:rPr>
        <w:rFonts w:hint="default"/>
      </w:rPr>
    </w:lvl>
    <w:lvl w:ilvl="2">
      <w:start w:val="1"/>
      <w:numFmt w:val="decimal"/>
      <w:isLgl/>
      <w:lvlText w:val="%1.%2.%3"/>
      <w:lvlJc w:val="left"/>
      <w:pPr>
        <w:ind w:left="1250" w:hanging="720"/>
      </w:pPr>
      <w:rPr>
        <w:rFonts w:hint="default"/>
      </w:rPr>
    </w:lvl>
    <w:lvl w:ilvl="3">
      <w:start w:val="1"/>
      <w:numFmt w:val="decimal"/>
      <w:isLgl/>
      <w:lvlText w:val="%1.%2.%3.%4"/>
      <w:lvlJc w:val="left"/>
      <w:pPr>
        <w:ind w:left="1250" w:hanging="720"/>
      </w:pPr>
      <w:rPr>
        <w:rFonts w:hint="default"/>
      </w:rPr>
    </w:lvl>
    <w:lvl w:ilvl="4">
      <w:start w:val="1"/>
      <w:numFmt w:val="decimal"/>
      <w:isLgl/>
      <w:lvlText w:val="%1.%2.%3.%4.%5"/>
      <w:lvlJc w:val="left"/>
      <w:pPr>
        <w:ind w:left="1610" w:hanging="1080"/>
      </w:pPr>
      <w:rPr>
        <w:rFonts w:hint="default"/>
      </w:rPr>
    </w:lvl>
    <w:lvl w:ilvl="5">
      <w:start w:val="1"/>
      <w:numFmt w:val="decimal"/>
      <w:isLgl/>
      <w:lvlText w:val="%1.%2.%3.%4.%5.%6"/>
      <w:lvlJc w:val="left"/>
      <w:pPr>
        <w:ind w:left="1610" w:hanging="1080"/>
      </w:pPr>
      <w:rPr>
        <w:rFonts w:hint="default"/>
      </w:rPr>
    </w:lvl>
    <w:lvl w:ilvl="6">
      <w:start w:val="1"/>
      <w:numFmt w:val="decimal"/>
      <w:isLgl/>
      <w:lvlText w:val="%1.%2.%3.%4.%5.%6.%7"/>
      <w:lvlJc w:val="left"/>
      <w:pPr>
        <w:ind w:left="1970" w:hanging="1440"/>
      </w:pPr>
      <w:rPr>
        <w:rFonts w:hint="default"/>
      </w:rPr>
    </w:lvl>
    <w:lvl w:ilvl="7">
      <w:start w:val="1"/>
      <w:numFmt w:val="decimal"/>
      <w:isLgl/>
      <w:lvlText w:val="%1.%2.%3.%4.%5.%6.%7.%8"/>
      <w:lvlJc w:val="left"/>
      <w:pPr>
        <w:ind w:left="1970" w:hanging="1440"/>
      </w:pPr>
      <w:rPr>
        <w:rFonts w:hint="default"/>
      </w:rPr>
    </w:lvl>
    <w:lvl w:ilvl="8">
      <w:start w:val="1"/>
      <w:numFmt w:val="decimal"/>
      <w:isLgl/>
      <w:lvlText w:val="%1.%2.%3.%4.%5.%6.%7.%8.%9"/>
      <w:lvlJc w:val="left"/>
      <w:pPr>
        <w:ind w:left="2330" w:hanging="1800"/>
      </w:pPr>
      <w:rPr>
        <w:rFonts w:hint="default"/>
      </w:rPr>
    </w:lvl>
  </w:abstractNum>
  <w:abstractNum w:abstractNumId="11" w15:restartNumberingAfterBreak="0">
    <w:nsid w:val="18D01AF4"/>
    <w:multiLevelType w:val="hybridMultilevel"/>
    <w:tmpl w:val="8FAE9BDC"/>
    <w:lvl w:ilvl="0" w:tplc="200A000F">
      <w:start w:val="1"/>
      <w:numFmt w:val="decimal"/>
      <w:lvlText w:val="%1."/>
      <w:lvlJc w:val="left"/>
      <w:pPr>
        <w:ind w:left="4150" w:hanging="360"/>
      </w:pPr>
    </w:lvl>
    <w:lvl w:ilvl="1" w:tplc="200A0019" w:tentative="1">
      <w:start w:val="1"/>
      <w:numFmt w:val="lowerLetter"/>
      <w:lvlText w:val="%2."/>
      <w:lvlJc w:val="left"/>
      <w:pPr>
        <w:ind w:left="4870" w:hanging="360"/>
      </w:pPr>
    </w:lvl>
    <w:lvl w:ilvl="2" w:tplc="200A001B" w:tentative="1">
      <w:start w:val="1"/>
      <w:numFmt w:val="lowerRoman"/>
      <w:lvlText w:val="%3."/>
      <w:lvlJc w:val="right"/>
      <w:pPr>
        <w:ind w:left="5590" w:hanging="180"/>
      </w:pPr>
    </w:lvl>
    <w:lvl w:ilvl="3" w:tplc="200A000F" w:tentative="1">
      <w:start w:val="1"/>
      <w:numFmt w:val="decimal"/>
      <w:lvlText w:val="%4."/>
      <w:lvlJc w:val="left"/>
      <w:pPr>
        <w:ind w:left="6310" w:hanging="360"/>
      </w:pPr>
    </w:lvl>
    <w:lvl w:ilvl="4" w:tplc="200A0019" w:tentative="1">
      <w:start w:val="1"/>
      <w:numFmt w:val="lowerLetter"/>
      <w:lvlText w:val="%5."/>
      <w:lvlJc w:val="left"/>
      <w:pPr>
        <w:ind w:left="7030" w:hanging="360"/>
      </w:pPr>
    </w:lvl>
    <w:lvl w:ilvl="5" w:tplc="200A001B" w:tentative="1">
      <w:start w:val="1"/>
      <w:numFmt w:val="lowerRoman"/>
      <w:lvlText w:val="%6."/>
      <w:lvlJc w:val="right"/>
      <w:pPr>
        <w:ind w:left="7750" w:hanging="180"/>
      </w:pPr>
    </w:lvl>
    <w:lvl w:ilvl="6" w:tplc="200A000F" w:tentative="1">
      <w:start w:val="1"/>
      <w:numFmt w:val="decimal"/>
      <w:lvlText w:val="%7."/>
      <w:lvlJc w:val="left"/>
      <w:pPr>
        <w:ind w:left="8470" w:hanging="360"/>
      </w:pPr>
    </w:lvl>
    <w:lvl w:ilvl="7" w:tplc="200A0019" w:tentative="1">
      <w:start w:val="1"/>
      <w:numFmt w:val="lowerLetter"/>
      <w:lvlText w:val="%8."/>
      <w:lvlJc w:val="left"/>
      <w:pPr>
        <w:ind w:left="9190" w:hanging="360"/>
      </w:pPr>
    </w:lvl>
    <w:lvl w:ilvl="8" w:tplc="200A001B" w:tentative="1">
      <w:start w:val="1"/>
      <w:numFmt w:val="lowerRoman"/>
      <w:lvlText w:val="%9."/>
      <w:lvlJc w:val="right"/>
      <w:pPr>
        <w:ind w:left="9910" w:hanging="180"/>
      </w:pPr>
    </w:lvl>
  </w:abstractNum>
  <w:abstractNum w:abstractNumId="12" w15:restartNumberingAfterBreak="0">
    <w:nsid w:val="1C3B3674"/>
    <w:multiLevelType w:val="hybridMultilevel"/>
    <w:tmpl w:val="64408A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C96681A"/>
    <w:multiLevelType w:val="multilevel"/>
    <w:tmpl w:val="0D223832"/>
    <w:lvl w:ilvl="0">
      <w:start w:val="2"/>
      <w:numFmt w:val="decimal"/>
      <w:lvlText w:val="%1"/>
      <w:lvlJc w:val="left"/>
      <w:pPr>
        <w:ind w:left="432" w:hanging="432"/>
      </w:pPr>
      <w:rPr>
        <w:rFonts w:hint="default"/>
      </w:rPr>
    </w:lvl>
    <w:lvl w:ilvl="1">
      <w:start w:val="1"/>
      <w:numFmt w:val="decimal"/>
      <w:pStyle w:val="Titulo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290"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0F06243"/>
    <w:multiLevelType w:val="multilevel"/>
    <w:tmpl w:val="EA3A57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44E0C16"/>
    <w:multiLevelType w:val="hybridMultilevel"/>
    <w:tmpl w:val="79E49942"/>
    <w:lvl w:ilvl="0" w:tplc="200A0001">
      <w:start w:val="1"/>
      <w:numFmt w:val="bullet"/>
      <w:lvlText w:val=""/>
      <w:lvlJc w:val="left"/>
      <w:pPr>
        <w:ind w:left="1004" w:hanging="360"/>
      </w:pPr>
      <w:rPr>
        <w:rFonts w:ascii="Symbol" w:hAnsi="Symbol" w:hint="default"/>
      </w:rPr>
    </w:lvl>
    <w:lvl w:ilvl="1" w:tplc="200A0003" w:tentative="1">
      <w:start w:val="1"/>
      <w:numFmt w:val="bullet"/>
      <w:lvlText w:val="o"/>
      <w:lvlJc w:val="left"/>
      <w:pPr>
        <w:ind w:left="1724" w:hanging="360"/>
      </w:pPr>
      <w:rPr>
        <w:rFonts w:ascii="Courier New" w:hAnsi="Courier New" w:cs="Courier New" w:hint="default"/>
      </w:rPr>
    </w:lvl>
    <w:lvl w:ilvl="2" w:tplc="200A0005" w:tentative="1">
      <w:start w:val="1"/>
      <w:numFmt w:val="bullet"/>
      <w:lvlText w:val=""/>
      <w:lvlJc w:val="left"/>
      <w:pPr>
        <w:ind w:left="2444" w:hanging="360"/>
      </w:pPr>
      <w:rPr>
        <w:rFonts w:ascii="Wingdings" w:hAnsi="Wingdings" w:hint="default"/>
      </w:rPr>
    </w:lvl>
    <w:lvl w:ilvl="3" w:tplc="200A0001" w:tentative="1">
      <w:start w:val="1"/>
      <w:numFmt w:val="bullet"/>
      <w:lvlText w:val=""/>
      <w:lvlJc w:val="left"/>
      <w:pPr>
        <w:ind w:left="3164" w:hanging="360"/>
      </w:pPr>
      <w:rPr>
        <w:rFonts w:ascii="Symbol" w:hAnsi="Symbol" w:hint="default"/>
      </w:rPr>
    </w:lvl>
    <w:lvl w:ilvl="4" w:tplc="200A0003" w:tentative="1">
      <w:start w:val="1"/>
      <w:numFmt w:val="bullet"/>
      <w:lvlText w:val="o"/>
      <w:lvlJc w:val="left"/>
      <w:pPr>
        <w:ind w:left="3884" w:hanging="360"/>
      </w:pPr>
      <w:rPr>
        <w:rFonts w:ascii="Courier New" w:hAnsi="Courier New" w:cs="Courier New" w:hint="default"/>
      </w:rPr>
    </w:lvl>
    <w:lvl w:ilvl="5" w:tplc="200A0005" w:tentative="1">
      <w:start w:val="1"/>
      <w:numFmt w:val="bullet"/>
      <w:lvlText w:val=""/>
      <w:lvlJc w:val="left"/>
      <w:pPr>
        <w:ind w:left="4604" w:hanging="360"/>
      </w:pPr>
      <w:rPr>
        <w:rFonts w:ascii="Wingdings" w:hAnsi="Wingdings" w:hint="default"/>
      </w:rPr>
    </w:lvl>
    <w:lvl w:ilvl="6" w:tplc="200A0001" w:tentative="1">
      <w:start w:val="1"/>
      <w:numFmt w:val="bullet"/>
      <w:lvlText w:val=""/>
      <w:lvlJc w:val="left"/>
      <w:pPr>
        <w:ind w:left="5324" w:hanging="360"/>
      </w:pPr>
      <w:rPr>
        <w:rFonts w:ascii="Symbol" w:hAnsi="Symbol" w:hint="default"/>
      </w:rPr>
    </w:lvl>
    <w:lvl w:ilvl="7" w:tplc="200A0003" w:tentative="1">
      <w:start w:val="1"/>
      <w:numFmt w:val="bullet"/>
      <w:lvlText w:val="o"/>
      <w:lvlJc w:val="left"/>
      <w:pPr>
        <w:ind w:left="6044" w:hanging="360"/>
      </w:pPr>
      <w:rPr>
        <w:rFonts w:ascii="Courier New" w:hAnsi="Courier New" w:cs="Courier New" w:hint="default"/>
      </w:rPr>
    </w:lvl>
    <w:lvl w:ilvl="8" w:tplc="200A0005" w:tentative="1">
      <w:start w:val="1"/>
      <w:numFmt w:val="bullet"/>
      <w:lvlText w:val=""/>
      <w:lvlJc w:val="left"/>
      <w:pPr>
        <w:ind w:left="6764" w:hanging="360"/>
      </w:pPr>
      <w:rPr>
        <w:rFonts w:ascii="Wingdings" w:hAnsi="Wingdings" w:hint="default"/>
      </w:rPr>
    </w:lvl>
  </w:abstractNum>
  <w:abstractNum w:abstractNumId="16" w15:restartNumberingAfterBreak="0">
    <w:nsid w:val="2D375EAC"/>
    <w:multiLevelType w:val="hybridMultilevel"/>
    <w:tmpl w:val="E1CC04C2"/>
    <w:lvl w:ilvl="0" w:tplc="148C9162">
      <w:start w:val="1"/>
      <w:numFmt w:val="bullet"/>
      <w:lvlText w:val=""/>
      <w:lvlJc w:val="left"/>
      <w:pPr>
        <w:ind w:left="720" w:hanging="360"/>
      </w:pPr>
      <w:rPr>
        <w:rFonts w:ascii="Symbol" w:eastAsiaTheme="minorEastAsia"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15:restartNumberingAfterBreak="0">
    <w:nsid w:val="360475CE"/>
    <w:multiLevelType w:val="hybridMultilevel"/>
    <w:tmpl w:val="3EF00510"/>
    <w:lvl w:ilvl="0" w:tplc="ADAAFEDC">
      <w:start w:val="1"/>
      <w:numFmt w:val="lowerRoman"/>
      <w:lvlText w:val="%1."/>
      <w:lvlJc w:val="left"/>
      <w:pPr>
        <w:ind w:left="1080" w:hanging="720"/>
      </w:pPr>
      <w:rPr>
        <w:rFonts w:hint="default"/>
        <w:sz w:val="24"/>
        <w:szCs w:val="24"/>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8" w15:restartNumberingAfterBreak="0">
    <w:nsid w:val="4460623E"/>
    <w:multiLevelType w:val="hybridMultilevel"/>
    <w:tmpl w:val="83D641F2"/>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49A46F88"/>
    <w:multiLevelType w:val="hybridMultilevel"/>
    <w:tmpl w:val="E932E3A0"/>
    <w:lvl w:ilvl="0" w:tplc="D27210A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1012AD"/>
    <w:multiLevelType w:val="hybridMultilevel"/>
    <w:tmpl w:val="687863F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532329B3"/>
    <w:multiLevelType w:val="hybridMultilevel"/>
    <w:tmpl w:val="E60C14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3815214"/>
    <w:multiLevelType w:val="hybridMultilevel"/>
    <w:tmpl w:val="2EFAAEEE"/>
    <w:lvl w:ilvl="0" w:tplc="61103728">
      <w:start w:val="1"/>
      <w:numFmt w:val="decimal"/>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542268D1"/>
    <w:multiLevelType w:val="hybridMultilevel"/>
    <w:tmpl w:val="DE4E0852"/>
    <w:lvl w:ilvl="0" w:tplc="200A000F">
      <w:start w:val="1"/>
      <w:numFmt w:val="decimal"/>
      <w:lvlText w:val="%1."/>
      <w:lvlJc w:val="left"/>
      <w:pPr>
        <w:ind w:left="530" w:hanging="360"/>
      </w:pPr>
      <w:rPr>
        <w:rFonts w:hint="default"/>
      </w:rPr>
    </w:lvl>
    <w:lvl w:ilvl="1" w:tplc="200A0019" w:tentative="1">
      <w:start w:val="1"/>
      <w:numFmt w:val="lowerLetter"/>
      <w:lvlText w:val="%2."/>
      <w:lvlJc w:val="left"/>
      <w:pPr>
        <w:ind w:left="1250" w:hanging="360"/>
      </w:pPr>
    </w:lvl>
    <w:lvl w:ilvl="2" w:tplc="200A001B" w:tentative="1">
      <w:start w:val="1"/>
      <w:numFmt w:val="lowerRoman"/>
      <w:lvlText w:val="%3."/>
      <w:lvlJc w:val="right"/>
      <w:pPr>
        <w:ind w:left="1970" w:hanging="180"/>
      </w:pPr>
    </w:lvl>
    <w:lvl w:ilvl="3" w:tplc="200A000F" w:tentative="1">
      <w:start w:val="1"/>
      <w:numFmt w:val="decimal"/>
      <w:lvlText w:val="%4."/>
      <w:lvlJc w:val="left"/>
      <w:pPr>
        <w:ind w:left="2690" w:hanging="360"/>
      </w:pPr>
    </w:lvl>
    <w:lvl w:ilvl="4" w:tplc="200A0019" w:tentative="1">
      <w:start w:val="1"/>
      <w:numFmt w:val="lowerLetter"/>
      <w:lvlText w:val="%5."/>
      <w:lvlJc w:val="left"/>
      <w:pPr>
        <w:ind w:left="3410" w:hanging="360"/>
      </w:pPr>
    </w:lvl>
    <w:lvl w:ilvl="5" w:tplc="200A001B" w:tentative="1">
      <w:start w:val="1"/>
      <w:numFmt w:val="lowerRoman"/>
      <w:lvlText w:val="%6."/>
      <w:lvlJc w:val="right"/>
      <w:pPr>
        <w:ind w:left="4130" w:hanging="180"/>
      </w:pPr>
    </w:lvl>
    <w:lvl w:ilvl="6" w:tplc="200A000F" w:tentative="1">
      <w:start w:val="1"/>
      <w:numFmt w:val="decimal"/>
      <w:lvlText w:val="%7."/>
      <w:lvlJc w:val="left"/>
      <w:pPr>
        <w:ind w:left="4850" w:hanging="360"/>
      </w:pPr>
    </w:lvl>
    <w:lvl w:ilvl="7" w:tplc="200A0019" w:tentative="1">
      <w:start w:val="1"/>
      <w:numFmt w:val="lowerLetter"/>
      <w:lvlText w:val="%8."/>
      <w:lvlJc w:val="left"/>
      <w:pPr>
        <w:ind w:left="5570" w:hanging="360"/>
      </w:pPr>
    </w:lvl>
    <w:lvl w:ilvl="8" w:tplc="200A001B" w:tentative="1">
      <w:start w:val="1"/>
      <w:numFmt w:val="lowerRoman"/>
      <w:lvlText w:val="%9."/>
      <w:lvlJc w:val="right"/>
      <w:pPr>
        <w:ind w:left="6290" w:hanging="180"/>
      </w:pPr>
    </w:lvl>
  </w:abstractNum>
  <w:abstractNum w:abstractNumId="24" w15:restartNumberingAfterBreak="0">
    <w:nsid w:val="570C391F"/>
    <w:multiLevelType w:val="hybridMultilevel"/>
    <w:tmpl w:val="712AC320"/>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5" w15:restartNumberingAfterBreak="0">
    <w:nsid w:val="57843640"/>
    <w:multiLevelType w:val="hybridMultilevel"/>
    <w:tmpl w:val="02E0AB54"/>
    <w:lvl w:ilvl="0" w:tplc="DE1C7F20">
      <w:start w:val="1"/>
      <w:numFmt w:val="bullet"/>
      <w:lvlText w:val="•"/>
      <w:lvlJc w:val="left"/>
      <w:pPr>
        <w:ind w:left="360" w:hanging="360"/>
      </w:pPr>
      <w:rPr>
        <w:rFonts w:ascii="Arial" w:hAnsi="Aria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26" w15:restartNumberingAfterBreak="0">
    <w:nsid w:val="67F90992"/>
    <w:multiLevelType w:val="hybridMultilevel"/>
    <w:tmpl w:val="FBAC80E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7" w15:restartNumberingAfterBreak="0">
    <w:nsid w:val="6B9D2CD6"/>
    <w:multiLevelType w:val="hybridMultilevel"/>
    <w:tmpl w:val="9F32DC18"/>
    <w:lvl w:ilvl="0" w:tplc="A3CC4A3E">
      <w:start w:val="1"/>
      <w:numFmt w:val="decimal"/>
      <w:pStyle w:val="MTDisplayEquation"/>
      <w:lvlText w:val="%1."/>
      <w:lvlJc w:val="left"/>
      <w:pPr>
        <w:ind w:left="1211" w:hanging="360"/>
      </w:pPr>
      <w:rPr>
        <w:rFonts w:hint="default"/>
      </w:rPr>
    </w:lvl>
    <w:lvl w:ilvl="1" w:tplc="200A0019">
      <w:start w:val="1"/>
      <w:numFmt w:val="lowerLetter"/>
      <w:lvlText w:val="%2."/>
      <w:lvlJc w:val="left"/>
      <w:pPr>
        <w:ind w:left="1865" w:hanging="360"/>
      </w:pPr>
    </w:lvl>
    <w:lvl w:ilvl="2" w:tplc="200A001B">
      <w:start w:val="1"/>
      <w:numFmt w:val="lowerRoman"/>
      <w:lvlText w:val="%3."/>
      <w:lvlJc w:val="right"/>
      <w:pPr>
        <w:ind w:left="2585" w:hanging="180"/>
      </w:pPr>
    </w:lvl>
    <w:lvl w:ilvl="3" w:tplc="200A000F">
      <w:start w:val="1"/>
      <w:numFmt w:val="decimal"/>
      <w:lvlText w:val="%4."/>
      <w:lvlJc w:val="left"/>
      <w:pPr>
        <w:ind w:left="3305" w:hanging="360"/>
      </w:pPr>
    </w:lvl>
    <w:lvl w:ilvl="4" w:tplc="200A0019" w:tentative="1">
      <w:start w:val="1"/>
      <w:numFmt w:val="lowerLetter"/>
      <w:lvlText w:val="%5."/>
      <w:lvlJc w:val="left"/>
      <w:pPr>
        <w:ind w:left="4025" w:hanging="360"/>
      </w:pPr>
    </w:lvl>
    <w:lvl w:ilvl="5" w:tplc="200A001B" w:tentative="1">
      <w:start w:val="1"/>
      <w:numFmt w:val="lowerRoman"/>
      <w:lvlText w:val="%6."/>
      <w:lvlJc w:val="right"/>
      <w:pPr>
        <w:ind w:left="4745" w:hanging="180"/>
      </w:pPr>
    </w:lvl>
    <w:lvl w:ilvl="6" w:tplc="200A000F" w:tentative="1">
      <w:start w:val="1"/>
      <w:numFmt w:val="decimal"/>
      <w:lvlText w:val="%7."/>
      <w:lvlJc w:val="left"/>
      <w:pPr>
        <w:ind w:left="5465" w:hanging="360"/>
      </w:pPr>
    </w:lvl>
    <w:lvl w:ilvl="7" w:tplc="200A0019" w:tentative="1">
      <w:start w:val="1"/>
      <w:numFmt w:val="lowerLetter"/>
      <w:lvlText w:val="%8."/>
      <w:lvlJc w:val="left"/>
      <w:pPr>
        <w:ind w:left="6185" w:hanging="360"/>
      </w:pPr>
    </w:lvl>
    <w:lvl w:ilvl="8" w:tplc="200A001B" w:tentative="1">
      <w:start w:val="1"/>
      <w:numFmt w:val="lowerRoman"/>
      <w:lvlText w:val="%9."/>
      <w:lvlJc w:val="right"/>
      <w:pPr>
        <w:ind w:left="6905" w:hanging="180"/>
      </w:pPr>
    </w:lvl>
  </w:abstractNum>
  <w:abstractNum w:abstractNumId="28" w15:restartNumberingAfterBreak="0">
    <w:nsid w:val="6FC76614"/>
    <w:multiLevelType w:val="hybridMultilevel"/>
    <w:tmpl w:val="B8A6640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9" w15:restartNumberingAfterBreak="0">
    <w:nsid w:val="70CA4FC6"/>
    <w:multiLevelType w:val="hybridMultilevel"/>
    <w:tmpl w:val="56B6099E"/>
    <w:lvl w:ilvl="0" w:tplc="B950DE64">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723952FA"/>
    <w:multiLevelType w:val="hybridMultilevel"/>
    <w:tmpl w:val="438CAEC6"/>
    <w:lvl w:ilvl="0" w:tplc="CCD8F890">
      <w:start w:val="1"/>
      <w:numFmt w:val="upperRoman"/>
      <w:lvlText w:val="%1."/>
      <w:lvlJc w:val="left"/>
      <w:pPr>
        <w:ind w:left="1080" w:hanging="72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1" w15:restartNumberingAfterBreak="0">
    <w:nsid w:val="73A3107C"/>
    <w:multiLevelType w:val="multilevel"/>
    <w:tmpl w:val="7ACC5340"/>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32" w15:restartNumberingAfterBreak="0">
    <w:nsid w:val="7507629D"/>
    <w:multiLevelType w:val="hybridMultilevel"/>
    <w:tmpl w:val="20E69F6E"/>
    <w:lvl w:ilvl="0" w:tplc="200A0011">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3" w15:restartNumberingAfterBreak="0">
    <w:nsid w:val="78B92314"/>
    <w:multiLevelType w:val="hybridMultilevel"/>
    <w:tmpl w:val="03343A58"/>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4" w15:restartNumberingAfterBreak="0">
    <w:nsid w:val="78F81CA4"/>
    <w:multiLevelType w:val="hybridMultilevel"/>
    <w:tmpl w:val="06D8CA22"/>
    <w:lvl w:ilvl="0" w:tplc="19D43E72">
      <w:start w:val="1"/>
      <w:numFmt w:val="bullet"/>
      <w:lvlText w:val="•"/>
      <w:lvlJc w:val="left"/>
      <w:pPr>
        <w:tabs>
          <w:tab w:val="num" w:pos="360"/>
        </w:tabs>
        <w:ind w:left="360" w:hanging="360"/>
      </w:pPr>
      <w:rPr>
        <w:rFonts w:ascii="Times New Roman" w:hAnsi="Times New Roman" w:hint="default"/>
      </w:rPr>
    </w:lvl>
    <w:lvl w:ilvl="1" w:tplc="FF38A1BE" w:tentative="1">
      <w:start w:val="1"/>
      <w:numFmt w:val="bullet"/>
      <w:lvlText w:val="•"/>
      <w:lvlJc w:val="left"/>
      <w:pPr>
        <w:tabs>
          <w:tab w:val="num" w:pos="1080"/>
        </w:tabs>
        <w:ind w:left="1080" w:hanging="360"/>
      </w:pPr>
      <w:rPr>
        <w:rFonts w:ascii="Times New Roman" w:hAnsi="Times New Roman" w:hint="default"/>
      </w:rPr>
    </w:lvl>
    <w:lvl w:ilvl="2" w:tplc="8EA0FB84" w:tentative="1">
      <w:start w:val="1"/>
      <w:numFmt w:val="bullet"/>
      <w:lvlText w:val="•"/>
      <w:lvlJc w:val="left"/>
      <w:pPr>
        <w:tabs>
          <w:tab w:val="num" w:pos="1800"/>
        </w:tabs>
        <w:ind w:left="1800" w:hanging="360"/>
      </w:pPr>
      <w:rPr>
        <w:rFonts w:ascii="Times New Roman" w:hAnsi="Times New Roman" w:hint="default"/>
      </w:rPr>
    </w:lvl>
    <w:lvl w:ilvl="3" w:tplc="A51EF478" w:tentative="1">
      <w:start w:val="1"/>
      <w:numFmt w:val="bullet"/>
      <w:lvlText w:val="•"/>
      <w:lvlJc w:val="left"/>
      <w:pPr>
        <w:tabs>
          <w:tab w:val="num" w:pos="2520"/>
        </w:tabs>
        <w:ind w:left="2520" w:hanging="360"/>
      </w:pPr>
      <w:rPr>
        <w:rFonts w:ascii="Times New Roman" w:hAnsi="Times New Roman" w:hint="default"/>
      </w:rPr>
    </w:lvl>
    <w:lvl w:ilvl="4" w:tplc="228E1038" w:tentative="1">
      <w:start w:val="1"/>
      <w:numFmt w:val="bullet"/>
      <w:lvlText w:val="•"/>
      <w:lvlJc w:val="left"/>
      <w:pPr>
        <w:tabs>
          <w:tab w:val="num" w:pos="3240"/>
        </w:tabs>
        <w:ind w:left="3240" w:hanging="360"/>
      </w:pPr>
      <w:rPr>
        <w:rFonts w:ascii="Times New Roman" w:hAnsi="Times New Roman" w:hint="default"/>
      </w:rPr>
    </w:lvl>
    <w:lvl w:ilvl="5" w:tplc="87264C48" w:tentative="1">
      <w:start w:val="1"/>
      <w:numFmt w:val="bullet"/>
      <w:lvlText w:val="•"/>
      <w:lvlJc w:val="left"/>
      <w:pPr>
        <w:tabs>
          <w:tab w:val="num" w:pos="3960"/>
        </w:tabs>
        <w:ind w:left="3960" w:hanging="360"/>
      </w:pPr>
      <w:rPr>
        <w:rFonts w:ascii="Times New Roman" w:hAnsi="Times New Roman" w:hint="default"/>
      </w:rPr>
    </w:lvl>
    <w:lvl w:ilvl="6" w:tplc="BC8483A6" w:tentative="1">
      <w:start w:val="1"/>
      <w:numFmt w:val="bullet"/>
      <w:lvlText w:val="•"/>
      <w:lvlJc w:val="left"/>
      <w:pPr>
        <w:tabs>
          <w:tab w:val="num" w:pos="4680"/>
        </w:tabs>
        <w:ind w:left="4680" w:hanging="360"/>
      </w:pPr>
      <w:rPr>
        <w:rFonts w:ascii="Times New Roman" w:hAnsi="Times New Roman" w:hint="default"/>
      </w:rPr>
    </w:lvl>
    <w:lvl w:ilvl="7" w:tplc="D82CC1D8" w:tentative="1">
      <w:start w:val="1"/>
      <w:numFmt w:val="bullet"/>
      <w:lvlText w:val="•"/>
      <w:lvlJc w:val="left"/>
      <w:pPr>
        <w:tabs>
          <w:tab w:val="num" w:pos="5400"/>
        </w:tabs>
        <w:ind w:left="5400" w:hanging="360"/>
      </w:pPr>
      <w:rPr>
        <w:rFonts w:ascii="Times New Roman" w:hAnsi="Times New Roman" w:hint="default"/>
      </w:rPr>
    </w:lvl>
    <w:lvl w:ilvl="8" w:tplc="198EBB82" w:tentative="1">
      <w:start w:val="1"/>
      <w:numFmt w:val="bullet"/>
      <w:lvlText w:val="•"/>
      <w:lvlJc w:val="left"/>
      <w:pPr>
        <w:tabs>
          <w:tab w:val="num" w:pos="6120"/>
        </w:tabs>
        <w:ind w:left="6120" w:hanging="360"/>
      </w:pPr>
      <w:rPr>
        <w:rFonts w:ascii="Times New Roman" w:hAnsi="Times New Roman" w:hint="default"/>
      </w:rPr>
    </w:lvl>
  </w:abstractNum>
  <w:abstractNum w:abstractNumId="35" w15:restartNumberingAfterBreak="0">
    <w:nsid w:val="79601BD7"/>
    <w:multiLevelType w:val="hybridMultilevel"/>
    <w:tmpl w:val="581A7102"/>
    <w:lvl w:ilvl="0" w:tplc="200A0001">
      <w:start w:val="1"/>
      <w:numFmt w:val="bullet"/>
      <w:lvlText w:val=""/>
      <w:lvlJc w:val="left"/>
      <w:pPr>
        <w:ind w:left="720" w:hanging="360"/>
      </w:pPr>
      <w:rPr>
        <w:rFonts w:ascii="Symbol" w:hAnsi="Symbol"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6" w15:restartNumberingAfterBreak="0">
    <w:nsid w:val="7B552F61"/>
    <w:multiLevelType w:val="hybridMultilevel"/>
    <w:tmpl w:val="CFC414AA"/>
    <w:lvl w:ilvl="0" w:tplc="0810B62A">
      <w:start w:val="1"/>
      <w:numFmt w:val="bullet"/>
      <w:lvlText w:val="•"/>
      <w:lvlJc w:val="left"/>
      <w:pPr>
        <w:tabs>
          <w:tab w:val="num" w:pos="360"/>
        </w:tabs>
        <w:ind w:left="360" w:hanging="360"/>
      </w:pPr>
      <w:rPr>
        <w:rFonts w:ascii="Times New Roman" w:hAnsi="Times New Roman" w:hint="default"/>
      </w:rPr>
    </w:lvl>
    <w:lvl w:ilvl="1" w:tplc="16ECB412" w:tentative="1">
      <w:start w:val="1"/>
      <w:numFmt w:val="bullet"/>
      <w:lvlText w:val="•"/>
      <w:lvlJc w:val="left"/>
      <w:pPr>
        <w:tabs>
          <w:tab w:val="num" w:pos="1080"/>
        </w:tabs>
        <w:ind w:left="1080" w:hanging="360"/>
      </w:pPr>
      <w:rPr>
        <w:rFonts w:ascii="Times New Roman" w:hAnsi="Times New Roman" w:hint="default"/>
      </w:rPr>
    </w:lvl>
    <w:lvl w:ilvl="2" w:tplc="BCAA7AEC" w:tentative="1">
      <w:start w:val="1"/>
      <w:numFmt w:val="bullet"/>
      <w:lvlText w:val="•"/>
      <w:lvlJc w:val="left"/>
      <w:pPr>
        <w:tabs>
          <w:tab w:val="num" w:pos="1800"/>
        </w:tabs>
        <w:ind w:left="1800" w:hanging="360"/>
      </w:pPr>
      <w:rPr>
        <w:rFonts w:ascii="Times New Roman" w:hAnsi="Times New Roman" w:hint="default"/>
      </w:rPr>
    </w:lvl>
    <w:lvl w:ilvl="3" w:tplc="1C204E9E" w:tentative="1">
      <w:start w:val="1"/>
      <w:numFmt w:val="bullet"/>
      <w:lvlText w:val="•"/>
      <w:lvlJc w:val="left"/>
      <w:pPr>
        <w:tabs>
          <w:tab w:val="num" w:pos="2520"/>
        </w:tabs>
        <w:ind w:left="2520" w:hanging="360"/>
      </w:pPr>
      <w:rPr>
        <w:rFonts w:ascii="Times New Roman" w:hAnsi="Times New Roman" w:hint="default"/>
      </w:rPr>
    </w:lvl>
    <w:lvl w:ilvl="4" w:tplc="6DC6E440" w:tentative="1">
      <w:start w:val="1"/>
      <w:numFmt w:val="bullet"/>
      <w:lvlText w:val="•"/>
      <w:lvlJc w:val="left"/>
      <w:pPr>
        <w:tabs>
          <w:tab w:val="num" w:pos="3240"/>
        </w:tabs>
        <w:ind w:left="3240" w:hanging="360"/>
      </w:pPr>
      <w:rPr>
        <w:rFonts w:ascii="Times New Roman" w:hAnsi="Times New Roman" w:hint="default"/>
      </w:rPr>
    </w:lvl>
    <w:lvl w:ilvl="5" w:tplc="F698B0E0" w:tentative="1">
      <w:start w:val="1"/>
      <w:numFmt w:val="bullet"/>
      <w:lvlText w:val="•"/>
      <w:lvlJc w:val="left"/>
      <w:pPr>
        <w:tabs>
          <w:tab w:val="num" w:pos="3960"/>
        </w:tabs>
        <w:ind w:left="3960" w:hanging="360"/>
      </w:pPr>
      <w:rPr>
        <w:rFonts w:ascii="Times New Roman" w:hAnsi="Times New Roman" w:hint="default"/>
      </w:rPr>
    </w:lvl>
    <w:lvl w:ilvl="6" w:tplc="32809F8C" w:tentative="1">
      <w:start w:val="1"/>
      <w:numFmt w:val="bullet"/>
      <w:lvlText w:val="•"/>
      <w:lvlJc w:val="left"/>
      <w:pPr>
        <w:tabs>
          <w:tab w:val="num" w:pos="4680"/>
        </w:tabs>
        <w:ind w:left="4680" w:hanging="360"/>
      </w:pPr>
      <w:rPr>
        <w:rFonts w:ascii="Times New Roman" w:hAnsi="Times New Roman" w:hint="default"/>
      </w:rPr>
    </w:lvl>
    <w:lvl w:ilvl="7" w:tplc="529461B0" w:tentative="1">
      <w:start w:val="1"/>
      <w:numFmt w:val="bullet"/>
      <w:lvlText w:val="•"/>
      <w:lvlJc w:val="left"/>
      <w:pPr>
        <w:tabs>
          <w:tab w:val="num" w:pos="5400"/>
        </w:tabs>
        <w:ind w:left="5400" w:hanging="360"/>
      </w:pPr>
      <w:rPr>
        <w:rFonts w:ascii="Times New Roman" w:hAnsi="Times New Roman" w:hint="default"/>
      </w:rPr>
    </w:lvl>
    <w:lvl w:ilvl="8" w:tplc="1974B6FA" w:tentative="1">
      <w:start w:val="1"/>
      <w:numFmt w:val="bullet"/>
      <w:lvlText w:val="•"/>
      <w:lvlJc w:val="left"/>
      <w:pPr>
        <w:tabs>
          <w:tab w:val="num" w:pos="6120"/>
        </w:tabs>
        <w:ind w:left="6120" w:hanging="360"/>
      </w:pPr>
      <w:rPr>
        <w:rFonts w:ascii="Times New Roman" w:hAnsi="Times New Roman" w:hint="default"/>
      </w:rPr>
    </w:lvl>
  </w:abstractNum>
  <w:abstractNum w:abstractNumId="37" w15:restartNumberingAfterBreak="0">
    <w:nsid w:val="7E6A6CBC"/>
    <w:multiLevelType w:val="hybridMultilevel"/>
    <w:tmpl w:val="CAA4A5F0"/>
    <w:lvl w:ilvl="0" w:tplc="97588138">
      <w:start w:val="1"/>
      <w:numFmt w:val="decimal"/>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7E780EE6"/>
    <w:multiLevelType w:val="hybridMultilevel"/>
    <w:tmpl w:val="A40259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7ED1642A"/>
    <w:multiLevelType w:val="hybridMultilevel"/>
    <w:tmpl w:val="EEE43968"/>
    <w:lvl w:ilvl="0" w:tplc="DB4A564A">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0" w15:restartNumberingAfterBreak="0">
    <w:nsid w:val="7EDC20C1"/>
    <w:multiLevelType w:val="multilevel"/>
    <w:tmpl w:val="6D9ED44E"/>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num w:numId="1">
    <w:abstractNumId w:val="27"/>
  </w:num>
  <w:num w:numId="2">
    <w:abstractNumId w:val="15"/>
  </w:num>
  <w:num w:numId="3">
    <w:abstractNumId w:val="12"/>
  </w:num>
  <w:num w:numId="4">
    <w:abstractNumId w:val="24"/>
  </w:num>
  <w:num w:numId="5">
    <w:abstractNumId w:val="31"/>
  </w:num>
  <w:num w:numId="6">
    <w:abstractNumId w:val="14"/>
  </w:num>
  <w:num w:numId="7">
    <w:abstractNumId w:val="40"/>
  </w:num>
  <w:num w:numId="8">
    <w:abstractNumId w:val="13"/>
  </w:num>
  <w:num w:numId="9">
    <w:abstractNumId w:val="11"/>
  </w:num>
  <w:num w:numId="10">
    <w:abstractNumId w:val="23"/>
  </w:num>
  <w:num w:numId="11">
    <w:abstractNumId w:val="10"/>
  </w:num>
  <w:num w:numId="12">
    <w:abstractNumId w:val="26"/>
  </w:num>
  <w:num w:numId="13">
    <w:abstractNumId w:val="21"/>
  </w:num>
  <w:num w:numId="14">
    <w:abstractNumId w:val="0"/>
  </w:num>
  <w:num w:numId="15">
    <w:abstractNumId w:val="32"/>
  </w:num>
  <w:num w:numId="16">
    <w:abstractNumId w:val="5"/>
  </w:num>
  <w:num w:numId="17">
    <w:abstractNumId w:val="25"/>
  </w:num>
  <w:num w:numId="18">
    <w:abstractNumId w:val="34"/>
  </w:num>
  <w:num w:numId="19">
    <w:abstractNumId w:val="36"/>
  </w:num>
  <w:num w:numId="20">
    <w:abstractNumId w:val="8"/>
  </w:num>
  <w:num w:numId="21">
    <w:abstractNumId w:val="33"/>
  </w:num>
  <w:num w:numId="22">
    <w:abstractNumId w:val="35"/>
  </w:num>
  <w:num w:numId="23">
    <w:abstractNumId w:val="28"/>
  </w:num>
  <w:num w:numId="24">
    <w:abstractNumId w:val="1"/>
  </w:num>
  <w:num w:numId="25">
    <w:abstractNumId w:val="4"/>
  </w:num>
  <w:num w:numId="26">
    <w:abstractNumId w:val="39"/>
  </w:num>
  <w:num w:numId="27">
    <w:abstractNumId w:val="6"/>
  </w:num>
  <w:num w:numId="28">
    <w:abstractNumId w:val="16"/>
  </w:num>
  <w:num w:numId="29">
    <w:abstractNumId w:val="7"/>
  </w:num>
  <w:num w:numId="30">
    <w:abstractNumId w:val="17"/>
  </w:num>
  <w:num w:numId="31">
    <w:abstractNumId w:val="3"/>
  </w:num>
  <w:num w:numId="32">
    <w:abstractNumId w:val="19"/>
  </w:num>
  <w:num w:numId="33">
    <w:abstractNumId w:val="2"/>
  </w:num>
  <w:num w:numId="34">
    <w:abstractNumId w:val="30"/>
  </w:num>
  <w:num w:numId="35">
    <w:abstractNumId w:val="38"/>
  </w:num>
  <w:num w:numId="36">
    <w:abstractNumId w:val="18"/>
  </w:num>
  <w:num w:numId="37">
    <w:abstractNumId w:val="37"/>
  </w:num>
  <w:num w:numId="38">
    <w:abstractNumId w:val="9"/>
  </w:num>
  <w:num w:numId="39">
    <w:abstractNumId w:val="29"/>
  </w:num>
  <w:num w:numId="40">
    <w:abstractNumId w:val="20"/>
  </w:num>
  <w:num w:numId="41">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8DE"/>
    <w:rsid w:val="000022F9"/>
    <w:rsid w:val="00011FC6"/>
    <w:rsid w:val="000358E4"/>
    <w:rsid w:val="00050334"/>
    <w:rsid w:val="000562A3"/>
    <w:rsid w:val="00060623"/>
    <w:rsid w:val="000643B1"/>
    <w:rsid w:val="000647C9"/>
    <w:rsid w:val="000768D3"/>
    <w:rsid w:val="00083F3E"/>
    <w:rsid w:val="000A09FF"/>
    <w:rsid w:val="000B726D"/>
    <w:rsid w:val="000D78D3"/>
    <w:rsid w:val="000E72E4"/>
    <w:rsid w:val="00105AD7"/>
    <w:rsid w:val="00113B65"/>
    <w:rsid w:val="00123FEB"/>
    <w:rsid w:val="001425B3"/>
    <w:rsid w:val="00146F6D"/>
    <w:rsid w:val="00147A0B"/>
    <w:rsid w:val="001547ED"/>
    <w:rsid w:val="00160FBC"/>
    <w:rsid w:val="001620EE"/>
    <w:rsid w:val="00182115"/>
    <w:rsid w:val="0019068A"/>
    <w:rsid w:val="00192B06"/>
    <w:rsid w:val="001B47C7"/>
    <w:rsid w:val="001E1F52"/>
    <w:rsid w:val="001E793C"/>
    <w:rsid w:val="00216947"/>
    <w:rsid w:val="0022053E"/>
    <w:rsid w:val="0022144A"/>
    <w:rsid w:val="00232888"/>
    <w:rsid w:val="00236120"/>
    <w:rsid w:val="00237115"/>
    <w:rsid w:val="00253975"/>
    <w:rsid w:val="0025534D"/>
    <w:rsid w:val="0025767F"/>
    <w:rsid w:val="002664F2"/>
    <w:rsid w:val="00273FA9"/>
    <w:rsid w:val="00275769"/>
    <w:rsid w:val="002773F7"/>
    <w:rsid w:val="002838FC"/>
    <w:rsid w:val="00285874"/>
    <w:rsid w:val="00294193"/>
    <w:rsid w:val="002A415C"/>
    <w:rsid w:val="002C27EE"/>
    <w:rsid w:val="002C646E"/>
    <w:rsid w:val="002F2236"/>
    <w:rsid w:val="002F61C4"/>
    <w:rsid w:val="00310D24"/>
    <w:rsid w:val="00317639"/>
    <w:rsid w:val="003177DB"/>
    <w:rsid w:val="00330FEE"/>
    <w:rsid w:val="003342C7"/>
    <w:rsid w:val="00335A7C"/>
    <w:rsid w:val="00345D41"/>
    <w:rsid w:val="00350634"/>
    <w:rsid w:val="00350757"/>
    <w:rsid w:val="00352D95"/>
    <w:rsid w:val="00356595"/>
    <w:rsid w:val="00372C7A"/>
    <w:rsid w:val="00373FC7"/>
    <w:rsid w:val="003A59E4"/>
    <w:rsid w:val="003A6617"/>
    <w:rsid w:val="003B6816"/>
    <w:rsid w:val="003B7A44"/>
    <w:rsid w:val="003C530F"/>
    <w:rsid w:val="003D087C"/>
    <w:rsid w:val="003D7A33"/>
    <w:rsid w:val="003E0258"/>
    <w:rsid w:val="003E38DF"/>
    <w:rsid w:val="003E4A22"/>
    <w:rsid w:val="003E52DB"/>
    <w:rsid w:val="003E614F"/>
    <w:rsid w:val="003E6820"/>
    <w:rsid w:val="003E6B30"/>
    <w:rsid w:val="003F4F28"/>
    <w:rsid w:val="0040374A"/>
    <w:rsid w:val="0040638E"/>
    <w:rsid w:val="00416183"/>
    <w:rsid w:val="004166E5"/>
    <w:rsid w:val="00427DC8"/>
    <w:rsid w:val="00442BC6"/>
    <w:rsid w:val="0045618B"/>
    <w:rsid w:val="004639AC"/>
    <w:rsid w:val="004649C5"/>
    <w:rsid w:val="0048422C"/>
    <w:rsid w:val="004B4B15"/>
    <w:rsid w:val="004B52BC"/>
    <w:rsid w:val="004B78AB"/>
    <w:rsid w:val="004C648A"/>
    <w:rsid w:val="004D7342"/>
    <w:rsid w:val="004F4BCA"/>
    <w:rsid w:val="005024C4"/>
    <w:rsid w:val="00505FFF"/>
    <w:rsid w:val="00520FF2"/>
    <w:rsid w:val="00521D40"/>
    <w:rsid w:val="005245F2"/>
    <w:rsid w:val="00526219"/>
    <w:rsid w:val="0052718F"/>
    <w:rsid w:val="00537B46"/>
    <w:rsid w:val="00546B8A"/>
    <w:rsid w:val="00575408"/>
    <w:rsid w:val="005928DC"/>
    <w:rsid w:val="005A12D8"/>
    <w:rsid w:val="005A5AAA"/>
    <w:rsid w:val="005A7CB0"/>
    <w:rsid w:val="005B0CCF"/>
    <w:rsid w:val="005D6EDD"/>
    <w:rsid w:val="005E0076"/>
    <w:rsid w:val="005E0A54"/>
    <w:rsid w:val="00612790"/>
    <w:rsid w:val="00616964"/>
    <w:rsid w:val="006175A3"/>
    <w:rsid w:val="00624B29"/>
    <w:rsid w:val="00627354"/>
    <w:rsid w:val="00641744"/>
    <w:rsid w:val="00643F05"/>
    <w:rsid w:val="00644E36"/>
    <w:rsid w:val="0066699B"/>
    <w:rsid w:val="00677B32"/>
    <w:rsid w:val="00677BA2"/>
    <w:rsid w:val="006B5C3E"/>
    <w:rsid w:val="006E796C"/>
    <w:rsid w:val="006E7A3B"/>
    <w:rsid w:val="006F6469"/>
    <w:rsid w:val="007014B9"/>
    <w:rsid w:val="007214B8"/>
    <w:rsid w:val="00725B3D"/>
    <w:rsid w:val="00732FC5"/>
    <w:rsid w:val="00745A5A"/>
    <w:rsid w:val="00751E41"/>
    <w:rsid w:val="00770F21"/>
    <w:rsid w:val="007821B8"/>
    <w:rsid w:val="007A0744"/>
    <w:rsid w:val="007C60A7"/>
    <w:rsid w:val="00801EA1"/>
    <w:rsid w:val="008076E6"/>
    <w:rsid w:val="00816C44"/>
    <w:rsid w:val="00822887"/>
    <w:rsid w:val="0083015F"/>
    <w:rsid w:val="00831B46"/>
    <w:rsid w:val="00840870"/>
    <w:rsid w:val="00853B29"/>
    <w:rsid w:val="008557D5"/>
    <w:rsid w:val="0087017A"/>
    <w:rsid w:val="00872470"/>
    <w:rsid w:val="008750D8"/>
    <w:rsid w:val="008A0E72"/>
    <w:rsid w:val="008A2965"/>
    <w:rsid w:val="008A633C"/>
    <w:rsid w:val="008B46F5"/>
    <w:rsid w:val="008E50D6"/>
    <w:rsid w:val="009011F5"/>
    <w:rsid w:val="00920AB4"/>
    <w:rsid w:val="00924B40"/>
    <w:rsid w:val="00937DC4"/>
    <w:rsid w:val="009436E3"/>
    <w:rsid w:val="009468EF"/>
    <w:rsid w:val="00952492"/>
    <w:rsid w:val="00965A61"/>
    <w:rsid w:val="00980CC1"/>
    <w:rsid w:val="009A0B02"/>
    <w:rsid w:val="009B0599"/>
    <w:rsid w:val="009B3648"/>
    <w:rsid w:val="009F4EC5"/>
    <w:rsid w:val="00A24BE2"/>
    <w:rsid w:val="00A309A9"/>
    <w:rsid w:val="00A3439D"/>
    <w:rsid w:val="00A36850"/>
    <w:rsid w:val="00A418C7"/>
    <w:rsid w:val="00A64BDD"/>
    <w:rsid w:val="00A739ED"/>
    <w:rsid w:val="00A828DE"/>
    <w:rsid w:val="00A862BB"/>
    <w:rsid w:val="00A9494A"/>
    <w:rsid w:val="00AA063D"/>
    <w:rsid w:val="00AA2A49"/>
    <w:rsid w:val="00AC2EE3"/>
    <w:rsid w:val="00AC4995"/>
    <w:rsid w:val="00AC6E9E"/>
    <w:rsid w:val="00AF0696"/>
    <w:rsid w:val="00AF0D34"/>
    <w:rsid w:val="00AF4CA5"/>
    <w:rsid w:val="00AF5297"/>
    <w:rsid w:val="00B1065C"/>
    <w:rsid w:val="00B11D77"/>
    <w:rsid w:val="00B203B0"/>
    <w:rsid w:val="00B276E4"/>
    <w:rsid w:val="00B60EE5"/>
    <w:rsid w:val="00B7573F"/>
    <w:rsid w:val="00B80863"/>
    <w:rsid w:val="00B9212E"/>
    <w:rsid w:val="00B93C91"/>
    <w:rsid w:val="00BB40CF"/>
    <w:rsid w:val="00BB46B3"/>
    <w:rsid w:val="00BC40A9"/>
    <w:rsid w:val="00BD0162"/>
    <w:rsid w:val="00BE70F9"/>
    <w:rsid w:val="00BF2F41"/>
    <w:rsid w:val="00BF767D"/>
    <w:rsid w:val="00C05A99"/>
    <w:rsid w:val="00C142C8"/>
    <w:rsid w:val="00C15765"/>
    <w:rsid w:val="00C6721B"/>
    <w:rsid w:val="00C70DB7"/>
    <w:rsid w:val="00C72031"/>
    <w:rsid w:val="00CA5C32"/>
    <w:rsid w:val="00CB1DAC"/>
    <w:rsid w:val="00CC1027"/>
    <w:rsid w:val="00CC732C"/>
    <w:rsid w:val="00CD0B32"/>
    <w:rsid w:val="00CD1193"/>
    <w:rsid w:val="00CD4D14"/>
    <w:rsid w:val="00D06A71"/>
    <w:rsid w:val="00D15FD5"/>
    <w:rsid w:val="00D405F7"/>
    <w:rsid w:val="00D83286"/>
    <w:rsid w:val="00D92DA0"/>
    <w:rsid w:val="00DA21B9"/>
    <w:rsid w:val="00DA4687"/>
    <w:rsid w:val="00DB51FA"/>
    <w:rsid w:val="00DB5992"/>
    <w:rsid w:val="00DB7A73"/>
    <w:rsid w:val="00DD113D"/>
    <w:rsid w:val="00DD194B"/>
    <w:rsid w:val="00DD28DE"/>
    <w:rsid w:val="00DF3AA3"/>
    <w:rsid w:val="00E00101"/>
    <w:rsid w:val="00E03956"/>
    <w:rsid w:val="00E11073"/>
    <w:rsid w:val="00E27F63"/>
    <w:rsid w:val="00E35BD0"/>
    <w:rsid w:val="00E44E32"/>
    <w:rsid w:val="00E44F81"/>
    <w:rsid w:val="00E5117E"/>
    <w:rsid w:val="00E519CA"/>
    <w:rsid w:val="00E5259B"/>
    <w:rsid w:val="00E52CD9"/>
    <w:rsid w:val="00E53B5D"/>
    <w:rsid w:val="00E63059"/>
    <w:rsid w:val="00E634F8"/>
    <w:rsid w:val="00E668DB"/>
    <w:rsid w:val="00E76D2B"/>
    <w:rsid w:val="00E969B7"/>
    <w:rsid w:val="00EA1BDD"/>
    <w:rsid w:val="00EC3B45"/>
    <w:rsid w:val="00ED6FCA"/>
    <w:rsid w:val="00F008EA"/>
    <w:rsid w:val="00F02ACD"/>
    <w:rsid w:val="00F02D88"/>
    <w:rsid w:val="00F04268"/>
    <w:rsid w:val="00F076A6"/>
    <w:rsid w:val="00F07C69"/>
    <w:rsid w:val="00F12878"/>
    <w:rsid w:val="00F16B4C"/>
    <w:rsid w:val="00F16B86"/>
    <w:rsid w:val="00F46676"/>
    <w:rsid w:val="00F808BA"/>
    <w:rsid w:val="00F83AC2"/>
    <w:rsid w:val="00F84F14"/>
    <w:rsid w:val="00FA1C7A"/>
    <w:rsid w:val="00FC0C03"/>
    <w:rsid w:val="00FD7C4F"/>
    <w:rsid w:val="00FF75C0"/>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FC198"/>
  <w15:docId w15:val="{55B6287B-8B26-4339-88AA-D46CF8799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B5D"/>
  </w:style>
  <w:style w:type="paragraph" w:styleId="Ttulo1">
    <w:name w:val="heading 1"/>
    <w:basedOn w:val="Normal"/>
    <w:next w:val="Normal"/>
    <w:link w:val="Ttulo1Car"/>
    <w:uiPriority w:val="9"/>
    <w:qFormat/>
    <w:rsid w:val="00B80863"/>
    <w:pPr>
      <w:keepNext/>
      <w:keepLines/>
      <w:spacing w:before="480"/>
      <w:outlineLvl w:val="0"/>
    </w:pPr>
    <w:rPr>
      <w:rFonts w:asciiTheme="majorHAnsi" w:eastAsiaTheme="majorEastAsia" w:hAnsiTheme="majorHAnsi" w:cstheme="majorBidi"/>
      <w:b/>
      <w:bCs/>
      <w:color w:val="2D4F8E" w:themeColor="accent1" w:themeShade="B5"/>
      <w:sz w:val="32"/>
      <w:szCs w:val="32"/>
      <w:lang w:val="es-VE" w:eastAsia="es-ES"/>
    </w:rPr>
  </w:style>
  <w:style w:type="paragraph" w:styleId="Ttulo2">
    <w:name w:val="heading 2"/>
    <w:basedOn w:val="Normal"/>
    <w:next w:val="Normal"/>
    <w:link w:val="Ttulo2Car"/>
    <w:uiPriority w:val="9"/>
    <w:unhideWhenUsed/>
    <w:qFormat/>
    <w:rsid w:val="00B80863"/>
    <w:pPr>
      <w:keepNext/>
      <w:keepLines/>
      <w:spacing w:before="200"/>
      <w:outlineLvl w:val="1"/>
    </w:pPr>
    <w:rPr>
      <w:rFonts w:asciiTheme="majorHAnsi" w:eastAsiaTheme="majorEastAsia" w:hAnsiTheme="majorHAnsi" w:cstheme="majorBidi"/>
      <w:b/>
      <w:bCs/>
      <w:color w:val="4472C4" w:themeColor="accent1"/>
      <w:sz w:val="26"/>
      <w:szCs w:val="26"/>
      <w:lang w:val="es-VE" w:eastAsia="es-ES"/>
    </w:rPr>
  </w:style>
  <w:style w:type="paragraph" w:styleId="Ttulo3">
    <w:name w:val="heading 3"/>
    <w:basedOn w:val="Normal"/>
    <w:next w:val="Normal"/>
    <w:link w:val="Ttulo3Car"/>
    <w:uiPriority w:val="9"/>
    <w:unhideWhenUsed/>
    <w:qFormat/>
    <w:rsid w:val="00B80863"/>
    <w:pPr>
      <w:keepNext/>
      <w:keepLines/>
      <w:spacing w:before="200"/>
      <w:outlineLvl w:val="2"/>
    </w:pPr>
    <w:rPr>
      <w:rFonts w:asciiTheme="majorHAnsi" w:eastAsiaTheme="majorEastAsia" w:hAnsiTheme="majorHAnsi" w:cstheme="majorBidi"/>
      <w:b/>
      <w:bCs/>
      <w:color w:val="4472C4" w:themeColor="accent1"/>
      <w:lang w:val="es-VE" w:eastAsia="es-ES"/>
    </w:rPr>
  </w:style>
  <w:style w:type="paragraph" w:styleId="Ttulo4">
    <w:name w:val="heading 4"/>
    <w:basedOn w:val="Normal1"/>
    <w:next w:val="Normal1"/>
    <w:link w:val="Ttulo4Car"/>
    <w:rsid w:val="00627354"/>
    <w:pPr>
      <w:keepNext/>
      <w:keepLines/>
      <w:spacing w:before="200"/>
      <w:ind w:left="0"/>
      <w:outlineLvl w:val="3"/>
    </w:pPr>
  </w:style>
  <w:style w:type="paragraph" w:styleId="Ttulo5">
    <w:name w:val="heading 5"/>
    <w:basedOn w:val="Normal1"/>
    <w:next w:val="Normal1"/>
    <w:link w:val="Ttulo5Car"/>
    <w:rsid w:val="00627354"/>
    <w:pPr>
      <w:keepNext/>
      <w:keepLines/>
      <w:spacing w:before="200"/>
      <w:ind w:left="1008" w:hanging="1008"/>
      <w:outlineLvl w:val="4"/>
    </w:pPr>
    <w:rPr>
      <w:rFonts w:ascii="Verdana" w:eastAsia="Verdana" w:hAnsi="Verdana" w:cs="Verdana"/>
      <w:color w:val="243F61"/>
    </w:rPr>
  </w:style>
  <w:style w:type="paragraph" w:styleId="Ttulo6">
    <w:name w:val="heading 6"/>
    <w:basedOn w:val="Normal1"/>
    <w:next w:val="Normal1"/>
    <w:link w:val="Ttulo6Car"/>
    <w:rsid w:val="00627354"/>
    <w:pPr>
      <w:keepNext/>
      <w:keepLines/>
      <w:spacing w:before="200"/>
      <w:ind w:left="1152" w:hanging="1152"/>
      <w:outlineLvl w:val="5"/>
    </w:pPr>
    <w:rPr>
      <w:rFonts w:ascii="Verdana" w:eastAsia="Verdana" w:hAnsi="Verdana" w:cs="Verdana"/>
      <w:i/>
      <w:color w:val="243F61"/>
    </w:rPr>
  </w:style>
  <w:style w:type="paragraph" w:styleId="Ttulo7">
    <w:name w:val="heading 7"/>
    <w:basedOn w:val="Normal"/>
    <w:next w:val="Normal"/>
    <w:link w:val="Ttulo7Car"/>
    <w:uiPriority w:val="9"/>
    <w:unhideWhenUsed/>
    <w:qFormat/>
    <w:rsid w:val="00627354"/>
    <w:pPr>
      <w:keepNext/>
      <w:keepLines/>
      <w:spacing w:before="200" w:line="480" w:lineRule="auto"/>
      <w:ind w:firstLine="288"/>
      <w:jc w:val="both"/>
      <w:outlineLvl w:val="6"/>
    </w:pPr>
    <w:rPr>
      <w:rFonts w:asciiTheme="majorHAnsi" w:eastAsiaTheme="majorEastAsia" w:hAnsiTheme="majorHAnsi" w:cstheme="majorBidi"/>
      <w:i/>
      <w:iCs/>
      <w:color w:val="404040" w:themeColor="text1" w:themeTint="BF"/>
      <w:lang w:val="es-VE" w:eastAsia="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28DE"/>
    <w:pPr>
      <w:tabs>
        <w:tab w:val="center" w:pos="4419"/>
        <w:tab w:val="right" w:pos="8838"/>
      </w:tabs>
    </w:pPr>
  </w:style>
  <w:style w:type="character" w:customStyle="1" w:styleId="EncabezadoCar">
    <w:name w:val="Encabezado Car"/>
    <w:basedOn w:val="Fuentedeprrafopredeter"/>
    <w:link w:val="Encabezado"/>
    <w:uiPriority w:val="99"/>
    <w:rsid w:val="00DD28DE"/>
  </w:style>
  <w:style w:type="paragraph" w:styleId="Piedepgina">
    <w:name w:val="footer"/>
    <w:basedOn w:val="Normal"/>
    <w:link w:val="PiedepginaCar"/>
    <w:uiPriority w:val="99"/>
    <w:unhideWhenUsed/>
    <w:rsid w:val="00DD28DE"/>
    <w:pPr>
      <w:tabs>
        <w:tab w:val="center" w:pos="4419"/>
        <w:tab w:val="right" w:pos="8838"/>
      </w:tabs>
    </w:pPr>
  </w:style>
  <w:style w:type="character" w:customStyle="1" w:styleId="PiedepginaCar">
    <w:name w:val="Pie de página Car"/>
    <w:basedOn w:val="Fuentedeprrafopredeter"/>
    <w:link w:val="Piedepgina"/>
    <w:uiPriority w:val="99"/>
    <w:rsid w:val="00DD28DE"/>
  </w:style>
  <w:style w:type="paragraph" w:customStyle="1" w:styleId="Ningnestilodeprrafo">
    <w:name w:val="[Ningún estilo de párrafo]"/>
    <w:rsid w:val="00DD28DE"/>
    <w:pPr>
      <w:autoSpaceDE w:val="0"/>
      <w:autoSpaceDN w:val="0"/>
      <w:adjustRightInd w:val="0"/>
      <w:spacing w:line="288" w:lineRule="auto"/>
      <w:textAlignment w:val="center"/>
    </w:pPr>
    <w:rPr>
      <w:rFonts w:ascii="Times New Roman" w:hAnsi="Times New Roman" w:cs="Times New Roman"/>
      <w:color w:val="000000"/>
      <w:lang w:val="en-GB"/>
    </w:rPr>
  </w:style>
  <w:style w:type="character" w:styleId="Nmerodepgina">
    <w:name w:val="page number"/>
    <w:basedOn w:val="Fuentedeprrafopredeter"/>
    <w:uiPriority w:val="99"/>
    <w:semiHidden/>
    <w:unhideWhenUsed/>
    <w:rsid w:val="00DD28DE"/>
  </w:style>
  <w:style w:type="paragraph" w:customStyle="1" w:styleId="ENCABEZATITULO">
    <w:name w:val="ENCABEZA TITULO"/>
    <w:basedOn w:val="Normal"/>
    <w:uiPriority w:val="99"/>
    <w:rsid w:val="007214B8"/>
    <w:pPr>
      <w:autoSpaceDE w:val="0"/>
      <w:autoSpaceDN w:val="0"/>
      <w:adjustRightInd w:val="0"/>
      <w:spacing w:line="260" w:lineRule="atLeast"/>
      <w:jc w:val="center"/>
      <w:textAlignment w:val="center"/>
    </w:pPr>
    <w:rPr>
      <w:rFonts w:ascii="Bookman Old Style" w:hAnsi="Bookman Old Style" w:cs="Bookman Old Style"/>
      <w:i/>
      <w:iCs/>
      <w:color w:val="000000"/>
      <w:spacing w:val="-3"/>
      <w:sz w:val="16"/>
      <w:szCs w:val="16"/>
      <w:lang w:val="en-US"/>
    </w:rPr>
  </w:style>
  <w:style w:type="paragraph" w:customStyle="1" w:styleId="TITULOS">
    <w:name w:val="TITULOS"/>
    <w:basedOn w:val="Ningnestilodeprrafo"/>
    <w:uiPriority w:val="99"/>
    <w:rsid w:val="003E38D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80" w:lineRule="atLeast"/>
      <w:jc w:val="center"/>
    </w:pPr>
    <w:rPr>
      <w:rFonts w:ascii="Bookman Old Style" w:hAnsi="Bookman Old Style" w:cs="Bookman Old Style"/>
      <w:b/>
      <w:bCs/>
      <w:sz w:val="28"/>
      <w:szCs w:val="28"/>
      <w:lang w:val="es-ES_tradnl"/>
    </w:rPr>
  </w:style>
  <w:style w:type="paragraph" w:customStyle="1" w:styleId="TEXTO">
    <w:name w:val="TEXTO"/>
    <w:basedOn w:val="Normal"/>
    <w:uiPriority w:val="99"/>
    <w:rsid w:val="003E38DF"/>
    <w:pPr>
      <w:autoSpaceDE w:val="0"/>
      <w:autoSpaceDN w:val="0"/>
      <w:adjustRightInd w:val="0"/>
      <w:spacing w:before="113" w:after="113" w:line="240" w:lineRule="atLeast"/>
      <w:ind w:firstLine="283"/>
      <w:jc w:val="both"/>
      <w:textAlignment w:val="center"/>
    </w:pPr>
    <w:rPr>
      <w:rFonts w:ascii="Bookman Old Style" w:hAnsi="Bookman Old Style" w:cs="Bookman Old Style"/>
      <w:color w:val="000000"/>
      <w:sz w:val="20"/>
      <w:szCs w:val="20"/>
    </w:rPr>
  </w:style>
  <w:style w:type="paragraph" w:customStyle="1" w:styleId="autor">
    <w:name w:val="autor"/>
    <w:basedOn w:val="Ningnestilodeprrafo"/>
    <w:uiPriority w:val="99"/>
    <w:rsid w:val="003E38DF"/>
    <w:pPr>
      <w:suppressAutoHyphens/>
      <w:spacing w:line="240" w:lineRule="atLeast"/>
      <w:jc w:val="right"/>
      <w:textAlignment w:val="baseline"/>
    </w:pPr>
    <w:rPr>
      <w:rFonts w:ascii="Bookman Old Style" w:hAnsi="Bookman Old Style" w:cs="Bookman Old Style"/>
      <w:i/>
      <w:iCs/>
    </w:rPr>
  </w:style>
  <w:style w:type="paragraph" w:customStyle="1" w:styleId="BIOAUTOR">
    <w:name w:val="BIO AUTOR"/>
    <w:basedOn w:val="TEXTO"/>
    <w:uiPriority w:val="99"/>
    <w:rsid w:val="003E38DF"/>
    <w:pPr>
      <w:spacing w:before="0" w:after="0" w:line="220" w:lineRule="atLeast"/>
      <w:ind w:firstLine="0"/>
      <w:jc w:val="right"/>
    </w:pPr>
    <w:rPr>
      <w:sz w:val="16"/>
      <w:szCs w:val="16"/>
    </w:rPr>
  </w:style>
  <w:style w:type="paragraph" w:customStyle="1" w:styleId="TITULORESUMEN">
    <w:name w:val="TITULO RESUMEN"/>
    <w:basedOn w:val="Ningnestilodeprrafo"/>
    <w:uiPriority w:val="99"/>
    <w:rsid w:val="003E38DF"/>
    <w:pPr>
      <w:suppressAutoHyphens/>
      <w:ind w:firstLine="283"/>
      <w:jc w:val="both"/>
      <w:textAlignment w:val="baseline"/>
    </w:pPr>
    <w:rPr>
      <w:rFonts w:ascii="Bookman Old Style" w:hAnsi="Bookman Old Style" w:cs="Bookman Old Style"/>
      <w:b/>
      <w:bCs/>
      <w:sz w:val="20"/>
      <w:szCs w:val="20"/>
    </w:rPr>
  </w:style>
  <w:style w:type="paragraph" w:customStyle="1" w:styleId="PARRAFORESUMEN">
    <w:name w:val="PARRAFO RESUMEN"/>
    <w:basedOn w:val="TEXTO"/>
    <w:uiPriority w:val="99"/>
    <w:rsid w:val="003E38DF"/>
    <w:pPr>
      <w:spacing w:before="0" w:after="0"/>
      <w:ind w:left="283" w:firstLine="0"/>
    </w:pPr>
    <w:rPr>
      <w:u w:color="000000"/>
    </w:rPr>
  </w:style>
  <w:style w:type="paragraph" w:styleId="Revisin">
    <w:name w:val="Revision"/>
    <w:hidden/>
    <w:uiPriority w:val="99"/>
    <w:semiHidden/>
    <w:rsid w:val="002C27EE"/>
  </w:style>
  <w:style w:type="paragraph" w:styleId="Sinespaciado">
    <w:name w:val="No Spacing"/>
    <w:aliases w:val="Nota al pié"/>
    <w:link w:val="SinespaciadoCar"/>
    <w:uiPriority w:val="1"/>
    <w:qFormat/>
    <w:rsid w:val="002C27EE"/>
    <w:rPr>
      <w:rFonts w:eastAsiaTheme="minorEastAsia"/>
      <w:sz w:val="22"/>
      <w:szCs w:val="22"/>
      <w:lang w:val="en-US" w:eastAsia="zh-CN"/>
    </w:rPr>
  </w:style>
  <w:style w:type="character" w:customStyle="1" w:styleId="SinespaciadoCar">
    <w:name w:val="Sin espaciado Car"/>
    <w:aliases w:val="Nota al pié Car"/>
    <w:basedOn w:val="Fuentedeprrafopredeter"/>
    <w:link w:val="Sinespaciado"/>
    <w:uiPriority w:val="1"/>
    <w:rsid w:val="002C27EE"/>
    <w:rPr>
      <w:rFonts w:eastAsiaTheme="minorEastAsia"/>
      <w:sz w:val="22"/>
      <w:szCs w:val="22"/>
      <w:lang w:val="en-US" w:eastAsia="zh-CN"/>
    </w:rPr>
  </w:style>
  <w:style w:type="paragraph" w:customStyle="1" w:styleId="1">
    <w:name w:val="1"/>
    <w:basedOn w:val="TEXTO"/>
    <w:uiPriority w:val="99"/>
    <w:rsid w:val="00123FEB"/>
    <w:pPr>
      <w:suppressAutoHyphens/>
      <w:spacing w:before="340"/>
      <w:ind w:left="283" w:hanging="283"/>
    </w:pPr>
    <w:rPr>
      <w:b/>
      <w:bCs/>
      <w:i/>
      <w:iCs/>
    </w:rPr>
  </w:style>
  <w:style w:type="paragraph" w:customStyle="1" w:styleId="NOTADEPIE">
    <w:name w:val="NOTA DE PIE"/>
    <w:basedOn w:val="Normal"/>
    <w:uiPriority w:val="99"/>
    <w:rsid w:val="00123FEB"/>
    <w:pPr>
      <w:autoSpaceDE w:val="0"/>
      <w:autoSpaceDN w:val="0"/>
      <w:adjustRightInd w:val="0"/>
      <w:spacing w:line="160" w:lineRule="atLeast"/>
      <w:ind w:left="283" w:hanging="283"/>
      <w:jc w:val="both"/>
      <w:textAlignment w:val="baseline"/>
    </w:pPr>
    <w:rPr>
      <w:rFonts w:ascii="Bookman Old Style" w:hAnsi="Bookman Old Style" w:cs="Bookman Old Style"/>
      <w:color w:val="000000"/>
      <w:sz w:val="14"/>
      <w:szCs w:val="14"/>
    </w:rPr>
  </w:style>
  <w:style w:type="paragraph" w:styleId="HTMLconformatoprevio">
    <w:name w:val="HTML Preformatted"/>
    <w:basedOn w:val="Normal"/>
    <w:link w:val="HTMLconformatoprevioCar"/>
    <w:uiPriority w:val="99"/>
    <w:semiHidden/>
    <w:unhideWhenUsed/>
    <w:rsid w:val="006F6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VE" w:eastAsia="es-ES_tradnl"/>
    </w:rPr>
  </w:style>
  <w:style w:type="character" w:customStyle="1" w:styleId="HTMLconformatoprevioCar">
    <w:name w:val="HTML con formato previo Car"/>
    <w:basedOn w:val="Fuentedeprrafopredeter"/>
    <w:link w:val="HTMLconformatoprevio"/>
    <w:uiPriority w:val="99"/>
    <w:semiHidden/>
    <w:rsid w:val="006F6469"/>
    <w:rPr>
      <w:rFonts w:ascii="Courier New" w:eastAsia="Times New Roman" w:hAnsi="Courier New" w:cs="Courier New"/>
      <w:sz w:val="20"/>
      <w:szCs w:val="20"/>
      <w:lang w:val="es-VE" w:eastAsia="es-ES_tradnl"/>
    </w:rPr>
  </w:style>
  <w:style w:type="paragraph" w:styleId="Descripcin">
    <w:name w:val="caption"/>
    <w:basedOn w:val="Normal"/>
    <w:uiPriority w:val="35"/>
    <w:qFormat/>
    <w:rsid w:val="00E44E32"/>
    <w:pPr>
      <w:widowControl w:val="0"/>
      <w:jc w:val="center"/>
    </w:pPr>
    <w:rPr>
      <w:rFonts w:ascii="Arial" w:eastAsia="Times New Roman" w:hAnsi="Arial" w:cs="Times New Roman"/>
      <w:b/>
      <w:sz w:val="22"/>
      <w:szCs w:val="20"/>
      <w:lang w:val="es-ES" w:eastAsia="es-ES"/>
    </w:rPr>
  </w:style>
  <w:style w:type="character" w:styleId="Refdenotaalpie">
    <w:name w:val="footnote reference"/>
    <w:aliases w:val="Texto de nota al pie"/>
    <w:uiPriority w:val="99"/>
    <w:rsid w:val="00E44E32"/>
    <w:rPr>
      <w:vertAlign w:val="superscript"/>
    </w:rPr>
  </w:style>
  <w:style w:type="paragraph" w:styleId="Textonotaalfinal">
    <w:name w:val="endnote text"/>
    <w:basedOn w:val="Normal"/>
    <w:link w:val="TextonotaalfinalCar"/>
    <w:rsid w:val="00E44E32"/>
    <w:rPr>
      <w:rFonts w:ascii="Times New Roman" w:eastAsia="Times New Roman" w:hAnsi="Times New Roman" w:cs="Times New Roman"/>
      <w:sz w:val="20"/>
      <w:szCs w:val="20"/>
      <w:lang w:val="x-none" w:eastAsia="x-none"/>
    </w:rPr>
  </w:style>
  <w:style w:type="character" w:customStyle="1" w:styleId="TextonotaalfinalCar">
    <w:name w:val="Texto nota al final Car"/>
    <w:basedOn w:val="Fuentedeprrafopredeter"/>
    <w:link w:val="Textonotaalfinal"/>
    <w:rsid w:val="00E44E32"/>
    <w:rPr>
      <w:rFonts w:ascii="Times New Roman" w:eastAsia="Times New Roman" w:hAnsi="Times New Roman" w:cs="Times New Roman"/>
      <w:sz w:val="20"/>
      <w:szCs w:val="20"/>
      <w:lang w:val="x-none" w:eastAsia="x-none"/>
    </w:rPr>
  </w:style>
  <w:style w:type="character" w:styleId="Refdenotaalfinal">
    <w:name w:val="endnote reference"/>
    <w:rsid w:val="00E44E32"/>
    <w:rPr>
      <w:vertAlign w:val="superscript"/>
    </w:rPr>
  </w:style>
  <w:style w:type="character" w:customStyle="1" w:styleId="TextodegloboCar">
    <w:name w:val="Texto de globo Car"/>
    <w:basedOn w:val="Fuentedeprrafopredeter"/>
    <w:link w:val="Textodeglobo"/>
    <w:uiPriority w:val="99"/>
    <w:semiHidden/>
    <w:rsid w:val="00E44E32"/>
    <w:rPr>
      <w:rFonts w:ascii="Tahoma" w:hAnsi="Tahoma" w:cs="Tahoma"/>
      <w:sz w:val="16"/>
      <w:szCs w:val="16"/>
      <w:lang w:val="es-VE"/>
    </w:rPr>
  </w:style>
  <w:style w:type="paragraph" w:styleId="Textodeglobo">
    <w:name w:val="Balloon Text"/>
    <w:basedOn w:val="Normal"/>
    <w:link w:val="TextodegloboCar"/>
    <w:uiPriority w:val="99"/>
    <w:semiHidden/>
    <w:unhideWhenUsed/>
    <w:rsid w:val="00E44E32"/>
    <w:rPr>
      <w:rFonts w:ascii="Tahoma" w:hAnsi="Tahoma" w:cs="Tahoma"/>
      <w:sz w:val="16"/>
      <w:szCs w:val="16"/>
      <w:lang w:val="es-VE"/>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
    <w:basedOn w:val="Normal"/>
    <w:link w:val="TextonotapieCar"/>
    <w:uiPriority w:val="99"/>
    <w:unhideWhenUsed/>
    <w:rsid w:val="00E44E32"/>
    <w:rPr>
      <w:sz w:val="20"/>
      <w:szCs w:val="20"/>
      <w:lang w:val="es-V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rsid w:val="00E44E32"/>
    <w:rPr>
      <w:sz w:val="20"/>
      <w:szCs w:val="20"/>
      <w:lang w:val="es-VE"/>
    </w:rPr>
  </w:style>
  <w:style w:type="paragraph" w:styleId="Prrafodelista">
    <w:name w:val="List Paragraph"/>
    <w:basedOn w:val="Normal"/>
    <w:link w:val="PrrafodelistaCar"/>
    <w:uiPriority w:val="34"/>
    <w:qFormat/>
    <w:rsid w:val="00E44E32"/>
    <w:pPr>
      <w:spacing w:after="200" w:line="276" w:lineRule="auto"/>
      <w:ind w:left="720"/>
      <w:contextualSpacing/>
    </w:pPr>
    <w:rPr>
      <w:sz w:val="22"/>
      <w:szCs w:val="22"/>
      <w:lang w:val="es-VE"/>
    </w:rPr>
  </w:style>
  <w:style w:type="character" w:styleId="Hipervnculo">
    <w:name w:val="Hyperlink"/>
    <w:basedOn w:val="Fuentedeprrafopredeter"/>
    <w:uiPriority w:val="99"/>
    <w:unhideWhenUsed/>
    <w:rsid w:val="00E44E32"/>
    <w:rPr>
      <w:color w:val="0563C1" w:themeColor="hyperlink"/>
      <w:u w:val="single"/>
    </w:rPr>
  </w:style>
  <w:style w:type="paragraph" w:customStyle="1" w:styleId="Default">
    <w:name w:val="Default"/>
    <w:rsid w:val="00E44E32"/>
    <w:pPr>
      <w:autoSpaceDE w:val="0"/>
      <w:autoSpaceDN w:val="0"/>
      <w:adjustRightInd w:val="0"/>
    </w:pPr>
    <w:rPr>
      <w:rFonts w:ascii="Times New Roman" w:hAnsi="Times New Roman" w:cs="Times New Roman"/>
      <w:color w:val="000000"/>
      <w:lang w:val="es-VE"/>
    </w:rPr>
  </w:style>
  <w:style w:type="character" w:customStyle="1" w:styleId="citation">
    <w:name w:val="citation"/>
    <w:basedOn w:val="Fuentedeprrafopredeter"/>
    <w:rsid w:val="00427DC8"/>
  </w:style>
  <w:style w:type="character" w:customStyle="1" w:styleId="hps">
    <w:name w:val="hps"/>
    <w:basedOn w:val="Fuentedeprrafopredeter"/>
    <w:rsid w:val="00427DC8"/>
  </w:style>
  <w:style w:type="character" w:styleId="CitaHTML">
    <w:name w:val="HTML Cite"/>
    <w:basedOn w:val="Fuentedeprrafopredeter"/>
    <w:uiPriority w:val="99"/>
    <w:semiHidden/>
    <w:unhideWhenUsed/>
    <w:rsid w:val="00427DC8"/>
    <w:rPr>
      <w:i/>
      <w:iCs/>
    </w:rPr>
  </w:style>
  <w:style w:type="character" w:styleId="Refdecomentario">
    <w:name w:val="annotation reference"/>
    <w:basedOn w:val="Fuentedeprrafopredeter"/>
    <w:uiPriority w:val="99"/>
    <w:semiHidden/>
    <w:unhideWhenUsed/>
    <w:rsid w:val="00427DC8"/>
    <w:rPr>
      <w:sz w:val="16"/>
      <w:szCs w:val="16"/>
    </w:rPr>
  </w:style>
  <w:style w:type="paragraph" w:styleId="Textocomentario">
    <w:name w:val="annotation text"/>
    <w:basedOn w:val="Normal"/>
    <w:link w:val="TextocomentarioCar"/>
    <w:uiPriority w:val="99"/>
    <w:unhideWhenUsed/>
    <w:rsid w:val="00427DC8"/>
    <w:rPr>
      <w:rFonts w:eastAsiaTheme="minorEastAsia"/>
      <w:sz w:val="20"/>
      <w:szCs w:val="20"/>
      <w:lang w:val="en-US"/>
    </w:rPr>
  </w:style>
  <w:style w:type="character" w:customStyle="1" w:styleId="TextocomentarioCar">
    <w:name w:val="Texto comentario Car"/>
    <w:basedOn w:val="Fuentedeprrafopredeter"/>
    <w:link w:val="Textocomentario"/>
    <w:uiPriority w:val="99"/>
    <w:rsid w:val="00427DC8"/>
    <w:rPr>
      <w:rFonts w:eastAsiaTheme="minorEastAsia"/>
      <w:sz w:val="20"/>
      <w:szCs w:val="20"/>
      <w:lang w:val="en-US"/>
    </w:rPr>
  </w:style>
  <w:style w:type="paragraph" w:styleId="Asuntodelcomentario">
    <w:name w:val="annotation subject"/>
    <w:basedOn w:val="Textocomentario"/>
    <w:next w:val="Textocomentario"/>
    <w:link w:val="AsuntodelcomentarioCar"/>
    <w:uiPriority w:val="99"/>
    <w:semiHidden/>
    <w:unhideWhenUsed/>
    <w:rsid w:val="00427DC8"/>
    <w:rPr>
      <w:b/>
      <w:bCs/>
    </w:rPr>
  </w:style>
  <w:style w:type="character" w:customStyle="1" w:styleId="AsuntodelcomentarioCar">
    <w:name w:val="Asunto del comentario Car"/>
    <w:basedOn w:val="TextocomentarioCar"/>
    <w:link w:val="Asuntodelcomentario"/>
    <w:uiPriority w:val="99"/>
    <w:semiHidden/>
    <w:rsid w:val="00427DC8"/>
    <w:rPr>
      <w:rFonts w:eastAsiaTheme="minorEastAsia"/>
      <w:b/>
      <w:bCs/>
      <w:sz w:val="20"/>
      <w:szCs w:val="20"/>
      <w:lang w:val="en-US"/>
    </w:rPr>
  </w:style>
  <w:style w:type="character" w:styleId="Mencinsinresolver">
    <w:name w:val="Unresolved Mention"/>
    <w:basedOn w:val="Fuentedeprrafopredeter"/>
    <w:uiPriority w:val="99"/>
    <w:semiHidden/>
    <w:unhideWhenUsed/>
    <w:rsid w:val="00427DC8"/>
    <w:rPr>
      <w:color w:val="605E5C"/>
      <w:shd w:val="clear" w:color="auto" w:fill="E1DFDD"/>
    </w:rPr>
  </w:style>
  <w:style w:type="character" w:customStyle="1" w:styleId="Ttulo1Car">
    <w:name w:val="Título 1 Car"/>
    <w:basedOn w:val="Fuentedeprrafopredeter"/>
    <w:link w:val="Ttulo1"/>
    <w:uiPriority w:val="9"/>
    <w:rsid w:val="00B80863"/>
    <w:rPr>
      <w:rFonts w:asciiTheme="majorHAnsi" w:eastAsiaTheme="majorEastAsia" w:hAnsiTheme="majorHAnsi" w:cstheme="majorBidi"/>
      <w:b/>
      <w:bCs/>
      <w:color w:val="2D4F8E" w:themeColor="accent1" w:themeShade="B5"/>
      <w:sz w:val="32"/>
      <w:szCs w:val="32"/>
      <w:lang w:val="es-VE" w:eastAsia="es-ES"/>
    </w:rPr>
  </w:style>
  <w:style w:type="character" w:customStyle="1" w:styleId="Ttulo2Car">
    <w:name w:val="Título 2 Car"/>
    <w:basedOn w:val="Fuentedeprrafopredeter"/>
    <w:link w:val="Ttulo2"/>
    <w:uiPriority w:val="9"/>
    <w:rsid w:val="00B80863"/>
    <w:rPr>
      <w:rFonts w:asciiTheme="majorHAnsi" w:eastAsiaTheme="majorEastAsia" w:hAnsiTheme="majorHAnsi" w:cstheme="majorBidi"/>
      <w:b/>
      <w:bCs/>
      <w:color w:val="4472C4" w:themeColor="accent1"/>
      <w:sz w:val="26"/>
      <w:szCs w:val="26"/>
      <w:lang w:val="es-VE" w:eastAsia="es-ES"/>
    </w:rPr>
  </w:style>
  <w:style w:type="character" w:customStyle="1" w:styleId="Ttulo3Car">
    <w:name w:val="Título 3 Car"/>
    <w:basedOn w:val="Fuentedeprrafopredeter"/>
    <w:link w:val="Ttulo3"/>
    <w:uiPriority w:val="9"/>
    <w:rsid w:val="00B80863"/>
    <w:rPr>
      <w:rFonts w:asciiTheme="majorHAnsi" w:eastAsiaTheme="majorEastAsia" w:hAnsiTheme="majorHAnsi" w:cstheme="majorBidi"/>
      <w:b/>
      <w:bCs/>
      <w:color w:val="4472C4" w:themeColor="accent1"/>
      <w:lang w:val="es-VE" w:eastAsia="es-ES"/>
    </w:rPr>
  </w:style>
  <w:style w:type="character" w:customStyle="1" w:styleId="TextonotapieCar1">
    <w:name w:val="Texto nota pie Car1"/>
    <w:basedOn w:val="Fuentedeprrafopredeter"/>
    <w:uiPriority w:val="99"/>
    <w:semiHidden/>
    <w:rsid w:val="00B80863"/>
  </w:style>
  <w:style w:type="character" w:styleId="Hipervnculovisitado">
    <w:name w:val="FollowedHyperlink"/>
    <w:basedOn w:val="Fuentedeprrafopredeter"/>
    <w:uiPriority w:val="99"/>
    <w:semiHidden/>
    <w:unhideWhenUsed/>
    <w:rsid w:val="00B80863"/>
    <w:rPr>
      <w:color w:val="954F72" w:themeColor="followedHyperlink"/>
      <w:u w:val="single"/>
    </w:rPr>
  </w:style>
  <w:style w:type="paragraph" w:styleId="NormalWeb">
    <w:name w:val="Normal (Web)"/>
    <w:basedOn w:val="Normal"/>
    <w:uiPriority w:val="99"/>
    <w:unhideWhenUsed/>
    <w:rsid w:val="00B80863"/>
    <w:rPr>
      <w:rFonts w:ascii="Times New Roman" w:eastAsiaTheme="minorEastAsia" w:hAnsi="Times New Roman" w:cs="Times New Roman"/>
      <w:lang w:val="es-VE" w:eastAsia="es-ES"/>
    </w:rPr>
  </w:style>
  <w:style w:type="paragraph" w:styleId="Sangra2detindependiente">
    <w:name w:val="Body Text Indent 2"/>
    <w:basedOn w:val="Normal"/>
    <w:link w:val="Sangra2detindependienteCar"/>
    <w:uiPriority w:val="99"/>
    <w:unhideWhenUsed/>
    <w:rsid w:val="00B80863"/>
    <w:pPr>
      <w:spacing w:after="120" w:line="480" w:lineRule="auto"/>
      <w:ind w:left="283"/>
    </w:pPr>
    <w:rPr>
      <w:rFonts w:eastAsiaTheme="minorEastAsia"/>
      <w:lang w:val="es-VE" w:eastAsia="es-ES"/>
    </w:rPr>
  </w:style>
  <w:style w:type="character" w:customStyle="1" w:styleId="Sangra2detindependienteCar">
    <w:name w:val="Sangría 2 de t. independiente Car"/>
    <w:basedOn w:val="Fuentedeprrafopredeter"/>
    <w:link w:val="Sangra2detindependiente"/>
    <w:uiPriority w:val="99"/>
    <w:rsid w:val="00B80863"/>
    <w:rPr>
      <w:rFonts w:eastAsiaTheme="minorEastAsia"/>
      <w:lang w:val="es-VE" w:eastAsia="es-ES"/>
    </w:rPr>
  </w:style>
  <w:style w:type="paragraph" w:styleId="Bibliografa">
    <w:name w:val="Bibliography"/>
    <w:basedOn w:val="Normal"/>
    <w:next w:val="Normal"/>
    <w:uiPriority w:val="37"/>
    <w:unhideWhenUsed/>
    <w:rsid w:val="00B80863"/>
    <w:pPr>
      <w:spacing w:after="200" w:line="276" w:lineRule="auto"/>
    </w:pPr>
    <w:rPr>
      <w:sz w:val="22"/>
      <w:szCs w:val="22"/>
      <w:lang w:val="es-VE"/>
    </w:rPr>
  </w:style>
  <w:style w:type="table" w:styleId="Tablaconcuadrcula">
    <w:name w:val="Table Grid"/>
    <w:basedOn w:val="Tablanormal"/>
    <w:uiPriority w:val="59"/>
    <w:rsid w:val="00442BC6"/>
    <w:rPr>
      <w:sz w:val="22"/>
      <w:szCs w:val="22"/>
      <w:lang w:val="es-V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442BC6"/>
    <w:rPr>
      <w:i/>
      <w:iCs/>
    </w:rPr>
  </w:style>
  <w:style w:type="character" w:customStyle="1" w:styleId="file">
    <w:name w:val="file"/>
    <w:basedOn w:val="Fuentedeprrafopredeter"/>
    <w:rsid w:val="00442BC6"/>
  </w:style>
  <w:style w:type="numbering" w:customStyle="1" w:styleId="Sinlista1">
    <w:name w:val="Sin lista1"/>
    <w:next w:val="Sinlista"/>
    <w:uiPriority w:val="99"/>
    <w:semiHidden/>
    <w:unhideWhenUsed/>
    <w:rsid w:val="003E614F"/>
  </w:style>
  <w:style w:type="table" w:customStyle="1" w:styleId="Tablaconcuadrcula1">
    <w:name w:val="Tabla con cuadrícula1"/>
    <w:basedOn w:val="Tablanormal"/>
    <w:next w:val="Tablaconcuadrcula"/>
    <w:uiPriority w:val="59"/>
    <w:rsid w:val="003E614F"/>
    <w:rPr>
      <w:rFonts w:ascii="Bookman Old Style" w:eastAsia="Times New Roman" w:hAnsi="Bookman Old Style" w:cs="Times New Roman"/>
      <w:color w:val="000000"/>
      <w:szCs w:val="20"/>
      <w:lang w:val="es-VE" w:eastAsia="es-V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locked/>
    <w:rsid w:val="003E614F"/>
    <w:rPr>
      <w:sz w:val="22"/>
      <w:szCs w:val="22"/>
      <w:lang w:val="es-VE"/>
    </w:rPr>
  </w:style>
  <w:style w:type="paragraph" w:customStyle="1" w:styleId="MTDisplayEquation">
    <w:name w:val="MTDisplayEquation"/>
    <w:basedOn w:val="Prrafodelista"/>
    <w:next w:val="Normal"/>
    <w:link w:val="MTDisplayEquationCar"/>
    <w:rsid w:val="003E614F"/>
    <w:pPr>
      <w:numPr>
        <w:numId w:val="1"/>
      </w:numPr>
      <w:tabs>
        <w:tab w:val="center" w:pos="5280"/>
        <w:tab w:val="right" w:pos="10200"/>
      </w:tabs>
      <w:spacing w:before="120" w:after="120" w:line="360" w:lineRule="auto"/>
      <w:jc w:val="both"/>
    </w:pPr>
    <w:rPr>
      <w:rFonts w:ascii="Bookman Old Style" w:hAnsi="Bookman Old Style" w:cs="Arial"/>
      <w:color w:val="000000"/>
      <w:sz w:val="24"/>
      <w:szCs w:val="24"/>
      <w:lang w:val="es-ES"/>
    </w:rPr>
  </w:style>
  <w:style w:type="character" w:customStyle="1" w:styleId="MTDisplayEquationCar">
    <w:name w:val="MTDisplayEquation Car"/>
    <w:basedOn w:val="Fuentedeprrafopredeter"/>
    <w:link w:val="MTDisplayEquation"/>
    <w:rsid w:val="003E614F"/>
    <w:rPr>
      <w:rFonts w:ascii="Bookman Old Style" w:hAnsi="Bookman Old Style" w:cs="Arial"/>
      <w:color w:val="000000"/>
      <w:lang w:val="es-ES"/>
    </w:rPr>
  </w:style>
  <w:style w:type="character" w:styleId="Textodelmarcadordeposicin">
    <w:name w:val="Placeholder Text"/>
    <w:basedOn w:val="Fuentedeprrafopredeter"/>
    <w:uiPriority w:val="99"/>
    <w:semiHidden/>
    <w:rsid w:val="003E614F"/>
    <w:rPr>
      <w:color w:val="808080"/>
    </w:rPr>
  </w:style>
  <w:style w:type="paragraph" w:customStyle="1" w:styleId="TtuloGrficoyCuadro">
    <w:name w:val="Título Gráfico y Cuadro"/>
    <w:basedOn w:val="Descripcin"/>
    <w:qFormat/>
    <w:rsid w:val="003E614F"/>
    <w:pPr>
      <w:keepNext/>
      <w:widowControl/>
      <w:contextualSpacing/>
    </w:pPr>
    <w:rPr>
      <w:rFonts w:ascii="Bookman Old Style" w:hAnsi="Bookman Old Style"/>
      <w:b w:val="0"/>
      <w:bCs/>
      <w:sz w:val="20"/>
      <w:szCs w:val="24"/>
      <w:lang w:val="es-VE" w:eastAsia="es-VE"/>
    </w:rPr>
  </w:style>
  <w:style w:type="character" w:customStyle="1" w:styleId="Ttulo4Car">
    <w:name w:val="Título 4 Car"/>
    <w:basedOn w:val="Fuentedeprrafopredeter"/>
    <w:link w:val="Ttulo4"/>
    <w:rsid w:val="00627354"/>
    <w:rPr>
      <w:rFonts w:ascii="Times New Roman" w:eastAsia="Times New Roman" w:hAnsi="Times New Roman" w:cs="Times New Roman"/>
      <w:lang w:val="es-VE" w:eastAsia="es-VE"/>
    </w:rPr>
  </w:style>
  <w:style w:type="character" w:customStyle="1" w:styleId="Ttulo5Car">
    <w:name w:val="Título 5 Car"/>
    <w:basedOn w:val="Fuentedeprrafopredeter"/>
    <w:link w:val="Ttulo5"/>
    <w:rsid w:val="00627354"/>
    <w:rPr>
      <w:rFonts w:ascii="Verdana" w:eastAsia="Verdana" w:hAnsi="Verdana" w:cs="Verdana"/>
      <w:color w:val="243F61"/>
      <w:lang w:val="es-VE" w:eastAsia="es-VE"/>
    </w:rPr>
  </w:style>
  <w:style w:type="character" w:customStyle="1" w:styleId="Ttulo6Car">
    <w:name w:val="Título 6 Car"/>
    <w:basedOn w:val="Fuentedeprrafopredeter"/>
    <w:link w:val="Ttulo6"/>
    <w:rsid w:val="00627354"/>
    <w:rPr>
      <w:rFonts w:ascii="Verdana" w:eastAsia="Verdana" w:hAnsi="Verdana" w:cs="Verdana"/>
      <w:i/>
      <w:color w:val="243F61"/>
      <w:lang w:val="es-VE" w:eastAsia="es-VE"/>
    </w:rPr>
  </w:style>
  <w:style w:type="character" w:customStyle="1" w:styleId="Ttulo7Car">
    <w:name w:val="Título 7 Car"/>
    <w:basedOn w:val="Fuentedeprrafopredeter"/>
    <w:link w:val="Ttulo7"/>
    <w:uiPriority w:val="9"/>
    <w:rsid w:val="00627354"/>
    <w:rPr>
      <w:rFonts w:asciiTheme="majorHAnsi" w:eastAsiaTheme="majorEastAsia" w:hAnsiTheme="majorHAnsi" w:cstheme="majorBidi"/>
      <w:i/>
      <w:iCs/>
      <w:color w:val="404040" w:themeColor="text1" w:themeTint="BF"/>
      <w:lang w:val="es-VE" w:eastAsia="es-VE"/>
    </w:rPr>
  </w:style>
  <w:style w:type="paragraph" w:customStyle="1" w:styleId="Normal1">
    <w:name w:val="Normal1"/>
    <w:link w:val="Normal1Char"/>
    <w:rsid w:val="00627354"/>
    <w:pPr>
      <w:spacing w:line="480" w:lineRule="auto"/>
      <w:ind w:left="170"/>
      <w:jc w:val="both"/>
    </w:pPr>
    <w:rPr>
      <w:rFonts w:ascii="Times New Roman" w:eastAsia="Times New Roman" w:hAnsi="Times New Roman" w:cs="Times New Roman"/>
      <w:lang w:val="es-VE" w:eastAsia="es-VE"/>
    </w:rPr>
  </w:style>
  <w:style w:type="table" w:customStyle="1" w:styleId="TableNormal1">
    <w:name w:val="Table Normal1"/>
    <w:rsid w:val="00627354"/>
    <w:pPr>
      <w:spacing w:line="480" w:lineRule="auto"/>
      <w:ind w:left="170"/>
      <w:jc w:val="both"/>
    </w:pPr>
    <w:rPr>
      <w:rFonts w:ascii="Times New Roman" w:eastAsia="Times New Roman" w:hAnsi="Times New Roman" w:cs="Times New Roman"/>
      <w:lang w:val="es-VE" w:eastAsia="es-VE"/>
    </w:rPr>
    <w:tblPr>
      <w:tblCellMar>
        <w:top w:w="0" w:type="dxa"/>
        <w:left w:w="0" w:type="dxa"/>
        <w:bottom w:w="0" w:type="dxa"/>
        <w:right w:w="0" w:type="dxa"/>
      </w:tblCellMar>
    </w:tblPr>
  </w:style>
  <w:style w:type="paragraph" w:styleId="Ttulo">
    <w:name w:val="Title"/>
    <w:basedOn w:val="Normal1"/>
    <w:next w:val="Normal1"/>
    <w:link w:val="TtuloCar"/>
    <w:uiPriority w:val="10"/>
    <w:qFormat/>
    <w:rsid w:val="00627354"/>
    <w:pPr>
      <w:keepNext/>
      <w:keepLines/>
      <w:spacing w:before="480" w:after="120"/>
    </w:pPr>
    <w:rPr>
      <w:b/>
      <w:sz w:val="72"/>
      <w:szCs w:val="72"/>
    </w:rPr>
  </w:style>
  <w:style w:type="character" w:customStyle="1" w:styleId="TtuloCar">
    <w:name w:val="Título Car"/>
    <w:basedOn w:val="Fuentedeprrafopredeter"/>
    <w:link w:val="Ttulo"/>
    <w:uiPriority w:val="10"/>
    <w:rsid w:val="00627354"/>
    <w:rPr>
      <w:rFonts w:ascii="Times New Roman" w:eastAsia="Times New Roman" w:hAnsi="Times New Roman" w:cs="Times New Roman"/>
      <w:b/>
      <w:sz w:val="72"/>
      <w:szCs w:val="72"/>
      <w:lang w:val="es-VE" w:eastAsia="es-VE"/>
    </w:rPr>
  </w:style>
  <w:style w:type="paragraph" w:styleId="Subttulo">
    <w:name w:val="Subtitle"/>
    <w:basedOn w:val="Normal1"/>
    <w:next w:val="Normal1"/>
    <w:link w:val="SubttuloCar"/>
    <w:rsid w:val="00627354"/>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627354"/>
    <w:rPr>
      <w:rFonts w:ascii="Georgia" w:eastAsia="Georgia" w:hAnsi="Georgia" w:cs="Georgia"/>
      <w:i/>
      <w:color w:val="666666"/>
      <w:sz w:val="48"/>
      <w:szCs w:val="48"/>
      <w:lang w:val="es-VE" w:eastAsia="es-VE"/>
    </w:rPr>
  </w:style>
  <w:style w:type="paragraph" w:customStyle="1" w:styleId="Titulo1">
    <w:name w:val="Titulo 1"/>
    <w:basedOn w:val="Normal1"/>
    <w:link w:val="Titulo1Char"/>
    <w:qFormat/>
    <w:rsid w:val="00627354"/>
    <w:pPr>
      <w:numPr>
        <w:numId w:val="11"/>
      </w:numPr>
      <w:spacing w:before="120" w:after="120"/>
      <w:ind w:left="0" w:firstLine="0"/>
      <w:jc w:val="left"/>
    </w:pPr>
    <w:rPr>
      <w:b/>
      <w:color w:val="000000"/>
      <w:sz w:val="28"/>
      <w:szCs w:val="28"/>
    </w:rPr>
  </w:style>
  <w:style w:type="paragraph" w:customStyle="1" w:styleId="Titulo2">
    <w:name w:val="Titulo 2"/>
    <w:basedOn w:val="Ttulo2"/>
    <w:link w:val="Titulo2Char"/>
    <w:qFormat/>
    <w:rsid w:val="00627354"/>
    <w:pPr>
      <w:numPr>
        <w:ilvl w:val="1"/>
        <w:numId w:val="8"/>
      </w:numPr>
      <w:spacing w:before="120" w:after="120" w:line="480" w:lineRule="auto"/>
    </w:pPr>
    <w:rPr>
      <w:rFonts w:ascii="Times New Roman" w:eastAsia="Times New Roman" w:hAnsi="Times New Roman" w:cs="Times New Roman"/>
      <w:bCs w:val="0"/>
      <w:lang w:eastAsia="es-VE"/>
    </w:rPr>
  </w:style>
  <w:style w:type="character" w:customStyle="1" w:styleId="Normal1Char">
    <w:name w:val="Normal1 Char"/>
    <w:basedOn w:val="Fuentedeprrafopredeter"/>
    <w:link w:val="Normal1"/>
    <w:rsid w:val="00627354"/>
    <w:rPr>
      <w:rFonts w:ascii="Times New Roman" w:eastAsia="Times New Roman" w:hAnsi="Times New Roman" w:cs="Times New Roman"/>
      <w:lang w:val="es-VE" w:eastAsia="es-VE"/>
    </w:rPr>
  </w:style>
  <w:style w:type="character" w:customStyle="1" w:styleId="Titulo1Char">
    <w:name w:val="Titulo 1 Char"/>
    <w:basedOn w:val="Normal1Char"/>
    <w:link w:val="Titulo1"/>
    <w:rsid w:val="00627354"/>
    <w:rPr>
      <w:rFonts w:ascii="Times New Roman" w:eastAsia="Times New Roman" w:hAnsi="Times New Roman" w:cs="Times New Roman"/>
      <w:b/>
      <w:color w:val="000000"/>
      <w:sz w:val="28"/>
      <w:szCs w:val="28"/>
      <w:lang w:val="es-VE" w:eastAsia="es-VE"/>
    </w:rPr>
  </w:style>
  <w:style w:type="character" w:customStyle="1" w:styleId="Titulo2Char">
    <w:name w:val="Titulo 2 Char"/>
    <w:basedOn w:val="Ttulo2Car"/>
    <w:link w:val="Titulo2"/>
    <w:rsid w:val="00627354"/>
    <w:rPr>
      <w:rFonts w:ascii="Times New Roman" w:eastAsia="Times New Roman" w:hAnsi="Times New Roman" w:cs="Times New Roman"/>
      <w:b/>
      <w:bCs w:val="0"/>
      <w:color w:val="4472C4" w:themeColor="accent1"/>
      <w:sz w:val="26"/>
      <w:szCs w:val="26"/>
      <w:lang w:val="es-VE" w:eastAsia="es-VE"/>
    </w:rPr>
  </w:style>
  <w:style w:type="character" w:customStyle="1" w:styleId="UnresolvedMention1">
    <w:name w:val="Unresolved Mention1"/>
    <w:basedOn w:val="Fuentedeprrafopredeter"/>
    <w:uiPriority w:val="99"/>
    <w:semiHidden/>
    <w:unhideWhenUsed/>
    <w:rsid w:val="00937DC4"/>
    <w:rPr>
      <w:color w:val="605E5C"/>
      <w:shd w:val="clear" w:color="auto" w:fill="E1DFDD"/>
    </w:rPr>
  </w:style>
  <w:style w:type="character" w:customStyle="1" w:styleId="Mencinsinresolver1">
    <w:name w:val="Mención sin resolver1"/>
    <w:basedOn w:val="Fuentedeprrafopredeter"/>
    <w:uiPriority w:val="99"/>
    <w:semiHidden/>
    <w:unhideWhenUsed/>
    <w:rsid w:val="00937D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8153">
      <w:bodyDiv w:val="1"/>
      <w:marLeft w:val="0"/>
      <w:marRight w:val="0"/>
      <w:marTop w:val="0"/>
      <w:marBottom w:val="0"/>
      <w:divBdr>
        <w:top w:val="none" w:sz="0" w:space="0" w:color="auto"/>
        <w:left w:val="none" w:sz="0" w:space="0" w:color="auto"/>
        <w:bottom w:val="none" w:sz="0" w:space="0" w:color="auto"/>
        <w:right w:val="none" w:sz="0" w:space="0" w:color="auto"/>
      </w:divBdr>
    </w:div>
    <w:div w:id="641883490">
      <w:bodyDiv w:val="1"/>
      <w:marLeft w:val="0"/>
      <w:marRight w:val="0"/>
      <w:marTop w:val="0"/>
      <w:marBottom w:val="0"/>
      <w:divBdr>
        <w:top w:val="none" w:sz="0" w:space="0" w:color="auto"/>
        <w:left w:val="none" w:sz="0" w:space="0" w:color="auto"/>
        <w:bottom w:val="none" w:sz="0" w:space="0" w:color="auto"/>
        <w:right w:val="none" w:sz="0" w:space="0" w:color="auto"/>
      </w:divBdr>
    </w:div>
    <w:div w:id="1445618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5.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file:///D:\USER%20D\Datos\Datos\My%20Documents\BCV\Digitalizados\Mis%20trabajos\Venezuela\BCV\Borradores\Corrupci&#243;n%20del%20Estado%20en%20AL\Simulaci&#243;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20D\Datos\Datos\My%20Documents\BCV\Digitalizados\Mis%20trabajos\Venezuela\BCV\Borradores\Corrupci&#243;n%20del%20Estado%20en%20AL\Simulaci&#243;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SER%20D\Datos\Datos\My%20Documents\BCV\Digitalizados\Mis%20trabajos\Venezuela\BCV\Borradores\Corrupci&#243;n%20del%20Estado%20en%20AL\Simulaci&#243;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SER%20D\Datos\Datos\My%20Documents\BCV\Digitalizados\Mis%20trabajos\Venezuela\BCV\Borradores\Corrupci&#243;n%20del%20Estado%20en%20AL\Simulaci&#243;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20D\Datos\Datos\My%20Documents\BCV\Digitalizados\Mis%20trabajos\Venezuela\BCV\Borradores\Corrupci&#243;n%20del%20Estado%20en%20AL\Simulaci&#243;n.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small" spc="100" normalizeH="0" baseline="0">
                <a:solidFill>
                  <a:schemeClr val="bg1"/>
                </a:solidFill>
                <a:latin typeface="Arial" panose="020B0604020202020204" pitchFamily="34" charset="0"/>
                <a:ea typeface="+mn-ea"/>
                <a:cs typeface="+mn-cs"/>
              </a:defRPr>
            </a:pPr>
            <a:r>
              <a:rPr lang="en-US" sz="800" cap="all" normalizeH="1" baseline="0"/>
              <a:t>simulación 1 cambios en los valores de la tasa de descuento ante aumento de recursos públicos </a:t>
            </a:r>
          </a:p>
        </c:rich>
      </c:tx>
      <c:layout>
        <c:manualLayout>
          <c:xMode val="edge"/>
          <c:yMode val="edge"/>
          <c:x val="0.117548556430446"/>
          <c:y val="0"/>
        </c:manualLayout>
      </c:layout>
      <c:overlay val="0"/>
      <c:spPr>
        <a:noFill/>
        <a:ln>
          <a:noFill/>
        </a:ln>
        <a:effectLst/>
      </c:spPr>
      <c:txPr>
        <a:bodyPr rot="0" spcFirstLastPara="1" vertOverflow="ellipsis" vert="horz" wrap="square" anchor="ctr" anchorCtr="1"/>
        <a:lstStyle/>
        <a:p>
          <a:pPr>
            <a:defRPr sz="1500" b="1" i="0" u="none" strike="noStrike" kern="1200" cap="small" spc="100" normalizeH="0" baseline="0">
              <a:solidFill>
                <a:schemeClr val="bg1"/>
              </a:solidFill>
              <a:latin typeface="Arial" panose="020B0604020202020204" pitchFamily="34" charset="0"/>
              <a:ea typeface="+mn-ea"/>
              <a:cs typeface="+mn-cs"/>
            </a:defRPr>
          </a:pPr>
          <a:endParaRPr lang="es-VE"/>
        </a:p>
      </c:txPr>
    </c:title>
    <c:autoTitleDeleted val="0"/>
    <c:plotArea>
      <c:layout/>
      <c:lineChart>
        <c:grouping val="standard"/>
        <c:varyColors val="0"/>
        <c:ser>
          <c:idx val="0"/>
          <c:order val="0"/>
          <c:spPr>
            <a:ln w="34925" cap="rnd">
              <a:solidFill>
                <a:schemeClr val="lt1"/>
              </a:solidFill>
              <a:round/>
            </a:ln>
            <a:effectLst>
              <a:outerShdw dist="25400" dir="2700000" algn="tl" rotWithShape="0">
                <a:schemeClr val="accent1"/>
              </a:outerShdw>
            </a:effectLst>
          </c:spPr>
          <c:marker>
            <c:symbol val="none"/>
          </c:marker>
          <c:cat>
            <c:numRef>
              <c:f>Simulación!$D$2:$D$21</c:f>
              <c:numCache>
                <c:formatCode>General</c:formatCode>
                <c:ptCount val="20"/>
                <c:pt idx="0">
                  <c:v>100</c:v>
                </c:pt>
                <c:pt idx="1">
                  <c:v>150</c:v>
                </c:pt>
                <c:pt idx="2">
                  <c:v>200</c:v>
                </c:pt>
                <c:pt idx="3">
                  <c:v>250</c:v>
                </c:pt>
                <c:pt idx="4">
                  <c:v>300</c:v>
                </c:pt>
                <c:pt idx="5">
                  <c:v>350</c:v>
                </c:pt>
                <c:pt idx="6">
                  <c:v>400</c:v>
                </c:pt>
                <c:pt idx="7">
                  <c:v>450</c:v>
                </c:pt>
                <c:pt idx="8">
                  <c:v>500</c:v>
                </c:pt>
                <c:pt idx="9">
                  <c:v>550</c:v>
                </c:pt>
                <c:pt idx="10">
                  <c:v>600</c:v>
                </c:pt>
                <c:pt idx="11">
                  <c:v>650</c:v>
                </c:pt>
                <c:pt idx="12">
                  <c:v>700</c:v>
                </c:pt>
                <c:pt idx="13">
                  <c:v>750</c:v>
                </c:pt>
                <c:pt idx="14">
                  <c:v>800</c:v>
                </c:pt>
                <c:pt idx="15">
                  <c:v>850</c:v>
                </c:pt>
                <c:pt idx="16">
                  <c:v>900</c:v>
                </c:pt>
                <c:pt idx="17">
                  <c:v>950</c:v>
                </c:pt>
                <c:pt idx="18">
                  <c:v>1000</c:v>
                </c:pt>
                <c:pt idx="19">
                  <c:v>1050</c:v>
                </c:pt>
              </c:numCache>
            </c:numRef>
          </c:cat>
          <c:val>
            <c:numRef>
              <c:f>Simulación!$F$2:$F$21</c:f>
              <c:numCache>
                <c:formatCode>General</c:formatCode>
                <c:ptCount val="20"/>
                <c:pt idx="0">
                  <c:v>0.128022459515723</c:v>
                </c:pt>
                <c:pt idx="1">
                  <c:v>8.1855204796415504E-2</c:v>
                </c:pt>
                <c:pt idx="2">
                  <c:v>6.0160295274730199E-2</c:v>
                </c:pt>
                <c:pt idx="3">
                  <c:v>4.7556039148332098E-2</c:v>
                </c:pt>
                <c:pt idx="4">
                  <c:v>3.9318394770120502E-2</c:v>
                </c:pt>
                <c:pt idx="5">
                  <c:v>3.35132402586013E-2</c:v>
                </c:pt>
                <c:pt idx="6">
                  <c:v>2.92017545492534E-2</c:v>
                </c:pt>
                <c:pt idx="7">
                  <c:v>2.5873166061033501E-2</c:v>
                </c:pt>
                <c:pt idx="8">
                  <c:v>2.3225757067978799E-2</c:v>
                </c:pt>
                <c:pt idx="9">
                  <c:v>2.10698370693231E-2</c:v>
                </c:pt>
                <c:pt idx="10">
                  <c:v>1.92801648192619E-2</c:v>
                </c:pt>
                <c:pt idx="11">
                  <c:v>1.7770719648258999E-2</c:v>
                </c:pt>
                <c:pt idx="12">
                  <c:v>1.64804632667843E-2</c:v>
                </c:pt>
                <c:pt idx="13">
                  <c:v>1.5364884354851401E-2</c:v>
                </c:pt>
                <c:pt idx="14">
                  <c:v>1.4390759560396701E-2</c:v>
                </c:pt>
                <c:pt idx="15">
                  <c:v>1.3532788579983E-2</c:v>
                </c:pt>
                <c:pt idx="16">
                  <c:v>1.27713652041403E-2</c:v>
                </c:pt>
                <c:pt idx="17">
                  <c:v>1.2091060753786E-2</c:v>
                </c:pt>
                <c:pt idx="18">
                  <c:v>1.14795677085671E-2</c:v>
                </c:pt>
                <c:pt idx="19">
                  <c:v>1.09269484536534E-2</c:v>
                </c:pt>
              </c:numCache>
            </c:numRef>
          </c:val>
          <c:smooth val="0"/>
          <c:extLst>
            <c:ext xmlns:c16="http://schemas.microsoft.com/office/drawing/2014/chart" uri="{C3380CC4-5D6E-409C-BE32-E72D297353CC}">
              <c16:uniqueId val="{00000000-818E-457E-9EC9-0606764963FD}"/>
            </c:ext>
          </c:extLst>
        </c:ser>
        <c:dLbls>
          <c:showLegendKey val="0"/>
          <c:showVal val="0"/>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2054665784"/>
        <c:axId val="-2071929928"/>
      </c:lineChart>
      <c:catAx>
        <c:axId val="-2054665784"/>
        <c:scaling>
          <c:orientation val="minMax"/>
        </c:scaling>
        <c:delete val="0"/>
        <c:axPos val="b"/>
        <c:title>
          <c:tx>
            <c:rich>
              <a:bodyPr rot="0" spcFirstLastPara="1" vertOverflow="ellipsis" vert="horz" wrap="square" anchor="ctr" anchorCtr="1"/>
              <a:lstStyle/>
              <a:p>
                <a:pPr>
                  <a:defRPr sz="900" b="1" i="0" u="none" strike="noStrike" kern="1200" cap="small" baseline="0">
                    <a:solidFill>
                      <a:schemeClr val="bg1"/>
                    </a:solidFill>
                    <a:latin typeface="Arial" panose="020B0604020202020204" pitchFamily="34" charset="0"/>
                    <a:ea typeface="+mn-ea"/>
                    <a:cs typeface="+mn-cs"/>
                  </a:defRPr>
                </a:pPr>
                <a:r>
                  <a:rPr lang="en-US"/>
                  <a:t>Comportamiento del tamaño recursos públicos, M</a:t>
                </a:r>
              </a:p>
            </c:rich>
          </c:tx>
          <c:overlay val="0"/>
          <c:spPr>
            <a:noFill/>
            <a:ln>
              <a:noFill/>
            </a:ln>
            <a:effectLst/>
          </c:spPr>
          <c:txPr>
            <a:bodyPr rot="0" spcFirstLastPara="1" vertOverflow="ellipsis" vert="horz" wrap="square" anchor="ctr" anchorCtr="1"/>
            <a:lstStyle/>
            <a:p>
              <a:pPr>
                <a:defRPr sz="900" b="1" i="0" u="none" strike="noStrike" kern="1200" cap="small" baseline="0">
                  <a:solidFill>
                    <a:schemeClr val="bg1"/>
                  </a:solidFill>
                  <a:latin typeface="Arial" panose="020B0604020202020204" pitchFamily="34" charset="0"/>
                  <a:ea typeface="+mn-ea"/>
                  <a:cs typeface="+mn-cs"/>
                </a:defRPr>
              </a:pPr>
              <a:endParaRPr lang="es-VE"/>
            </a:p>
          </c:txPr>
        </c:title>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900" b="0" i="0" u="none" strike="noStrike" kern="1200" cap="small" spc="100" baseline="0">
                <a:solidFill>
                  <a:schemeClr val="bg1"/>
                </a:solidFill>
                <a:latin typeface="Arial" panose="020B0604020202020204" pitchFamily="34" charset="0"/>
                <a:ea typeface="+mn-ea"/>
                <a:cs typeface="+mn-cs"/>
              </a:defRPr>
            </a:pPr>
            <a:endParaRPr lang="es-VE"/>
          </a:p>
        </c:txPr>
        <c:crossAx val="-2071929928"/>
        <c:crosses val="autoZero"/>
        <c:auto val="1"/>
        <c:lblAlgn val="ctr"/>
        <c:lblOffset val="100"/>
        <c:noMultiLvlLbl val="0"/>
      </c:catAx>
      <c:valAx>
        <c:axId val="-2071929928"/>
        <c:scaling>
          <c:orientation val="minMax"/>
        </c:scaling>
        <c:delete val="0"/>
        <c:axPos val="l"/>
        <c:title>
          <c:tx>
            <c:rich>
              <a:bodyPr rot="-5400000" spcFirstLastPara="1" vertOverflow="ellipsis" vert="horz" wrap="square" anchor="ctr" anchorCtr="1"/>
              <a:lstStyle/>
              <a:p>
                <a:pPr>
                  <a:defRPr sz="900" b="1" i="0" u="none" strike="noStrike" kern="1200" cap="small" baseline="0">
                    <a:solidFill>
                      <a:schemeClr val="bg1"/>
                    </a:solidFill>
                    <a:latin typeface="Arial" panose="020B0604020202020204" pitchFamily="34" charset="0"/>
                    <a:ea typeface="+mn-ea"/>
                    <a:cs typeface="+mn-cs"/>
                  </a:defRPr>
                </a:pPr>
                <a:r>
                  <a:rPr lang="en-US"/>
                  <a:t>Tasa de </a:t>
                </a:r>
                <a:r>
                  <a:rPr lang="en-US" b="0"/>
                  <a:t>descuento</a:t>
                </a:r>
                <a:r>
                  <a:rPr lang="en-US"/>
                  <a:t>  </a:t>
                </a:r>
              </a:p>
            </c:rich>
          </c:tx>
          <c:overlay val="0"/>
          <c:spPr>
            <a:noFill/>
            <a:ln>
              <a:noFill/>
            </a:ln>
            <a:effectLst/>
          </c:spPr>
          <c:txPr>
            <a:bodyPr rot="-5400000" spcFirstLastPara="1" vertOverflow="ellipsis" vert="horz" wrap="square" anchor="ctr" anchorCtr="1"/>
            <a:lstStyle/>
            <a:p>
              <a:pPr>
                <a:defRPr sz="900" b="1" i="0" u="none" strike="noStrike" kern="1200" cap="small" baseline="0">
                  <a:solidFill>
                    <a:schemeClr val="bg1"/>
                  </a:solidFill>
                  <a:latin typeface="Arial" panose="020B0604020202020204" pitchFamily="34" charset="0"/>
                  <a:ea typeface="+mn-ea"/>
                  <a:cs typeface="+mn-cs"/>
                </a:defRPr>
              </a:pPr>
              <a:endParaRPr lang="es-V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small" baseline="0">
                <a:solidFill>
                  <a:schemeClr val="bg1"/>
                </a:solidFill>
                <a:latin typeface="Arial" panose="020B0604020202020204" pitchFamily="34" charset="0"/>
                <a:ea typeface="+mn-ea"/>
                <a:cs typeface="+mn-cs"/>
              </a:defRPr>
            </a:pPr>
            <a:endParaRPr lang="es-VE"/>
          </a:p>
        </c:txPr>
        <c:crossAx val="-2054665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solidFill>
    <a:ln w="9525" cap="flat" cmpd="sng" algn="ctr">
      <a:solidFill>
        <a:schemeClr val="accent1"/>
      </a:solidFill>
      <a:round/>
    </a:ln>
    <a:effectLst/>
  </c:spPr>
  <c:txPr>
    <a:bodyPr/>
    <a:lstStyle/>
    <a:p>
      <a:pPr>
        <a:defRPr cap="small" baseline="0">
          <a:solidFill>
            <a:schemeClr val="bg1"/>
          </a:solidFill>
          <a:latin typeface="Arial" panose="020B0604020202020204" pitchFamily="34" charset="0"/>
        </a:defRPr>
      </a:pPr>
      <a:endParaRPr lang="es-V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small" spc="100" normalizeH="0" baseline="0">
                <a:solidFill>
                  <a:schemeClr val="bg1"/>
                </a:solidFill>
                <a:latin typeface="Arial" panose="020B0604020202020204" pitchFamily="34" charset="0"/>
                <a:ea typeface="+mn-ea"/>
                <a:cs typeface="+mn-cs"/>
              </a:defRPr>
            </a:pPr>
            <a:r>
              <a:rPr lang="en-US" sz="800" cap="all" normalizeH="1" baseline="0"/>
              <a:t>simulación 2 cambios en los valores de la tasa de descuento ante aumento del ingreso del funcionario público</a:t>
            </a:r>
          </a:p>
        </c:rich>
      </c:tx>
      <c:layout>
        <c:manualLayout>
          <c:xMode val="edge"/>
          <c:yMode val="edge"/>
          <c:x val="0.117548556430446"/>
          <c:y val="0"/>
        </c:manualLayout>
      </c:layout>
      <c:overlay val="0"/>
      <c:spPr>
        <a:noFill/>
        <a:ln>
          <a:noFill/>
        </a:ln>
        <a:effectLst/>
      </c:spPr>
      <c:txPr>
        <a:bodyPr rot="0" spcFirstLastPara="1" vertOverflow="ellipsis" vert="horz" wrap="square" anchor="ctr" anchorCtr="1"/>
        <a:lstStyle/>
        <a:p>
          <a:pPr>
            <a:defRPr sz="1500" b="1" i="0" u="none" strike="noStrike" kern="1200" cap="small" spc="100" normalizeH="0" baseline="0">
              <a:solidFill>
                <a:schemeClr val="bg1"/>
              </a:solidFill>
              <a:latin typeface="Arial" panose="020B0604020202020204" pitchFamily="34" charset="0"/>
              <a:ea typeface="+mn-ea"/>
              <a:cs typeface="+mn-cs"/>
            </a:defRPr>
          </a:pPr>
          <a:endParaRPr lang="es-VE"/>
        </a:p>
      </c:txPr>
    </c:title>
    <c:autoTitleDeleted val="0"/>
    <c:plotArea>
      <c:layout/>
      <c:lineChart>
        <c:grouping val="standard"/>
        <c:varyColors val="0"/>
        <c:ser>
          <c:idx val="0"/>
          <c:order val="0"/>
          <c:tx>
            <c:strRef>
              <c:f>Simulación!$F$24:$F$43</c:f>
              <c:strCache>
                <c:ptCount val="20"/>
                <c:pt idx="0">
                  <c:v>0,12802246</c:v>
                </c:pt>
                <c:pt idx="1">
                  <c:v>0,154058539</c:v>
                </c:pt>
                <c:pt idx="2">
                  <c:v>0,1813249</c:v>
                </c:pt>
                <c:pt idx="3">
                  <c:v>0,209910857</c:v>
                </c:pt>
                <c:pt idx="4">
                  <c:v>0,239914579</c:v>
                </c:pt>
                <c:pt idx="5">
                  <c:v>0,271444224</c:v>
                </c:pt>
                <c:pt idx="6">
                  <c:v>0,304619235</c:v>
                </c:pt>
                <c:pt idx="7">
                  <c:v>0,33957186</c:v>
                </c:pt>
                <c:pt idx="8">
                  <c:v>0,376448904</c:v>
                </c:pt>
                <c:pt idx="9">
                  <c:v>0,415413799</c:v>
                </c:pt>
                <c:pt idx="10">
                  <c:v>0,456649022</c:v>
                </c:pt>
                <c:pt idx="11">
                  <c:v>0,50035895</c:v>
                </c:pt>
                <c:pt idx="12">
                  <c:v>0,546773252</c:v>
                </c:pt>
                <c:pt idx="13">
                  <c:v>0,596150923</c:v>
                </c:pt>
                <c:pt idx="14">
                  <c:v>0,648785121</c:v>
                </c:pt>
                <c:pt idx="15">
                  <c:v>0,70500899</c:v>
                </c:pt>
                <c:pt idx="16">
                  <c:v>0,76520272</c:v>
                </c:pt>
                <c:pt idx="17">
                  <c:v>0,829802155</c:v>
                </c:pt>
                <c:pt idx="18">
                  <c:v>0,899309362</c:v>
                </c:pt>
                <c:pt idx="19">
                  <c:v>0,974305708</c:v>
                </c:pt>
              </c:strCache>
            </c:strRef>
          </c:tx>
          <c:spPr>
            <a:ln w="34925" cap="rnd">
              <a:solidFill>
                <a:schemeClr val="lt1"/>
              </a:solidFill>
              <a:round/>
            </a:ln>
            <a:effectLst>
              <a:outerShdw dist="25400" dir="2700000" algn="tl" rotWithShape="0">
                <a:schemeClr val="accent1"/>
              </a:outerShdw>
            </a:effectLst>
          </c:spPr>
          <c:marker>
            <c:symbol val="none"/>
          </c:marker>
          <c:cat>
            <c:numRef>
              <c:f>Simulación!$A$24:$A$43</c:f>
              <c:numCache>
                <c:formatCode>General</c:formatCode>
                <c:ptCount val="20"/>
                <c:pt idx="0">
                  <c:v>10</c:v>
                </c:pt>
                <c:pt idx="1">
                  <c:v>12</c:v>
                </c:pt>
                <c:pt idx="2">
                  <c:v>14</c:v>
                </c:pt>
                <c:pt idx="3">
                  <c:v>16</c:v>
                </c:pt>
                <c:pt idx="4">
                  <c:v>18</c:v>
                </c:pt>
                <c:pt idx="5">
                  <c:v>20</c:v>
                </c:pt>
                <c:pt idx="6">
                  <c:v>22</c:v>
                </c:pt>
                <c:pt idx="7">
                  <c:v>24</c:v>
                </c:pt>
                <c:pt idx="8">
                  <c:v>26</c:v>
                </c:pt>
                <c:pt idx="9">
                  <c:v>28</c:v>
                </c:pt>
                <c:pt idx="10">
                  <c:v>30</c:v>
                </c:pt>
                <c:pt idx="11">
                  <c:v>32</c:v>
                </c:pt>
                <c:pt idx="12">
                  <c:v>34</c:v>
                </c:pt>
                <c:pt idx="13">
                  <c:v>36</c:v>
                </c:pt>
                <c:pt idx="14">
                  <c:v>38</c:v>
                </c:pt>
                <c:pt idx="15">
                  <c:v>40</c:v>
                </c:pt>
                <c:pt idx="16">
                  <c:v>42</c:v>
                </c:pt>
                <c:pt idx="17">
                  <c:v>44</c:v>
                </c:pt>
                <c:pt idx="18">
                  <c:v>46</c:v>
                </c:pt>
                <c:pt idx="19">
                  <c:v>48</c:v>
                </c:pt>
              </c:numCache>
            </c:numRef>
          </c:cat>
          <c:val>
            <c:numRef>
              <c:f>Simulación!$F$24:$F$43</c:f>
              <c:numCache>
                <c:formatCode>General</c:formatCode>
                <c:ptCount val="20"/>
                <c:pt idx="0">
                  <c:v>0.128022459515723</c:v>
                </c:pt>
                <c:pt idx="1">
                  <c:v>0.15405853853703699</c:v>
                </c:pt>
                <c:pt idx="2">
                  <c:v>0.181324900296509</c:v>
                </c:pt>
                <c:pt idx="3">
                  <c:v>0.209910856740645</c:v>
                </c:pt>
                <c:pt idx="4">
                  <c:v>0.239914578950714</c:v>
                </c:pt>
                <c:pt idx="5">
                  <c:v>0.271444223532322</c:v>
                </c:pt>
                <c:pt idx="6">
                  <c:v>0.30461923534612201</c:v>
                </c:pt>
                <c:pt idx="7">
                  <c:v>0.33957185965069597</c:v>
                </c:pt>
                <c:pt idx="8">
                  <c:v>0.37644890401192399</c:v>
                </c:pt>
                <c:pt idx="9">
                  <c:v>0.41541379947205698</c:v>
                </c:pt>
                <c:pt idx="10">
                  <c:v>0.45664902200677399</c:v>
                </c:pt>
                <c:pt idx="11">
                  <c:v>0.50035894994881602</c:v>
                </c:pt>
                <c:pt idx="12">
                  <c:v>0.54677325178598601</c:v>
                </c:pt>
                <c:pt idx="13">
                  <c:v>0.59615092285159399</c:v>
                </c:pt>
                <c:pt idx="14">
                  <c:v>0.64878512069109495</c:v>
                </c:pt>
                <c:pt idx="15">
                  <c:v>0.70500898974998105</c:v>
                </c:pt>
                <c:pt idx="16">
                  <c:v>0.76520271987224697</c:v>
                </c:pt>
                <c:pt idx="17">
                  <c:v>0.82980215467754503</c:v>
                </c:pt>
                <c:pt idx="18">
                  <c:v>0.89930936193489996</c:v>
                </c:pt>
                <c:pt idx="19">
                  <c:v>0.97430570823431895</c:v>
                </c:pt>
              </c:numCache>
            </c:numRef>
          </c:val>
          <c:smooth val="0"/>
          <c:extLst>
            <c:ext xmlns:c16="http://schemas.microsoft.com/office/drawing/2014/chart" uri="{C3380CC4-5D6E-409C-BE32-E72D297353CC}">
              <c16:uniqueId val="{00000000-9FF4-41E1-A27A-3DEBD9143815}"/>
            </c:ext>
          </c:extLst>
        </c:ser>
        <c:dLbls>
          <c:showLegendKey val="0"/>
          <c:showVal val="0"/>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2071932376"/>
        <c:axId val="-2070849064"/>
      </c:lineChart>
      <c:catAx>
        <c:axId val="-2071932376"/>
        <c:scaling>
          <c:orientation val="minMax"/>
        </c:scaling>
        <c:delete val="0"/>
        <c:axPos val="b"/>
        <c:title>
          <c:tx>
            <c:rich>
              <a:bodyPr rot="0" spcFirstLastPara="1" vertOverflow="ellipsis" vert="horz" wrap="square" anchor="ctr" anchorCtr="1"/>
              <a:lstStyle/>
              <a:p>
                <a:pPr>
                  <a:defRPr sz="900" b="1" i="0" u="none" strike="noStrike" kern="1200" cap="small" baseline="0">
                    <a:solidFill>
                      <a:schemeClr val="bg1"/>
                    </a:solidFill>
                    <a:latin typeface="Arial" panose="020B0604020202020204" pitchFamily="34" charset="0"/>
                    <a:ea typeface="+mn-ea"/>
                    <a:cs typeface="+mn-cs"/>
                  </a:defRPr>
                </a:pPr>
                <a:r>
                  <a:rPr lang="en-US"/>
                  <a:t>Comportamiento del ingreso del funcionario, I</a:t>
                </a:r>
              </a:p>
            </c:rich>
          </c:tx>
          <c:overlay val="0"/>
          <c:spPr>
            <a:noFill/>
            <a:ln>
              <a:noFill/>
            </a:ln>
            <a:effectLst/>
          </c:spPr>
          <c:txPr>
            <a:bodyPr rot="0" spcFirstLastPara="1" vertOverflow="ellipsis" vert="horz" wrap="square" anchor="ctr" anchorCtr="1"/>
            <a:lstStyle/>
            <a:p>
              <a:pPr>
                <a:defRPr sz="900" b="1" i="0" u="none" strike="noStrike" kern="1200" cap="small" baseline="0">
                  <a:solidFill>
                    <a:schemeClr val="bg1"/>
                  </a:solidFill>
                  <a:latin typeface="Arial" panose="020B0604020202020204" pitchFamily="34" charset="0"/>
                  <a:ea typeface="+mn-ea"/>
                  <a:cs typeface="+mn-cs"/>
                </a:defRPr>
              </a:pPr>
              <a:endParaRPr lang="es-VE"/>
            </a:p>
          </c:txPr>
        </c:title>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900" b="0" i="0" u="none" strike="noStrike" kern="1200" cap="small" spc="100" baseline="0">
                <a:solidFill>
                  <a:schemeClr val="bg1"/>
                </a:solidFill>
                <a:latin typeface="Arial" panose="020B0604020202020204" pitchFamily="34" charset="0"/>
                <a:ea typeface="+mn-ea"/>
                <a:cs typeface="+mn-cs"/>
              </a:defRPr>
            </a:pPr>
            <a:endParaRPr lang="es-VE"/>
          </a:p>
        </c:txPr>
        <c:crossAx val="-2070849064"/>
        <c:crosses val="autoZero"/>
        <c:auto val="1"/>
        <c:lblAlgn val="ctr"/>
        <c:lblOffset val="100"/>
        <c:noMultiLvlLbl val="0"/>
      </c:catAx>
      <c:valAx>
        <c:axId val="-2070849064"/>
        <c:scaling>
          <c:orientation val="minMax"/>
        </c:scaling>
        <c:delete val="0"/>
        <c:axPos val="l"/>
        <c:title>
          <c:tx>
            <c:rich>
              <a:bodyPr rot="-5400000" spcFirstLastPara="1" vertOverflow="ellipsis" vert="horz" wrap="square" anchor="ctr" anchorCtr="1"/>
              <a:lstStyle/>
              <a:p>
                <a:pPr>
                  <a:defRPr sz="900" b="1" i="0" u="none" strike="noStrike" kern="1200" cap="small" baseline="0">
                    <a:solidFill>
                      <a:schemeClr val="bg1"/>
                    </a:solidFill>
                    <a:latin typeface="Arial" panose="020B0604020202020204" pitchFamily="34" charset="0"/>
                    <a:ea typeface="+mn-ea"/>
                    <a:cs typeface="+mn-cs"/>
                  </a:defRPr>
                </a:pPr>
                <a:r>
                  <a:rPr lang="en-US"/>
                  <a:t>Tasa de descuento</a:t>
                </a:r>
              </a:p>
            </c:rich>
          </c:tx>
          <c:overlay val="0"/>
          <c:spPr>
            <a:noFill/>
            <a:ln>
              <a:noFill/>
            </a:ln>
            <a:effectLst/>
          </c:spPr>
          <c:txPr>
            <a:bodyPr rot="-5400000" spcFirstLastPara="1" vertOverflow="ellipsis" vert="horz" wrap="square" anchor="ctr" anchorCtr="1"/>
            <a:lstStyle/>
            <a:p>
              <a:pPr>
                <a:defRPr sz="900" b="1" i="0" u="none" strike="noStrike" kern="1200" cap="small" baseline="0">
                  <a:solidFill>
                    <a:schemeClr val="bg1"/>
                  </a:solidFill>
                  <a:latin typeface="Arial" panose="020B0604020202020204" pitchFamily="34" charset="0"/>
                  <a:ea typeface="+mn-ea"/>
                  <a:cs typeface="+mn-cs"/>
                </a:defRPr>
              </a:pPr>
              <a:endParaRPr lang="es-V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small" baseline="0">
                <a:solidFill>
                  <a:schemeClr val="bg1"/>
                </a:solidFill>
                <a:latin typeface="Arial" panose="020B0604020202020204" pitchFamily="34" charset="0"/>
                <a:ea typeface="+mn-ea"/>
                <a:cs typeface="+mn-cs"/>
              </a:defRPr>
            </a:pPr>
            <a:endParaRPr lang="es-VE"/>
          </a:p>
        </c:txPr>
        <c:crossAx val="-2071932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solidFill>
    <a:ln w="9525" cap="flat" cmpd="sng" algn="ctr">
      <a:solidFill>
        <a:schemeClr val="accent1"/>
      </a:solidFill>
      <a:round/>
    </a:ln>
    <a:effectLst/>
  </c:spPr>
  <c:txPr>
    <a:bodyPr/>
    <a:lstStyle/>
    <a:p>
      <a:pPr>
        <a:defRPr cap="small" baseline="0">
          <a:solidFill>
            <a:schemeClr val="bg1"/>
          </a:solidFill>
          <a:latin typeface="Arial" panose="020B0604020202020204" pitchFamily="34" charset="0"/>
        </a:defRPr>
      </a:pPr>
      <a:endParaRPr lang="es-V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small" spc="100" normalizeH="0" baseline="0">
                <a:solidFill>
                  <a:schemeClr val="bg1"/>
                </a:solidFill>
                <a:latin typeface="Arial" panose="020B0604020202020204" pitchFamily="34" charset="0"/>
                <a:ea typeface="+mn-ea"/>
                <a:cs typeface="+mn-cs"/>
              </a:defRPr>
            </a:pPr>
            <a:r>
              <a:rPr lang="en-US" sz="800" cap="all" normalizeH="1" baseline="0"/>
              <a:t>simulación 3 cambios en los valores de la tasa de descuento ante aumento en los valores monetarios de la penalización</a:t>
            </a:r>
          </a:p>
        </c:rich>
      </c:tx>
      <c:layout>
        <c:manualLayout>
          <c:xMode val="edge"/>
          <c:yMode val="edge"/>
          <c:x val="0.117548556430446"/>
          <c:y val="0"/>
        </c:manualLayout>
      </c:layout>
      <c:overlay val="0"/>
      <c:spPr>
        <a:noFill/>
        <a:ln>
          <a:noFill/>
        </a:ln>
        <a:effectLst/>
      </c:spPr>
      <c:txPr>
        <a:bodyPr rot="0" spcFirstLastPara="1" vertOverflow="ellipsis" vert="horz" wrap="square" anchor="ctr" anchorCtr="1"/>
        <a:lstStyle/>
        <a:p>
          <a:pPr>
            <a:defRPr sz="1500" b="1" i="0" u="none" strike="noStrike" kern="1200" cap="small" spc="100" normalizeH="0" baseline="0">
              <a:solidFill>
                <a:schemeClr val="bg1"/>
              </a:solidFill>
              <a:latin typeface="Arial" panose="020B0604020202020204" pitchFamily="34" charset="0"/>
              <a:ea typeface="+mn-ea"/>
              <a:cs typeface="+mn-cs"/>
            </a:defRPr>
          </a:pPr>
          <a:endParaRPr lang="es-VE"/>
        </a:p>
      </c:txPr>
    </c:title>
    <c:autoTitleDeleted val="0"/>
    <c:plotArea>
      <c:layout/>
      <c:lineChart>
        <c:grouping val="standard"/>
        <c:varyColors val="0"/>
        <c:ser>
          <c:idx val="0"/>
          <c:order val="0"/>
          <c:tx>
            <c:strRef>
              <c:f>Simulación!$F$45</c:f>
              <c:strCache>
                <c:ptCount val="1"/>
                <c:pt idx="0">
                  <c:v>r</c:v>
                </c:pt>
              </c:strCache>
            </c:strRef>
          </c:tx>
          <c:spPr>
            <a:ln w="34925" cap="rnd">
              <a:solidFill>
                <a:schemeClr val="lt1"/>
              </a:solidFill>
              <a:round/>
            </a:ln>
            <a:effectLst>
              <a:outerShdw dist="25400" dir="2700000" algn="tl" rotWithShape="0">
                <a:schemeClr val="accent1"/>
              </a:outerShdw>
            </a:effectLst>
          </c:spPr>
          <c:marker>
            <c:symbol val="none"/>
          </c:marker>
          <c:cat>
            <c:numRef>
              <c:f>Simulación!$B$46:$B$65</c:f>
              <c:numCache>
                <c:formatCode>General</c:formatCode>
                <c:ptCount val="20"/>
                <c:pt idx="0">
                  <c:v>20</c:v>
                </c:pt>
                <c:pt idx="1">
                  <c:v>100</c:v>
                </c:pt>
                <c:pt idx="2">
                  <c:v>180</c:v>
                </c:pt>
                <c:pt idx="3">
                  <c:v>260</c:v>
                </c:pt>
                <c:pt idx="4">
                  <c:v>340</c:v>
                </c:pt>
                <c:pt idx="5">
                  <c:v>420</c:v>
                </c:pt>
                <c:pt idx="6">
                  <c:v>500</c:v>
                </c:pt>
                <c:pt idx="7">
                  <c:v>580</c:v>
                </c:pt>
                <c:pt idx="8">
                  <c:v>660</c:v>
                </c:pt>
                <c:pt idx="9">
                  <c:v>740</c:v>
                </c:pt>
                <c:pt idx="10">
                  <c:v>820</c:v>
                </c:pt>
                <c:pt idx="11">
                  <c:v>900</c:v>
                </c:pt>
                <c:pt idx="12">
                  <c:v>980</c:v>
                </c:pt>
                <c:pt idx="13">
                  <c:v>1060</c:v>
                </c:pt>
                <c:pt idx="14">
                  <c:v>1140</c:v>
                </c:pt>
                <c:pt idx="15">
                  <c:v>1220</c:v>
                </c:pt>
                <c:pt idx="16">
                  <c:v>1300</c:v>
                </c:pt>
                <c:pt idx="17">
                  <c:v>1380</c:v>
                </c:pt>
                <c:pt idx="18">
                  <c:v>1460</c:v>
                </c:pt>
                <c:pt idx="19">
                  <c:v>1540</c:v>
                </c:pt>
              </c:numCache>
            </c:numRef>
          </c:cat>
          <c:val>
            <c:numRef>
              <c:f>Simulación!$F$46:$F$65</c:f>
              <c:numCache>
                <c:formatCode>General</c:formatCode>
                <c:ptCount val="20"/>
                <c:pt idx="0">
                  <c:v>0.128022459515723</c:v>
                </c:pt>
                <c:pt idx="1">
                  <c:v>0.13102843632456401</c:v>
                </c:pt>
                <c:pt idx="2">
                  <c:v>0.132257189017011</c:v>
                </c:pt>
                <c:pt idx="3">
                  <c:v>0.13306490659446299</c:v>
                </c:pt>
                <c:pt idx="4">
                  <c:v>0.13367393978658601</c:v>
                </c:pt>
                <c:pt idx="5">
                  <c:v>0.13416578379147601</c:v>
                </c:pt>
                <c:pt idx="6">
                  <c:v>0.134579839195931</c:v>
                </c:pt>
                <c:pt idx="7">
                  <c:v>0.13493828511217701</c:v>
                </c:pt>
                <c:pt idx="8">
                  <c:v>0.135254891149379</c:v>
                </c:pt>
                <c:pt idx="9">
                  <c:v>0.13553881497338199</c:v>
                </c:pt>
                <c:pt idx="10">
                  <c:v>0.13579646679136401</c:v>
                </c:pt>
                <c:pt idx="11">
                  <c:v>0.136032514976307</c:v>
                </c:pt>
                <c:pt idx="12">
                  <c:v>0.136250468580075</c:v>
                </c:pt>
                <c:pt idx="13">
                  <c:v>0.136453034262948</c:v>
                </c:pt>
                <c:pt idx="14">
                  <c:v>0.136642345177687</c:v>
                </c:pt>
                <c:pt idx="15">
                  <c:v>0.13682011337070199</c:v>
                </c:pt>
                <c:pt idx="16">
                  <c:v>0.13698773452180399</c:v>
                </c:pt>
                <c:pt idx="17">
                  <c:v>0.137146361900221</c:v>
                </c:pt>
                <c:pt idx="18">
                  <c:v>0.137296959818374</c:v>
                </c:pt>
                <c:pt idx="19">
                  <c:v>0.13744034306286501</c:v>
                </c:pt>
              </c:numCache>
            </c:numRef>
          </c:val>
          <c:smooth val="0"/>
          <c:extLst>
            <c:ext xmlns:c16="http://schemas.microsoft.com/office/drawing/2014/chart" uri="{C3380CC4-5D6E-409C-BE32-E72D297353CC}">
              <c16:uniqueId val="{00000000-696C-4960-BD29-1B5B8F786118}"/>
            </c:ext>
          </c:extLst>
        </c:ser>
        <c:dLbls>
          <c:showLegendKey val="0"/>
          <c:showVal val="0"/>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2070784488"/>
        <c:axId val="-2080237896"/>
      </c:lineChart>
      <c:catAx>
        <c:axId val="-2070784488"/>
        <c:scaling>
          <c:orientation val="minMax"/>
        </c:scaling>
        <c:delete val="0"/>
        <c:axPos val="b"/>
        <c:title>
          <c:tx>
            <c:rich>
              <a:bodyPr rot="0" spcFirstLastPara="1" vertOverflow="ellipsis" vert="horz" wrap="square" anchor="ctr" anchorCtr="1"/>
              <a:lstStyle/>
              <a:p>
                <a:pPr>
                  <a:defRPr sz="900" b="1" i="0" u="none" strike="noStrike" kern="1200" cap="small" baseline="0">
                    <a:solidFill>
                      <a:schemeClr val="bg1"/>
                    </a:solidFill>
                    <a:latin typeface="Arial" panose="020B0604020202020204" pitchFamily="34" charset="0"/>
                    <a:ea typeface="+mn-ea"/>
                    <a:cs typeface="+mn-cs"/>
                  </a:defRPr>
                </a:pPr>
                <a:r>
                  <a:rPr lang="en-US"/>
                  <a:t>Comportamiento del valor monetario de la penalización, P</a:t>
                </a:r>
              </a:p>
            </c:rich>
          </c:tx>
          <c:overlay val="0"/>
          <c:spPr>
            <a:noFill/>
            <a:ln>
              <a:noFill/>
            </a:ln>
            <a:effectLst/>
          </c:spPr>
          <c:txPr>
            <a:bodyPr rot="0" spcFirstLastPara="1" vertOverflow="ellipsis" vert="horz" wrap="square" anchor="ctr" anchorCtr="1"/>
            <a:lstStyle/>
            <a:p>
              <a:pPr>
                <a:defRPr sz="900" b="1" i="0" u="none" strike="noStrike" kern="1200" cap="small" baseline="0">
                  <a:solidFill>
                    <a:schemeClr val="bg1"/>
                  </a:solidFill>
                  <a:latin typeface="Arial" panose="020B0604020202020204" pitchFamily="34" charset="0"/>
                  <a:ea typeface="+mn-ea"/>
                  <a:cs typeface="+mn-cs"/>
                </a:defRPr>
              </a:pPr>
              <a:endParaRPr lang="es-VE"/>
            </a:p>
          </c:txPr>
        </c:title>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900" b="0" i="0" u="none" strike="noStrike" kern="1200" cap="small" spc="100" baseline="0">
                <a:solidFill>
                  <a:schemeClr val="bg1"/>
                </a:solidFill>
                <a:latin typeface="Arial" panose="020B0604020202020204" pitchFamily="34" charset="0"/>
                <a:ea typeface="+mn-ea"/>
                <a:cs typeface="+mn-cs"/>
              </a:defRPr>
            </a:pPr>
            <a:endParaRPr lang="es-VE"/>
          </a:p>
        </c:txPr>
        <c:crossAx val="-2080237896"/>
        <c:crosses val="autoZero"/>
        <c:auto val="1"/>
        <c:lblAlgn val="ctr"/>
        <c:lblOffset val="100"/>
        <c:noMultiLvlLbl val="0"/>
      </c:catAx>
      <c:valAx>
        <c:axId val="-208023789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bg1"/>
                    </a:solidFill>
                    <a:latin typeface="Arial" panose="020B0604020202020204" pitchFamily="34" charset="0"/>
                    <a:ea typeface="+mn-ea"/>
                    <a:cs typeface="+mn-cs"/>
                  </a:defRPr>
                </a:pPr>
                <a:r>
                  <a:rPr lang="en-US" cap="all" baseline="0"/>
                  <a:t>Tasa de descuento </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bg1"/>
                  </a:solidFill>
                  <a:latin typeface="Arial" panose="020B0604020202020204" pitchFamily="34" charset="0"/>
                  <a:ea typeface="+mn-ea"/>
                  <a:cs typeface="+mn-cs"/>
                </a:defRPr>
              </a:pPr>
              <a:endParaRPr lang="es-V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small" baseline="0">
                <a:solidFill>
                  <a:schemeClr val="bg1"/>
                </a:solidFill>
                <a:latin typeface="Arial" panose="020B0604020202020204" pitchFamily="34" charset="0"/>
                <a:ea typeface="+mn-ea"/>
                <a:cs typeface="+mn-cs"/>
              </a:defRPr>
            </a:pPr>
            <a:endParaRPr lang="es-VE"/>
          </a:p>
        </c:txPr>
        <c:crossAx val="-2070784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solidFill>
    <a:ln w="9525" cap="flat" cmpd="sng" algn="ctr">
      <a:solidFill>
        <a:schemeClr val="accent1"/>
      </a:solidFill>
      <a:round/>
    </a:ln>
    <a:effectLst/>
  </c:spPr>
  <c:txPr>
    <a:bodyPr/>
    <a:lstStyle/>
    <a:p>
      <a:pPr>
        <a:defRPr cap="small" baseline="0">
          <a:solidFill>
            <a:schemeClr val="bg1"/>
          </a:solidFill>
          <a:latin typeface="Arial" panose="020B0604020202020204" pitchFamily="34" charset="0"/>
        </a:defRPr>
      </a:pPr>
      <a:endParaRPr lang="es-V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small" spc="100" normalizeH="0" baseline="0">
                <a:solidFill>
                  <a:schemeClr val="bg1"/>
                </a:solidFill>
                <a:latin typeface="Arial" panose="020B0604020202020204" pitchFamily="34" charset="0"/>
                <a:ea typeface="+mn-ea"/>
                <a:cs typeface="+mn-cs"/>
              </a:defRPr>
            </a:pPr>
            <a:r>
              <a:rPr lang="en-US" sz="800" cap="all" normalizeH="1" baseline="0"/>
              <a:t>simulación 4 cambios en los valores de la tasa de descuento ante aumento en el parámetro de transparencia</a:t>
            </a:r>
          </a:p>
        </c:rich>
      </c:tx>
      <c:layout>
        <c:manualLayout>
          <c:xMode val="edge"/>
          <c:yMode val="edge"/>
          <c:x val="0.117548556430446"/>
          <c:y val="0"/>
        </c:manualLayout>
      </c:layout>
      <c:overlay val="0"/>
      <c:spPr>
        <a:noFill/>
        <a:ln>
          <a:noFill/>
        </a:ln>
        <a:effectLst/>
      </c:spPr>
      <c:txPr>
        <a:bodyPr rot="0" spcFirstLastPara="1" vertOverflow="ellipsis" vert="horz" wrap="square" anchor="ctr" anchorCtr="1"/>
        <a:lstStyle/>
        <a:p>
          <a:pPr>
            <a:defRPr sz="1500" b="1" i="0" u="none" strike="noStrike" kern="1200" cap="small" spc="100" normalizeH="0" baseline="0">
              <a:solidFill>
                <a:schemeClr val="bg1"/>
              </a:solidFill>
              <a:latin typeface="Arial" panose="020B0604020202020204" pitchFamily="34" charset="0"/>
              <a:ea typeface="+mn-ea"/>
              <a:cs typeface="+mn-cs"/>
            </a:defRPr>
          </a:pPr>
          <a:endParaRPr lang="es-VE"/>
        </a:p>
      </c:txPr>
    </c:title>
    <c:autoTitleDeleted val="0"/>
    <c:plotArea>
      <c:layout/>
      <c:lineChart>
        <c:grouping val="standard"/>
        <c:varyColors val="0"/>
        <c:ser>
          <c:idx val="0"/>
          <c:order val="0"/>
          <c:tx>
            <c:strRef>
              <c:f>Simulación!$F$67</c:f>
              <c:strCache>
                <c:ptCount val="1"/>
                <c:pt idx="0">
                  <c:v>r</c:v>
                </c:pt>
              </c:strCache>
            </c:strRef>
          </c:tx>
          <c:spPr>
            <a:ln w="34925" cap="rnd">
              <a:solidFill>
                <a:schemeClr val="lt1"/>
              </a:solidFill>
              <a:round/>
            </a:ln>
            <a:effectLst>
              <a:outerShdw dist="25400" dir="2700000" algn="tl" rotWithShape="0">
                <a:schemeClr val="accent1"/>
              </a:outerShdw>
            </a:effectLst>
          </c:spPr>
          <c:marker>
            <c:symbol val="none"/>
          </c:marker>
          <c:cat>
            <c:numRef>
              <c:f>Simulación!$C$68:$C$87</c:f>
              <c:numCache>
                <c:formatCode>General</c:formatCode>
                <c:ptCount val="20"/>
                <c:pt idx="0">
                  <c:v>0.1</c:v>
                </c:pt>
                <c:pt idx="1">
                  <c:v>0.14000000000000001</c:v>
                </c:pt>
                <c:pt idx="2">
                  <c:v>0.18</c:v>
                </c:pt>
                <c:pt idx="3">
                  <c:v>0.22</c:v>
                </c:pt>
                <c:pt idx="4">
                  <c:v>0.26</c:v>
                </c:pt>
                <c:pt idx="5">
                  <c:v>0.3</c:v>
                </c:pt>
                <c:pt idx="6">
                  <c:v>0.34</c:v>
                </c:pt>
                <c:pt idx="7">
                  <c:v>0.38</c:v>
                </c:pt>
                <c:pt idx="8">
                  <c:v>0.42</c:v>
                </c:pt>
                <c:pt idx="9">
                  <c:v>0.46</c:v>
                </c:pt>
                <c:pt idx="10">
                  <c:v>0.5</c:v>
                </c:pt>
                <c:pt idx="11">
                  <c:v>0.54</c:v>
                </c:pt>
                <c:pt idx="12">
                  <c:v>0.57999999999999996</c:v>
                </c:pt>
                <c:pt idx="13">
                  <c:v>0.62</c:v>
                </c:pt>
                <c:pt idx="14">
                  <c:v>0.66</c:v>
                </c:pt>
                <c:pt idx="15">
                  <c:v>0.7</c:v>
                </c:pt>
                <c:pt idx="16">
                  <c:v>0.74</c:v>
                </c:pt>
                <c:pt idx="17">
                  <c:v>0.78</c:v>
                </c:pt>
                <c:pt idx="18">
                  <c:v>0.82</c:v>
                </c:pt>
                <c:pt idx="19">
                  <c:v>0.86</c:v>
                </c:pt>
              </c:numCache>
            </c:numRef>
          </c:cat>
          <c:val>
            <c:numRef>
              <c:f>Simulación!$F$68:$F$87</c:f>
              <c:numCache>
                <c:formatCode>General</c:formatCode>
                <c:ptCount val="20"/>
                <c:pt idx="0">
                  <c:v>0.128022459515723</c:v>
                </c:pt>
                <c:pt idx="1">
                  <c:v>0.13021235905674899</c:v>
                </c:pt>
                <c:pt idx="2">
                  <c:v>0.13269126012783999</c:v>
                </c:pt>
                <c:pt idx="3">
                  <c:v>0.13549880706213599</c:v>
                </c:pt>
                <c:pt idx="4">
                  <c:v>0.13868050216654301</c:v>
                </c:pt>
                <c:pt idx="5">
                  <c:v>0.14228868846871801</c:v>
                </c:pt>
                <c:pt idx="6">
                  <c:v>0.14638372973633099</c:v>
                </c:pt>
                <c:pt idx="7">
                  <c:v>0.151035436187554</c:v>
                </c:pt>
                <c:pt idx="8">
                  <c:v>0.156324798620225</c:v>
                </c:pt>
                <c:pt idx="9">
                  <c:v>0.16234611295555701</c:v>
                </c:pt>
                <c:pt idx="10">
                  <c:v>0.16920960340346</c:v>
                </c:pt>
                <c:pt idx="11">
                  <c:v>0.17704468850025801</c:v>
                </c:pt>
                <c:pt idx="12">
                  <c:v>0.18600408441382199</c:v>
                </c:pt>
                <c:pt idx="13">
                  <c:v>0.19626901055305401</c:v>
                </c:pt>
                <c:pt idx="14">
                  <c:v>0.208055863396754</c:v>
                </c:pt>
                <c:pt idx="15">
                  <c:v>0.22162487065161501</c:v>
                </c:pt>
                <c:pt idx="16">
                  <c:v>0.237291453146211</c:v>
                </c:pt>
                <c:pt idx="17">
                  <c:v>0.25544134454605599</c:v>
                </c:pt>
                <c:pt idx="18">
                  <c:v>0.27655101200384502</c:v>
                </c:pt>
                <c:pt idx="19">
                  <c:v>0.30121569035856899</c:v>
                </c:pt>
              </c:numCache>
            </c:numRef>
          </c:val>
          <c:smooth val="0"/>
          <c:extLst>
            <c:ext xmlns:c16="http://schemas.microsoft.com/office/drawing/2014/chart" uri="{C3380CC4-5D6E-409C-BE32-E72D297353CC}">
              <c16:uniqueId val="{00000000-AF25-41A8-8FD1-2095DB4936A4}"/>
            </c:ext>
          </c:extLst>
        </c:ser>
        <c:dLbls>
          <c:showLegendKey val="0"/>
          <c:showVal val="0"/>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2073914568"/>
        <c:axId val="-2076072168"/>
      </c:lineChart>
      <c:catAx>
        <c:axId val="-2073914568"/>
        <c:scaling>
          <c:orientation val="minMax"/>
        </c:scaling>
        <c:delete val="0"/>
        <c:axPos val="b"/>
        <c:title>
          <c:tx>
            <c:rich>
              <a:bodyPr rot="0" spcFirstLastPara="1" vertOverflow="ellipsis" vert="horz" wrap="square" anchor="ctr" anchorCtr="1"/>
              <a:lstStyle/>
              <a:p>
                <a:pPr>
                  <a:defRPr sz="900" b="1" i="0" u="none" strike="noStrike" kern="1200" cap="small" baseline="0">
                    <a:solidFill>
                      <a:schemeClr val="bg1"/>
                    </a:solidFill>
                    <a:latin typeface="Arial" panose="020B0604020202020204" pitchFamily="34" charset="0"/>
                    <a:ea typeface="+mn-ea"/>
                    <a:cs typeface="+mn-cs"/>
                  </a:defRPr>
                </a:pPr>
                <a:r>
                  <a:rPr lang="en-US"/>
                  <a:t>Comportamiento del parámetro de transparencia, </a:t>
                </a:r>
                <a:r>
                  <a:rPr lang="en-US" baseline="0"/>
                  <a:t> gamma</a:t>
                </a:r>
                <a:endParaRPr lang="en-US"/>
              </a:p>
            </c:rich>
          </c:tx>
          <c:overlay val="0"/>
          <c:spPr>
            <a:noFill/>
            <a:ln>
              <a:noFill/>
            </a:ln>
            <a:effectLst/>
          </c:spPr>
          <c:txPr>
            <a:bodyPr rot="0" spcFirstLastPara="1" vertOverflow="ellipsis" vert="horz" wrap="square" anchor="ctr" anchorCtr="1"/>
            <a:lstStyle/>
            <a:p>
              <a:pPr>
                <a:defRPr sz="900" b="1" i="0" u="none" strike="noStrike" kern="1200" cap="small" baseline="0">
                  <a:solidFill>
                    <a:schemeClr val="bg1"/>
                  </a:solidFill>
                  <a:latin typeface="Arial" panose="020B0604020202020204" pitchFamily="34" charset="0"/>
                  <a:ea typeface="+mn-ea"/>
                  <a:cs typeface="+mn-cs"/>
                </a:defRPr>
              </a:pPr>
              <a:endParaRPr lang="es-VE"/>
            </a:p>
          </c:txPr>
        </c:title>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900" b="0" i="0" u="none" strike="noStrike" kern="1200" cap="small" spc="100" baseline="0">
                <a:solidFill>
                  <a:schemeClr val="bg1"/>
                </a:solidFill>
                <a:latin typeface="Arial" panose="020B0604020202020204" pitchFamily="34" charset="0"/>
                <a:ea typeface="+mn-ea"/>
                <a:cs typeface="+mn-cs"/>
              </a:defRPr>
            </a:pPr>
            <a:endParaRPr lang="es-VE"/>
          </a:p>
        </c:txPr>
        <c:crossAx val="-2076072168"/>
        <c:crosses val="autoZero"/>
        <c:auto val="1"/>
        <c:lblAlgn val="ctr"/>
        <c:lblOffset val="100"/>
        <c:noMultiLvlLbl val="0"/>
      </c:catAx>
      <c:valAx>
        <c:axId val="-207607216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bg1"/>
                    </a:solidFill>
                    <a:latin typeface="Arial" panose="020B0604020202020204" pitchFamily="34" charset="0"/>
                    <a:ea typeface="+mn-ea"/>
                    <a:cs typeface="+mn-cs"/>
                  </a:defRPr>
                </a:pPr>
                <a:r>
                  <a:rPr lang="en-US" cap="all" baseline="0"/>
                  <a:t>Tasa de descuento </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bg1"/>
                  </a:solidFill>
                  <a:latin typeface="Arial" panose="020B0604020202020204" pitchFamily="34" charset="0"/>
                  <a:ea typeface="+mn-ea"/>
                  <a:cs typeface="+mn-cs"/>
                </a:defRPr>
              </a:pPr>
              <a:endParaRPr lang="es-V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small" baseline="0">
                <a:solidFill>
                  <a:schemeClr val="bg1"/>
                </a:solidFill>
                <a:latin typeface="Arial" panose="020B0604020202020204" pitchFamily="34" charset="0"/>
                <a:ea typeface="+mn-ea"/>
                <a:cs typeface="+mn-cs"/>
              </a:defRPr>
            </a:pPr>
            <a:endParaRPr lang="es-VE"/>
          </a:p>
        </c:txPr>
        <c:crossAx val="-2073914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solidFill>
    <a:ln w="9525" cap="flat" cmpd="sng" algn="ctr">
      <a:solidFill>
        <a:schemeClr val="accent1"/>
      </a:solidFill>
      <a:round/>
    </a:ln>
    <a:effectLst/>
  </c:spPr>
  <c:txPr>
    <a:bodyPr/>
    <a:lstStyle/>
    <a:p>
      <a:pPr>
        <a:defRPr cap="small" baseline="0">
          <a:solidFill>
            <a:schemeClr val="bg1"/>
          </a:solidFill>
          <a:latin typeface="Arial" panose="020B0604020202020204" pitchFamily="34" charset="0"/>
        </a:defRPr>
      </a:pPr>
      <a:endParaRPr lang="es-V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small" spc="100" normalizeH="0" baseline="0">
                <a:solidFill>
                  <a:schemeClr val="bg1"/>
                </a:solidFill>
                <a:latin typeface="Arial" panose="020B0604020202020204" pitchFamily="34" charset="0"/>
                <a:ea typeface="+mn-ea"/>
                <a:cs typeface="+mn-cs"/>
              </a:defRPr>
            </a:pPr>
            <a:r>
              <a:rPr lang="en-US" sz="800" cap="all" normalizeH="1" baseline="0"/>
              <a:t>simulación 5 cambios en los valores de la tasa de descuento ante cambios simultáneo de la renta e ingresos</a:t>
            </a:r>
          </a:p>
        </c:rich>
      </c:tx>
      <c:layout>
        <c:manualLayout>
          <c:xMode val="edge"/>
          <c:yMode val="edge"/>
          <c:x val="0.117548556430446"/>
          <c:y val="0"/>
        </c:manualLayout>
      </c:layout>
      <c:overlay val="0"/>
      <c:spPr>
        <a:noFill/>
        <a:ln>
          <a:noFill/>
        </a:ln>
        <a:effectLst/>
      </c:spPr>
      <c:txPr>
        <a:bodyPr rot="0" spcFirstLastPara="1" vertOverflow="ellipsis" vert="horz" wrap="square" anchor="ctr" anchorCtr="1"/>
        <a:lstStyle/>
        <a:p>
          <a:pPr>
            <a:defRPr sz="1500" b="1" i="0" u="none" strike="noStrike" kern="1200" cap="small" spc="100" normalizeH="0" baseline="0">
              <a:solidFill>
                <a:schemeClr val="bg1"/>
              </a:solidFill>
              <a:latin typeface="Arial" panose="020B0604020202020204" pitchFamily="34" charset="0"/>
              <a:ea typeface="+mn-ea"/>
              <a:cs typeface="+mn-cs"/>
            </a:defRPr>
          </a:pPr>
          <a:endParaRPr lang="es-VE"/>
        </a:p>
      </c:txPr>
    </c:title>
    <c:autoTitleDeleted val="0"/>
    <c:plotArea>
      <c:layout/>
      <c:lineChart>
        <c:grouping val="standard"/>
        <c:varyColors val="0"/>
        <c:ser>
          <c:idx val="0"/>
          <c:order val="0"/>
          <c:tx>
            <c:strRef>
              <c:f>Simulación!$F$89</c:f>
              <c:strCache>
                <c:ptCount val="1"/>
                <c:pt idx="0">
                  <c:v>r</c:v>
                </c:pt>
              </c:strCache>
            </c:strRef>
          </c:tx>
          <c:spPr>
            <a:ln w="34925" cap="rnd">
              <a:solidFill>
                <a:schemeClr val="lt1"/>
              </a:solidFill>
              <a:round/>
            </a:ln>
            <a:effectLst>
              <a:outerShdw dist="25400" dir="2700000" algn="tl" rotWithShape="0">
                <a:schemeClr val="accent1"/>
              </a:outerShdw>
            </a:effectLst>
          </c:spPr>
          <c:marker>
            <c:symbol val="none"/>
          </c:marker>
          <c:cat>
            <c:numRef>
              <c:f>Simulación!$D$90:$D$109</c:f>
              <c:numCache>
                <c:formatCode>General</c:formatCode>
                <c:ptCount val="20"/>
                <c:pt idx="0">
                  <c:v>1050</c:v>
                </c:pt>
                <c:pt idx="1">
                  <c:v>1030</c:v>
                </c:pt>
                <c:pt idx="2">
                  <c:v>1010</c:v>
                </c:pt>
                <c:pt idx="3">
                  <c:v>990</c:v>
                </c:pt>
                <c:pt idx="4">
                  <c:v>970</c:v>
                </c:pt>
                <c:pt idx="5">
                  <c:v>950</c:v>
                </c:pt>
                <c:pt idx="6">
                  <c:v>930</c:v>
                </c:pt>
                <c:pt idx="7">
                  <c:v>910</c:v>
                </c:pt>
                <c:pt idx="8">
                  <c:v>890</c:v>
                </c:pt>
                <c:pt idx="9">
                  <c:v>870</c:v>
                </c:pt>
                <c:pt idx="10">
                  <c:v>850</c:v>
                </c:pt>
                <c:pt idx="11">
                  <c:v>830</c:v>
                </c:pt>
                <c:pt idx="12">
                  <c:v>810</c:v>
                </c:pt>
                <c:pt idx="13">
                  <c:v>790</c:v>
                </c:pt>
                <c:pt idx="14">
                  <c:v>770</c:v>
                </c:pt>
                <c:pt idx="15">
                  <c:v>750</c:v>
                </c:pt>
                <c:pt idx="16">
                  <c:v>730</c:v>
                </c:pt>
                <c:pt idx="17">
                  <c:v>710</c:v>
                </c:pt>
                <c:pt idx="18">
                  <c:v>690</c:v>
                </c:pt>
                <c:pt idx="19">
                  <c:v>670</c:v>
                </c:pt>
              </c:numCache>
            </c:numRef>
          </c:cat>
          <c:val>
            <c:numRef>
              <c:f>Simulación!$F$90:$F$109</c:f>
              <c:numCache>
                <c:formatCode>General</c:formatCode>
                <c:ptCount val="20"/>
                <c:pt idx="0">
                  <c:v>4.9317191305386601E-2</c:v>
                </c:pt>
                <c:pt idx="1">
                  <c:v>4.8185262597568203E-2</c:v>
                </c:pt>
                <c:pt idx="2">
                  <c:v>4.7011091207754298E-2</c:v>
                </c:pt>
                <c:pt idx="3">
                  <c:v>4.57922674775708E-2</c:v>
                </c:pt>
                <c:pt idx="4">
                  <c:v>4.4526194923393402E-2</c:v>
                </c:pt>
                <c:pt idx="5">
                  <c:v>4.3210071772327503E-2</c:v>
                </c:pt>
                <c:pt idx="6">
                  <c:v>4.1840870264264897E-2</c:v>
                </c:pt>
                <c:pt idx="7">
                  <c:v>4.0415313398202202E-2</c:v>
                </c:pt>
                <c:pt idx="8">
                  <c:v>3.8929848746911799E-2</c:v>
                </c:pt>
                <c:pt idx="9">
                  <c:v>3.7380618899511997E-2</c:v>
                </c:pt>
                <c:pt idx="10">
                  <c:v>3.5763428014193598E-2</c:v>
                </c:pt>
                <c:pt idx="11">
                  <c:v>3.4073703870476001E-2</c:v>
                </c:pt>
                <c:pt idx="12">
                  <c:v>3.2306454698304198E-2</c:v>
                </c:pt>
                <c:pt idx="13">
                  <c:v>3.0456219925552201E-2</c:v>
                </c:pt>
                <c:pt idx="14">
                  <c:v>2.85170138203844E-2</c:v>
                </c:pt>
                <c:pt idx="15">
                  <c:v>2.6482260803200701E-2</c:v>
                </c:pt>
                <c:pt idx="16">
                  <c:v>2.43447209553081E-2</c:v>
                </c:pt>
                <c:pt idx="17">
                  <c:v>2.20964039461399E-2</c:v>
                </c:pt>
                <c:pt idx="18">
                  <c:v>1.9728469222428099E-2</c:v>
                </c:pt>
                <c:pt idx="19">
                  <c:v>1.72311098312352E-2</c:v>
                </c:pt>
              </c:numCache>
            </c:numRef>
          </c:val>
          <c:smooth val="0"/>
          <c:extLst>
            <c:ext xmlns:c16="http://schemas.microsoft.com/office/drawing/2014/chart" uri="{C3380CC4-5D6E-409C-BE32-E72D297353CC}">
              <c16:uniqueId val="{00000000-4077-44C9-AACC-66AC2E35C588}"/>
            </c:ext>
          </c:extLst>
        </c:ser>
        <c:dLbls>
          <c:showLegendKey val="0"/>
          <c:showVal val="0"/>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marker val="1"/>
        <c:smooth val="0"/>
        <c:axId val="-2071147512"/>
        <c:axId val="-2071277544"/>
      </c:lineChart>
      <c:lineChart>
        <c:grouping val="standard"/>
        <c:varyColors val="0"/>
        <c:ser>
          <c:idx val="1"/>
          <c:order val="1"/>
          <c:tx>
            <c:strRef>
              <c:f>Simulación!$A$89</c:f>
              <c:strCache>
                <c:ptCount val="1"/>
                <c:pt idx="0">
                  <c:v>I</c:v>
                </c:pt>
              </c:strCache>
            </c:strRef>
          </c:tx>
          <c:spPr>
            <a:ln w="34925" cap="rnd">
              <a:solidFill>
                <a:schemeClr val="lt1"/>
              </a:solidFill>
              <a:round/>
            </a:ln>
            <a:effectLst>
              <a:outerShdw dist="25400" dir="2700000" algn="tl" rotWithShape="0">
                <a:schemeClr val="accent2"/>
              </a:outerShdw>
            </a:effectLst>
          </c:spPr>
          <c:marker>
            <c:symbol val="none"/>
          </c:marker>
          <c:cat>
            <c:numRef>
              <c:f>Simulación!$D$90:$D$109</c:f>
              <c:numCache>
                <c:formatCode>General</c:formatCode>
                <c:ptCount val="20"/>
                <c:pt idx="0">
                  <c:v>1050</c:v>
                </c:pt>
                <c:pt idx="1">
                  <c:v>1030</c:v>
                </c:pt>
                <c:pt idx="2">
                  <c:v>1010</c:v>
                </c:pt>
                <c:pt idx="3">
                  <c:v>990</c:v>
                </c:pt>
                <c:pt idx="4">
                  <c:v>970</c:v>
                </c:pt>
                <c:pt idx="5">
                  <c:v>950</c:v>
                </c:pt>
                <c:pt idx="6">
                  <c:v>930</c:v>
                </c:pt>
                <c:pt idx="7">
                  <c:v>910</c:v>
                </c:pt>
                <c:pt idx="8">
                  <c:v>890</c:v>
                </c:pt>
                <c:pt idx="9">
                  <c:v>870</c:v>
                </c:pt>
                <c:pt idx="10">
                  <c:v>850</c:v>
                </c:pt>
                <c:pt idx="11">
                  <c:v>830</c:v>
                </c:pt>
                <c:pt idx="12">
                  <c:v>810</c:v>
                </c:pt>
                <c:pt idx="13">
                  <c:v>790</c:v>
                </c:pt>
                <c:pt idx="14">
                  <c:v>770</c:v>
                </c:pt>
                <c:pt idx="15">
                  <c:v>750</c:v>
                </c:pt>
                <c:pt idx="16">
                  <c:v>730</c:v>
                </c:pt>
                <c:pt idx="17">
                  <c:v>710</c:v>
                </c:pt>
                <c:pt idx="18">
                  <c:v>690</c:v>
                </c:pt>
                <c:pt idx="19">
                  <c:v>670</c:v>
                </c:pt>
              </c:numCache>
            </c:numRef>
          </c:cat>
          <c:val>
            <c:numRef>
              <c:f>Simulación!$A$90:$A$109</c:f>
              <c:numCache>
                <c:formatCode>General</c:formatCode>
                <c:ptCount val="20"/>
                <c:pt idx="0">
                  <c:v>48</c:v>
                </c:pt>
                <c:pt idx="1">
                  <c:v>46</c:v>
                </c:pt>
                <c:pt idx="2">
                  <c:v>44</c:v>
                </c:pt>
                <c:pt idx="3">
                  <c:v>42</c:v>
                </c:pt>
                <c:pt idx="4">
                  <c:v>40</c:v>
                </c:pt>
                <c:pt idx="5">
                  <c:v>38</c:v>
                </c:pt>
                <c:pt idx="6">
                  <c:v>36</c:v>
                </c:pt>
                <c:pt idx="7">
                  <c:v>34</c:v>
                </c:pt>
                <c:pt idx="8">
                  <c:v>32</c:v>
                </c:pt>
                <c:pt idx="9">
                  <c:v>30</c:v>
                </c:pt>
                <c:pt idx="10">
                  <c:v>28</c:v>
                </c:pt>
                <c:pt idx="11">
                  <c:v>26</c:v>
                </c:pt>
                <c:pt idx="12">
                  <c:v>24</c:v>
                </c:pt>
                <c:pt idx="13">
                  <c:v>22</c:v>
                </c:pt>
                <c:pt idx="14">
                  <c:v>20</c:v>
                </c:pt>
                <c:pt idx="15">
                  <c:v>18</c:v>
                </c:pt>
                <c:pt idx="16">
                  <c:v>16</c:v>
                </c:pt>
                <c:pt idx="17">
                  <c:v>14</c:v>
                </c:pt>
                <c:pt idx="18">
                  <c:v>12</c:v>
                </c:pt>
                <c:pt idx="19">
                  <c:v>10</c:v>
                </c:pt>
              </c:numCache>
            </c:numRef>
          </c:val>
          <c:smooth val="0"/>
          <c:extLst>
            <c:ext xmlns:c16="http://schemas.microsoft.com/office/drawing/2014/chart" uri="{C3380CC4-5D6E-409C-BE32-E72D297353CC}">
              <c16:uniqueId val="{00000001-4077-44C9-AACC-66AC2E35C588}"/>
            </c:ext>
          </c:extLst>
        </c:ser>
        <c:dLbls>
          <c:showLegendKey val="0"/>
          <c:showVal val="0"/>
          <c:showCatName val="0"/>
          <c:showSerName val="0"/>
          <c:showPercent val="0"/>
          <c:showBubbleSize val="0"/>
        </c:dLbls>
        <c:marker val="1"/>
        <c:smooth val="0"/>
        <c:axId val="-2066786632"/>
        <c:axId val="-2066792264"/>
      </c:lineChart>
      <c:catAx>
        <c:axId val="-2071147512"/>
        <c:scaling>
          <c:orientation val="minMax"/>
        </c:scaling>
        <c:delete val="0"/>
        <c:axPos val="b"/>
        <c:title>
          <c:tx>
            <c:rich>
              <a:bodyPr rot="0" spcFirstLastPara="1" vertOverflow="ellipsis" vert="horz" wrap="square" anchor="ctr" anchorCtr="1"/>
              <a:lstStyle/>
              <a:p>
                <a:pPr>
                  <a:defRPr sz="900" b="1" i="0" u="none" strike="noStrike" kern="1200" cap="small" baseline="0">
                    <a:solidFill>
                      <a:schemeClr val="bg1"/>
                    </a:solidFill>
                    <a:latin typeface="Arial" panose="020B0604020202020204" pitchFamily="34" charset="0"/>
                    <a:ea typeface="+mn-ea"/>
                    <a:cs typeface="+mn-cs"/>
                  </a:defRPr>
                </a:pPr>
                <a:r>
                  <a:rPr lang="en-US" sz="900" b="1" i="0" cap="small" baseline="0">
                    <a:effectLst/>
                  </a:rPr>
                  <a:t>Comportamiento del tamaño recursos públicos, M</a:t>
                </a:r>
                <a:endParaRPr lang="es-BO" sz="900">
                  <a:effectLst/>
                </a:endParaRPr>
              </a:p>
            </c:rich>
          </c:tx>
          <c:overlay val="0"/>
          <c:spPr>
            <a:noFill/>
            <a:ln>
              <a:noFill/>
            </a:ln>
            <a:effectLst/>
          </c:spPr>
          <c:txPr>
            <a:bodyPr rot="0" spcFirstLastPara="1" vertOverflow="ellipsis" vert="horz" wrap="square" anchor="ctr" anchorCtr="1"/>
            <a:lstStyle/>
            <a:p>
              <a:pPr>
                <a:defRPr sz="900" b="1" i="0" u="none" strike="noStrike" kern="1200" cap="small" baseline="0">
                  <a:solidFill>
                    <a:schemeClr val="bg1"/>
                  </a:solidFill>
                  <a:latin typeface="Arial" panose="020B0604020202020204" pitchFamily="34" charset="0"/>
                  <a:ea typeface="+mn-ea"/>
                  <a:cs typeface="+mn-cs"/>
                </a:defRPr>
              </a:pPr>
              <a:endParaRPr lang="es-VE"/>
            </a:p>
          </c:txPr>
        </c:title>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900" b="0" i="0" u="none" strike="noStrike" kern="1200" cap="small" spc="100" baseline="0">
                <a:solidFill>
                  <a:schemeClr val="bg1"/>
                </a:solidFill>
                <a:latin typeface="Arial" panose="020B0604020202020204" pitchFamily="34" charset="0"/>
                <a:ea typeface="+mn-ea"/>
                <a:cs typeface="+mn-cs"/>
              </a:defRPr>
            </a:pPr>
            <a:endParaRPr lang="es-VE"/>
          </a:p>
        </c:txPr>
        <c:crossAx val="-2071277544"/>
        <c:crosses val="autoZero"/>
        <c:auto val="1"/>
        <c:lblAlgn val="ctr"/>
        <c:lblOffset val="100"/>
        <c:noMultiLvlLbl val="0"/>
      </c:catAx>
      <c:valAx>
        <c:axId val="-207127754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bg1"/>
                    </a:solidFill>
                    <a:latin typeface="Arial" panose="020B0604020202020204" pitchFamily="34" charset="0"/>
                    <a:ea typeface="+mn-ea"/>
                    <a:cs typeface="+mn-cs"/>
                  </a:defRPr>
                </a:pPr>
                <a:r>
                  <a:rPr lang="en-US" cap="all" baseline="0"/>
                  <a:t>Tasa de descuento </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bg1"/>
                  </a:solidFill>
                  <a:latin typeface="Arial" panose="020B0604020202020204" pitchFamily="34" charset="0"/>
                  <a:ea typeface="+mn-ea"/>
                  <a:cs typeface="+mn-cs"/>
                </a:defRPr>
              </a:pPr>
              <a:endParaRPr lang="es-V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small" baseline="0">
                <a:solidFill>
                  <a:schemeClr val="bg1"/>
                </a:solidFill>
                <a:latin typeface="Arial" panose="020B0604020202020204" pitchFamily="34" charset="0"/>
                <a:ea typeface="+mn-ea"/>
                <a:cs typeface="+mn-cs"/>
              </a:defRPr>
            </a:pPr>
            <a:endParaRPr lang="es-VE"/>
          </a:p>
        </c:txPr>
        <c:crossAx val="-2071147512"/>
        <c:crosses val="autoZero"/>
        <c:crossBetween val="between"/>
      </c:valAx>
      <c:valAx>
        <c:axId val="-2066792264"/>
        <c:scaling>
          <c:orientation val="minMax"/>
        </c:scaling>
        <c:delete val="0"/>
        <c:axPos val="r"/>
        <c:title>
          <c:tx>
            <c:rich>
              <a:bodyPr rot="-5400000" spcFirstLastPara="1" vertOverflow="ellipsis" vert="horz" wrap="square" anchor="ctr" anchorCtr="1"/>
              <a:lstStyle/>
              <a:p>
                <a:pPr>
                  <a:defRPr sz="900" b="1" i="0" u="none" strike="noStrike" kern="1200" cap="small" baseline="0">
                    <a:solidFill>
                      <a:schemeClr val="bg1"/>
                    </a:solidFill>
                    <a:latin typeface="Arial" panose="020B0604020202020204" pitchFamily="34" charset="0"/>
                    <a:ea typeface="+mn-ea"/>
                    <a:cs typeface="+mn-cs"/>
                  </a:defRPr>
                </a:pPr>
                <a:r>
                  <a:rPr lang="en-US"/>
                  <a:t>Comportamiento del Ingreso</a:t>
                </a:r>
              </a:p>
            </c:rich>
          </c:tx>
          <c:overlay val="0"/>
          <c:spPr>
            <a:noFill/>
            <a:ln>
              <a:noFill/>
            </a:ln>
            <a:effectLst/>
          </c:spPr>
          <c:txPr>
            <a:bodyPr rot="-5400000" spcFirstLastPara="1" vertOverflow="ellipsis" vert="horz" wrap="square" anchor="ctr" anchorCtr="1"/>
            <a:lstStyle/>
            <a:p>
              <a:pPr>
                <a:defRPr sz="900" b="1" i="0" u="none" strike="noStrike" kern="1200" cap="small" baseline="0">
                  <a:solidFill>
                    <a:schemeClr val="bg1"/>
                  </a:solidFill>
                  <a:latin typeface="Arial" panose="020B0604020202020204" pitchFamily="34" charset="0"/>
                  <a:ea typeface="+mn-ea"/>
                  <a:cs typeface="+mn-cs"/>
                </a:defRPr>
              </a:pPr>
              <a:endParaRPr lang="es-VE"/>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cap="small" baseline="0">
                <a:solidFill>
                  <a:schemeClr val="bg1"/>
                </a:solidFill>
                <a:latin typeface="Arial" panose="020B0604020202020204" pitchFamily="34" charset="0"/>
                <a:ea typeface="+mn-ea"/>
                <a:cs typeface="+mn-cs"/>
              </a:defRPr>
            </a:pPr>
            <a:endParaRPr lang="es-VE"/>
          </a:p>
        </c:txPr>
        <c:crossAx val="-2066786632"/>
        <c:crosses val="max"/>
        <c:crossBetween val="between"/>
      </c:valAx>
      <c:catAx>
        <c:axId val="-2066786632"/>
        <c:scaling>
          <c:orientation val="minMax"/>
        </c:scaling>
        <c:delete val="1"/>
        <c:axPos val="b"/>
        <c:numFmt formatCode="General" sourceLinked="1"/>
        <c:majorTickMark val="out"/>
        <c:minorTickMark val="none"/>
        <c:tickLblPos val="nextTo"/>
        <c:crossAx val="-2066792264"/>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solidFill>
    <a:ln w="9525" cap="flat" cmpd="sng" algn="ctr">
      <a:solidFill>
        <a:schemeClr val="accent1"/>
      </a:solidFill>
      <a:round/>
    </a:ln>
    <a:effectLst/>
  </c:spPr>
  <c:txPr>
    <a:bodyPr/>
    <a:lstStyle/>
    <a:p>
      <a:pPr>
        <a:defRPr cap="small" baseline="0">
          <a:solidFill>
            <a:schemeClr val="bg1"/>
          </a:solidFill>
          <a:latin typeface="Arial" panose="020B0604020202020204" pitchFamily="34" charset="0"/>
        </a:defRPr>
      </a:pPr>
      <a:endParaRPr lang="es-VE"/>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0.45</cdr:x>
      <cdr:y>0.25694</cdr:y>
    </cdr:from>
    <cdr:to>
      <cdr:x>0.6125</cdr:x>
      <cdr:y>0.35764</cdr:y>
    </cdr:to>
    <cdr:sp macro="" textlink="">
      <cdr:nvSpPr>
        <cdr:cNvPr id="4" name="Text Box 3"/>
        <cdr:cNvSpPr txBox="1"/>
      </cdr:nvSpPr>
      <cdr:spPr>
        <a:xfrm xmlns:a="http://schemas.openxmlformats.org/drawingml/2006/main">
          <a:off x="2057400" y="704850"/>
          <a:ext cx="74295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BO" sz="1100"/>
            <a:t>r,</a:t>
          </a:r>
          <a:r>
            <a:rPr lang="es-BO" sz="1100" baseline="0"/>
            <a:t> eje izq.</a:t>
          </a:r>
          <a:endParaRPr lang="es-BO" sz="1100"/>
        </a:p>
      </cdr:txBody>
    </cdr:sp>
  </cdr:relSizeAnchor>
  <cdr:relSizeAnchor xmlns:cdr="http://schemas.openxmlformats.org/drawingml/2006/chartDrawing">
    <cdr:from>
      <cdr:x>0.40417</cdr:x>
      <cdr:y>0.33333</cdr:y>
    </cdr:from>
    <cdr:to>
      <cdr:x>0.47292</cdr:x>
      <cdr:y>0.41667</cdr:y>
    </cdr:to>
    <cdr:cxnSp macro="">
      <cdr:nvCxnSpPr>
        <cdr:cNvPr id="6" name="Straight Arrow Connector 5"/>
        <cdr:cNvCxnSpPr/>
      </cdr:nvCxnSpPr>
      <cdr:spPr>
        <a:xfrm xmlns:a="http://schemas.openxmlformats.org/drawingml/2006/main" flipH="1">
          <a:off x="1847850" y="914400"/>
          <a:ext cx="314325" cy="22860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0.58958</cdr:x>
      <cdr:y>0.31597</cdr:y>
    </cdr:from>
    <cdr:to>
      <cdr:x>0.86458</cdr:x>
      <cdr:y>0.44792</cdr:y>
    </cdr:to>
    <cdr:sp macro="" textlink="">
      <cdr:nvSpPr>
        <cdr:cNvPr id="7" name="Text Box 6"/>
        <cdr:cNvSpPr txBox="1"/>
      </cdr:nvSpPr>
      <cdr:spPr>
        <a:xfrm xmlns:a="http://schemas.openxmlformats.org/drawingml/2006/main">
          <a:off x="2695575" y="866775"/>
          <a:ext cx="1257300"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BO" sz="1100"/>
            <a:t>I, eje der.</a:t>
          </a:r>
        </a:p>
      </cdr:txBody>
    </cdr:sp>
  </cdr:relSizeAnchor>
  <cdr:relSizeAnchor xmlns:cdr="http://schemas.openxmlformats.org/drawingml/2006/chartDrawing">
    <cdr:from>
      <cdr:x>0.59167</cdr:x>
      <cdr:y>0.38889</cdr:y>
    </cdr:from>
    <cdr:to>
      <cdr:x>0.61458</cdr:x>
      <cdr:y>0.44097</cdr:y>
    </cdr:to>
    <cdr:cxnSp macro="">
      <cdr:nvCxnSpPr>
        <cdr:cNvPr id="9" name="Straight Arrow Connector 8"/>
        <cdr:cNvCxnSpPr/>
      </cdr:nvCxnSpPr>
      <cdr:spPr>
        <a:xfrm xmlns:a="http://schemas.openxmlformats.org/drawingml/2006/main" flipH="1">
          <a:off x="2705100" y="1066800"/>
          <a:ext cx="104775" cy="14287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Luc19</b:Tag>
    <b:SourceType>DocumentFromInternetSite</b:SourceType>
    <b:Guid>{ED94CAB1-3061-41D0-8546-FABCA90261AA}</b:Guid>
    <b:Title>CAF</b:Title>
    <b:Year>2019</b:Year>
    <b:Author>
      <b:Author>
        <b:NameList>
          <b:Person>
            <b:Last>Berniell</b:Last>
            <b:First>Lucila</b:First>
          </b:Person>
        </b:NameList>
      </b:Author>
    </b:Author>
    <b:Month>12</b:Month>
    <b:Day>17</b:Day>
    <b:URL>https://www.caf.com/es/conocimiento/visiones/2019/12/por-que-los-ciudadanos-no-siempre-penalizan-a-los-politicos-corruptos/</b:URL>
    <b:RefOrder>1</b:RefOrder>
  </b:Source>
  <b:Source>
    <b:Tag>Tho51</b:Tag>
    <b:SourceType>Book</b:SourceType>
    <b:Guid>{70F3980E-1A17-44F7-940F-81EC2AC869ED}</b:Guid>
    <b:Author>
      <b:Author>
        <b:NameList>
          <b:Person>
            <b:Last>Hobbes</b:Last>
            <b:First>Thomas</b:First>
          </b:Person>
        </b:NameList>
      </b:Author>
    </b:Author>
    <b:Title> Leviathan, or the Matter, Forme, and Power of Commonwealth Ecclesiastical and Civil </b:Title>
    <b:Year>1651</b:Year>
    <b:City>Oxford</b:City>
    <b:Publisher>https://quod.lib.umich.edu/e/eebo/A43998.0001.001/1:7?rgn=div1;view=fulltext</b:Publisher>
    <b:RefOrder>2</b:RefOrder>
  </b:Source>
  <b:Source>
    <b:Tag>Ngu14</b:Tag>
    <b:SourceType>JournalArticle</b:SourceType>
    <b:Guid>{BE517EA4-A5D3-48AC-BBC1-D548150202F6}</b:Guid>
    <b:Title>Corruption and economic growth, with a focus on Vietnam</b:Title>
    <b:Year>2014</b:Year>
    <b:Author>
      <b:Author>
        <b:NameList>
          <b:Person>
            <b:Last>Nguyen</b:Last>
            <b:First>Ngoc</b:First>
            <b:Middle>Anh</b:Middle>
          </b:Person>
          <b:Person>
            <b:Last>Nguyen</b:Last>
            <b:First>Ngoc-Minh</b:First>
          </b:Person>
          <b:Person>
            <b:Last>Tran-Nam</b:Last>
            <b:First>Binh</b:First>
          </b:Person>
        </b:NameList>
      </b:Author>
    </b:Author>
    <b:JournalName>Munich Personal RePEc Archive (MPRA)</b:JournalName>
    <b:Pages>1-26</b:Pages>
    <b:StandardNumber>84728</b:StandardNumber>
    <b:RefOrder>4</b:RefOrder>
  </b:Source>
  <b:Source>
    <b:Tag>Sav15</b:Tag>
    <b:SourceType>Book</b:SourceType>
    <b:Guid>{B3160C12-7AC3-4BF5-ACA4-D6856CEEE3F8}</b:Guid>
    <b:Title>El Valor de Elegir</b:Title>
    <b:Year>2015</b:Year>
    <b:Author>
      <b:Author>
        <b:NameList>
          <b:Person>
            <b:Last>Savater</b:Last>
            <b:First>Fernando</b:First>
          </b:Person>
        </b:NameList>
      </b:Author>
    </b:Author>
    <b:City>Barcelona</b:City>
    <b:Publisher>Planeta</b:Publisher>
    <b:CountryRegion>España</b:CountryRegion>
    <b:RefOrder>3</b:RefOrder>
  </b:Source>
  <b:Source>
    <b:Tag>Loe89</b:Tag>
    <b:SourceType>JournalArticle</b:SourceType>
    <b:Guid>{8FBA6B61-571E-4874-BEC9-C368B1984F46}</b:Guid>
    <b:Title>Anomalies: Intertemporal Choice</b:Title>
    <b:Year>1989</b:Year>
    <b:Author>
      <b:Author>
        <b:NameList>
          <b:Person>
            <b:Last>Loewenstein</b:Last>
            <b:First>George</b:First>
          </b:Person>
          <b:Person>
            <b:Last>Thaler</b:Last>
            <b:First>Richard</b:First>
            <b:Middle>H.</b:Middle>
          </b:Person>
        </b:NameList>
      </b:Author>
    </b:Author>
    <b:JournalName>The Journal of Economic Perspectives</b:JournalName>
    <b:Pages>181-93</b:Pages>
    <b:Volume>3</b:Volume>
    <b:RefOrder>5</b:RefOrder>
  </b:Source>
  <b:Source>
    <b:Tag>Fer16</b:Tag>
    <b:SourceType>Book</b:SourceType>
    <b:Guid>{FCA4DF72-0EE1-4E8B-BBB4-8979DE96F962}</b:Guid>
    <b:Title>El Estado Mágico</b:Title>
    <b:Year>2016</b:Year>
    <b:City>Caracas</b:City>
    <b:Publisher>Editorial Alfa</b:Publisher>
    <b:Author>
      <b:Author>
        <b:NameList>
          <b:Person>
            <b:Last>Coronil</b:Last>
            <b:First>Fernando</b:First>
          </b:Person>
        </b:NameList>
      </b:Author>
    </b:Author>
    <b:RefOrder>6</b:RefOrder>
  </b:Source>
  <b:Source>
    <b:Tag>Cal19</b:Tag>
    <b:SourceType>BookSection</b:SourceType>
    <b:Guid>{384535B1-EDB6-4F60-84CA-CB41DABA25A7}</b:Guid>
    <b:Author>
      <b:Author>
        <b:NameList>
          <b:Person>
            <b:Last>Calderón</b:Last>
            <b:First>Fernando</b:First>
          </b:Person>
          <b:Person>
            <b:Last>Castell</b:Last>
            <b:First>Manuel</b:First>
          </b:Person>
        </b:NameList>
      </b:Author>
      <b:BookAuthor>
        <b:NameList>
          <b:Person>
            <b:Last>Calderón</b:Last>
            <b:First>Fernando</b:First>
          </b:Person>
          <b:Person>
            <b:Last>Castell</b:Last>
            <b:First>Manuel</b:First>
          </b:Person>
        </b:NameList>
      </b:BookAuthor>
    </b:Author>
    <b:Title>La Corrupción del Estado</b:Title>
    <b:Year>2019</b:Year>
    <b:City>Ciudad de México</b:City>
    <b:Publisher>Fondo de Cultura Económica</b:Publisher>
    <b:BookTitle>La Nueva América Latina</b:BookTitle>
    <b:Pages>292</b:Pages>
    <b:RefOrder>7</b:RefOrder>
  </b:Source>
  <b:Source>
    <b:Tag>Ali04</b:Tag>
    <b:SourceType>Book</b:SourceType>
    <b:Guid>{F901A433-7646-4C2C-BA0B-C19C4DAA15BA}</b:Guid>
    <b:Title>The Rise of the Rest</b:Title>
    <b:Year>2004</b:Year>
    <b:City>Oxford</b:City>
    <b:Publisher>Oxford University Press</b:Publisher>
    <b:Author>
      <b:Author>
        <b:NameList>
          <b:Person>
            <b:Last>Amsden</b:Last>
            <b:First>Alice</b:First>
          </b:Person>
        </b:NameList>
      </b:Author>
    </b:Author>
    <b:RefOrder>8</b:RefOrder>
  </b:Source>
  <b:Source>
    <b:Tag>Ace051</b:Tag>
    <b:SourceType>BookSection</b:SourceType>
    <b:Guid>{4A01A267-7665-4FC2-B281-7C5BF1EF47D9}</b:Guid>
    <b:Title>Institutions as Fundamental Cause of Long-Run Growth</b:Title>
    <b:Year>2005</b:Year>
    <b:City>Cambridge, Massachusetts</b:City>
    <b:Publisher>Elsevier B. V.</b:Publisher>
    <b:Pages>pp. 386-472</b:Pages>
    <b:Author>
      <b:Author>
        <b:NameList>
          <b:Person>
            <b:Last>Acemoglu</b:Last>
            <b:First>Daron</b:First>
          </b:Person>
          <b:Person>
            <b:Last>Johnson</b:Last>
            <b:First>Simon</b:First>
          </b:Person>
          <b:Person>
            <b:Last>Robinson</b:Last>
            <b:First>James</b:First>
          </b:Person>
        </b:NameList>
      </b:Author>
      <b:BookAuthor>
        <b:NameList>
          <b:Person>
            <b:Last>Aghion</b:Last>
            <b:First>Philippe</b:First>
          </b:Person>
          <b:Person>
            <b:Last>Durlauf</b:Last>
            <b:First>Steven</b:First>
          </b:Person>
        </b:NameList>
      </b:BookAuthor>
    </b:Author>
    <b:BookTitle>Handbook of Economic Growth. Vol. 1A</b:BookTitle>
    <b:RefOrder>9</b:RefOrder>
  </b:Source>
  <b:Source>
    <b:Tag>Wil93</b:Tag>
    <b:SourceType>JournalArticle</b:SourceType>
    <b:Guid>{E0ADDEFF-284A-4737-B5B6-BD2A34618984}</b:Guid>
    <b:Title>Opportunism and its Critics</b:Title>
    <b:Year>1993</b:Year>
    <b:Author>
      <b:Author>
        <b:NameList>
          <b:Person>
            <b:Last>Williamson</b:Last>
            <b:First>Oliver</b:First>
          </b:Person>
        </b:NameList>
      </b:Author>
    </b:Author>
    <b:JournalName>Managerial and Decision Economics</b:JournalName>
    <b:Pages>97-107</b:Pages>
    <b:Volume>14</b:Volume>
    <b:RefOrder>10</b:RefOrder>
  </b:Source>
  <b:Source>
    <b:Tag>Bap10</b:Tag>
    <b:SourceType>Book</b:SourceType>
    <b:Guid>{4E51A343-01C5-4229-9B5E-60BA8893B4C7}</b:Guid>
    <b:Author>
      <b:Author>
        <b:NameList>
          <b:Person>
            <b:Last>Baptista</b:Last>
            <b:First>Asdrúbla</b:First>
          </b:Person>
        </b:NameList>
      </b:Author>
    </b:Author>
    <b:Title>Teoría Económica del Capitalismo Rentístico</b:Title>
    <b:Year>2010</b:Year>
    <b:City>Caracas</b:City>
    <b:Publisher>Banco Central de Venezuela</b:Publisher>
    <b:Edition>2da</b:Edition>
    <b:RefOrder>11</b:RefOrder>
  </b:Source>
  <b:Source>
    <b:Tag>Mar21</b:Tag>
    <b:SourceType>Book</b:SourceType>
    <b:Guid>{DEF8E6D8-43F2-4638-B123-ABEA061BF4EB}</b:Guid>
    <b:Title>Reglas Fiscales para Venezuela: en la búsqueda de disciplina, estabilidad, y sostenibilidad en las finanzas públicas</b:Title>
    <b:Year>2021</b:Year>
    <b:Author>
      <b:Author>
        <b:NameList>
          <b:Person>
            <b:Last>Moreno</b:Last>
            <b:First>María</b:First>
          </b:Person>
          <b:Person>
            <b:Last>Sosa</b:Last>
            <b:First>Santiago</b:First>
          </b:Person>
          <b:Person>
            <b:Last>Zambrano</b:Last>
            <b:First>Luis</b:First>
          </b:Person>
        </b:NameList>
      </b:Author>
    </b:Author>
    <b:City>Caracas</b:City>
    <b:Publisher>Universidad Católica Andrés Bello</b:Publisher>
    <b:RefOrder>12</b:RefOrder>
  </b:Source>
  <b:Source>
    <b:Tag>Sal12</b:Tag>
    <b:SourceType>JournalArticle</b:SourceType>
    <b:Guid>{D8AE6180-9859-4C47-9A87-6F07AFB90289}</b:Guid>
    <b:Title>Addressing the Natural Resource Curse: an illustraction from Nigeria</b:Title>
    <b:Year>2012</b:Year>
    <b:Author>
      <b:Author>
        <b:NameList>
          <b:Person>
            <b:Last>Sala-i-Martin</b:Last>
            <b:First>Xavier</b:First>
          </b:Person>
          <b:Person>
            <b:Last>Subramanian</b:Last>
            <b:First>Arvind</b:First>
          </b:Person>
        </b:NameList>
      </b:Author>
    </b:Author>
    <b:JournalName>Journal of African Economies</b:JournalName>
    <b:Pages>570-615</b:Pages>
    <b:Volume>22</b:Volume>
    <b:Issue>4</b:Issue>
    <b:DOI>doi:10.1093/jae/ejs033</b:DOI>
    <b:RefOrder>13</b:RefOrder>
  </b:Source>
  <b:Source>
    <b:Tag>Phi08</b:Tag>
    <b:SourceType>Book</b:SourceType>
    <b:Guid>{A76CA351-360D-4AAA-8E1F-22E7D63CEEC5}</b:Guid>
    <b:Author>
      <b:Author>
        <b:NameList>
          <b:Person>
            <b:Last>Zimbardo</b:Last>
            <b:First>Philip</b:First>
          </b:Person>
        </b:NameList>
      </b:Author>
    </b:Author>
    <b:Title>The Lucifer Effect</b:Title>
    <b:Year>2008</b:Year>
    <b:City>New York</b:City>
    <b:Publisher>Random House Paperbacks</b:Publisher>
    <b:RefOrder>14</b:RefOrder>
  </b:Source>
  <b:Source>
    <b:Tag>Hje21</b:Tag>
    <b:SourceType>DocumentFromInternetSite</b:SourceType>
    <b:Guid>{66CFA6B7-A131-423E-9C8C-406B84717B2E}</b:Guid>
    <b:Title>An Economic History of Finland</b:Title>
    <b:Year>2021</b:Year>
    <b:Author>
      <b:Author>
        <b:NameList>
          <b:Person>
            <b:Last>Hjerppe</b:Last>
            <b:First>Riitta</b:First>
          </b:Person>
        </b:NameList>
      </b:Author>
    </b:Author>
    <b:InternetSiteTitle>EH.net</b:InternetSiteTitle>
    <b:Month>April</b:Month>
    <b:Day>22</b:Day>
    <b:URL>https://www.eh.net/page/2/?s=modern+economic+growth%3A+rate</b:URL>
    <b:RefOrder>15</b:RefOrder>
  </b:Source>
  <b:Source>
    <b:Tag>Ale87</b:Tag>
    <b:SourceType>JournalArticle</b:SourceType>
    <b:Guid>{8E054A4D-67B6-4C7F-975E-6FF8C4744ADF}</b:Guid>
    <b:Title>The Scandinavian Route: Economic, Social, and Political Developments in Denmark, Finland, Norway, and Sweden</b:Title>
    <b:Year>1986-1987</b:Year>
    <b:Author>
      <b:Author>
        <b:NameList>
          <b:Person>
            <b:Last>Alestalo</b:Last>
            <b:First>Matti</b:First>
          </b:Person>
          <b:Person>
            <b:Last>Kuhnle</b:Last>
            <b:First>Stein</b:First>
          </b:Person>
        </b:NameList>
      </b:Author>
    </b:Author>
    <b:JournalName>International Journal of Sociology</b:JournalName>
    <b:Pages>3-38</b:Pages>
    <b:Volume>16</b:Volume>
    <b:Issue>3/4</b:Issue>
    <b:RefOrder>16</b:RefOrder>
  </b:Source>
  <b:Source>
    <b:Tag>Hal92</b:Tag>
    <b:SourceType>Book</b:SourceType>
    <b:Guid>{FEB9A775-A23F-4F1C-B13C-6ED02691F085}</b:Guid>
    <b:Title>Microeconomic Analysis</b:Title>
    <b:Year>1992</b:Year>
    <b:Pages>349-351</b:Pages>
    <b:City>NY</b:City>
    <b:Publisher>W. W. Norton &amp; Co.</b:Publisher>
    <b:Author>
      <b:Author>
        <b:NameList>
          <b:Person>
            <b:Last>Varian</b:Last>
            <b:First>Hal</b:First>
            <b:Middle>R.</b:Middle>
          </b:Person>
        </b:NameList>
      </b:Author>
    </b:Author>
    <b:Edition>Third edition</b:Edition>
    <b:RefOrder>17</b:RefOrder>
  </b:Source>
  <b:Source>
    <b:Tag>Hero1</b:Tag>
    <b:SourceType>JournalArticle</b:SourceType>
    <b:Guid>{CC6D94A9-0D92-466E-941E-73AC5CD1D1E4}</b:Guid>
    <b:Title>Embargo y producción petrolera en la Venezuela del 2018: evaluación de impactos y aspectos distintivos</b:Title>
    <b:Year>2019 </b:Year>
    <b:Author>
      <b:Author>
        <b:NameList>
          <b:Person>
            <b:Last>Hernández</b:Last>
            <b:First>Jorge</b:First>
          </b:Person>
          <b:Person>
            <b:Last>Leone</b:Last>
            <b:First>Francesco</b:First>
          </b:Person>
        </b:NameList>
      </b:Author>
    </b:Author>
    <b:JournalName>Revista Venezolana de Análisis de Coyuntura Vol 25 No 1</b:JournalName>
    <b:Pages>167-208</b:Pages>
    <b:RefOrder>18</b:RefOrder>
  </b:Source>
  <b:Source>
    <b:Tag>Fun21</b:Tag>
    <b:SourceType>InternetSite</b:SourceType>
    <b:Guid>{D935EAEB-1780-458B-AFEE-A4E9FEB86EED}</b:Guid>
    <b:Title>bibliofep.fundacionempresaspolar</b:Title>
    <b:Year>2021</b:Year>
    <b:Author>
      <b:Author>
        <b:NameList>
          <b:Person>
            <b:Last>Polar</b:Last>
            <b:First>Fundación</b:First>
            <b:Middle>Empresas</b:Middle>
          </b:Person>
        </b:NameList>
      </b:Author>
    </b:Author>
    <b:InternetSiteTitle>Fundación Empresas Polar</b:InternetSiteTitle>
    <b:Month>April</b:Month>
    <b:Day>24</b:Day>
    <b:URL>https://bibliofep.fundacionempresaspolar.org/_custom/static/cronologia_hv/zoom/s20-10/1977-13.html</b:URL>
    <b:RefOrder>19</b:RefOrder>
  </b:Source>
  <b:Source>
    <b:Tag>Bau90</b:Tag>
    <b:SourceType>JournalArticle</b:SourceType>
    <b:Guid>{C9425752-95F8-4CAD-B984-16BE4B2B2D23}</b:Guid>
    <b:Title>Entrepreneurship: Productive, Unproductive, and Destructive</b:Title>
    <b:Year>1990</b:Year>
    <b:Author>
      <b:Author>
        <b:NameList>
          <b:Person>
            <b:Last>Baumol</b:Last>
            <b:First>William</b:First>
          </b:Person>
        </b:NameList>
      </b:Author>
    </b:Author>
    <b:JournalName>Journal of Poltical Economy</b:JournalName>
    <b:Pages>893-921</b:Pages>
    <b:Volume>98</b:Volume>
    <b:Issue>5</b:Issue>
    <b:RefOrder>20</b:RefOrder>
  </b:Source>
  <b:Source>
    <b:Tag>Irm01</b:Tag>
    <b:SourceType>BookSection</b:SourceType>
    <b:Guid>{E42697AF-07B0-45B8-B532-F2D35933CF7D}</b:Guid>
    <b:Author>
      <b:Author>
        <b:NameList>
          <b:Person>
            <b:Last>Adelman</b:Last>
            <b:First>Irma</b:First>
          </b:Person>
        </b:NameList>
      </b:Author>
      <b:BookAuthor>
        <b:NameList>
          <b:Person>
            <b:Last>Meier</b:Last>
            <b:First>Gerald</b:First>
          </b:Person>
          <b:Person>
            <b:Last>Stiglitz</b:Last>
            <b:First>Joseph</b:First>
          </b:Person>
        </b:NameList>
      </b:BookAuthor>
    </b:Author>
    <b:Title>Falacias en las teorías del desarrollo y sus implicaciones políticas</b:Title>
    <b:BookTitle>Fronteras de la economía del desarrollo</b:BookTitle>
    <b:Year>2001</b:Year>
    <b:Pages>91-137</b:Pages>
    <b:City>México</b:City>
    <b:Publisher>Banco Mundial y Alfaomega</b:Publisher>
    <b:RefOrder>21</b:RefOrder>
  </b:Source>
  <b:Source>
    <b:Tag>Dha12</b:Tag>
    <b:SourceType>Report</b:SourceType>
    <b:Guid>{07BACAA4-BD33-4D6E-85A5-F7E186E24767}</b:Guid>
    <b:Title>Macroeconomic Policy Frameworks for Resource-Rich Developing Countries</b:Title>
    <b:Year>2012</b:Year>
    <b:City>Wsahington D.C.</b:City>
    <b:Publisher>IMF</b:Publisher>
    <b:Author>
      <b:Author>
        <b:NameList>
          <b:Person>
            <b:Last>Ghura</b:Last>
            <b:First>Dhaneshwar</b:First>
          </b:Person>
          <b:Person>
            <b:Last>al</b:Last>
            <b:First>et</b:First>
          </b:Person>
        </b:NameList>
      </b:Author>
    </b:Author>
    <b:RefOrder>22</b:RefOrder>
  </b:Source>
  <b:Source>
    <b:Tag>Her20</b:Tag>
    <b:SourceType>JournalArticle</b:SourceType>
    <b:Guid>{91F7A297-0336-4AE6-8063-AA9A142537DB}</b:Guid>
    <b:Title>Rightsizing the Public Sector: A Challenging Step Forward in Economic Reforms</b:Title>
    <b:Year>2020</b:Year>
    <b:Author>
      <b:Author>
        <b:NameList>
          <b:Person>
            <b:Last>Hernández</b:Last>
            <b:First>Jorge</b:First>
          </b:Person>
        </b:NameList>
      </b:Author>
    </b:Author>
    <b:JournalName>Revista Venezolana de Análisis de Coyuntura</b:JournalName>
    <b:Pages>23-39</b:Pages>
    <b:Volume>XXVI</b:Volume>
    <b:Issue>1</b:Issue>
    <b:RefOrder>23</b:RefOrder>
  </b:Source>
</b:Sources>
</file>

<file path=customXml/itemProps1.xml><?xml version="1.0" encoding="utf-8"?>
<ds:datastoreItem xmlns:ds="http://schemas.openxmlformats.org/officeDocument/2006/customXml" ds:itemID="{099EF398-D4ED-49AB-8925-8767BF919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18</Pages>
  <Words>5250</Words>
  <Characters>28880</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Oscar Núñez</cp:lastModifiedBy>
  <cp:revision>107</cp:revision>
  <cp:lastPrinted>2022-02-10T16:25:00Z</cp:lastPrinted>
  <dcterms:created xsi:type="dcterms:W3CDTF">2021-11-05T22:24:00Z</dcterms:created>
  <dcterms:modified xsi:type="dcterms:W3CDTF">2022-02-10T16:25:00Z</dcterms:modified>
</cp:coreProperties>
</file>