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02E2B" w14:textId="77777777" w:rsidR="00310D24" w:rsidRPr="00083019" w:rsidRDefault="00310D24" w:rsidP="00BF2F41">
      <w:pPr>
        <w:pStyle w:val="TITULOS"/>
        <w:rPr>
          <w:rFonts w:ascii="AGaramond" w:hAnsi="AGaramond"/>
          <w:sz w:val="32"/>
          <w:szCs w:val="32"/>
        </w:rPr>
      </w:pPr>
    </w:p>
    <w:p w14:paraId="1B689257" w14:textId="1F90CA11" w:rsidR="00F83AC2" w:rsidRPr="00083019" w:rsidRDefault="002D7C6F" w:rsidP="00BF2F41">
      <w:pPr>
        <w:pStyle w:val="TITULOS"/>
        <w:rPr>
          <w:rFonts w:ascii="AGaramond" w:hAnsi="AGaramond"/>
          <w:sz w:val="32"/>
          <w:szCs w:val="32"/>
        </w:rPr>
      </w:pPr>
      <w:bookmarkStart w:id="0" w:name="_Hlk87275528"/>
      <w:r w:rsidRPr="00083019">
        <w:rPr>
          <w:rFonts w:ascii="AGaramond" w:hAnsi="AGaramond"/>
          <w:sz w:val="32"/>
          <w:szCs w:val="32"/>
        </w:rPr>
        <w:t>Análisis de la migración interna hacia y desde Playa del Carmen, México, 1995-2015</w:t>
      </w:r>
    </w:p>
    <w:bookmarkEnd w:id="0"/>
    <w:p w14:paraId="6EC086C0" w14:textId="77777777" w:rsidR="00F83AC2" w:rsidRPr="00083019" w:rsidRDefault="00F83AC2" w:rsidP="00BF2F41">
      <w:pPr>
        <w:pStyle w:val="TITULOS"/>
        <w:rPr>
          <w:rFonts w:ascii="AGaramond" w:hAnsi="AGaramond"/>
          <w:sz w:val="32"/>
          <w:szCs w:val="32"/>
        </w:rPr>
      </w:pPr>
    </w:p>
    <w:p w14:paraId="256BC753" w14:textId="1A9E7674" w:rsidR="009A0B02" w:rsidRPr="00083019" w:rsidRDefault="002D7C6F" w:rsidP="006F6469">
      <w:pPr>
        <w:pStyle w:val="TITULOS"/>
        <w:jc w:val="right"/>
        <w:outlineLvl w:val="0"/>
        <w:rPr>
          <w:rFonts w:ascii="AGaramond" w:hAnsi="AGaramond"/>
          <w:b w:val="0"/>
          <w:i/>
          <w:iCs/>
          <w:sz w:val="16"/>
          <w:szCs w:val="16"/>
        </w:rPr>
      </w:pPr>
      <w:r w:rsidRPr="00083019">
        <w:rPr>
          <w:rFonts w:ascii="AGaramond" w:hAnsi="AGaramond" w:cs="Arial"/>
          <w:b w:val="0"/>
          <w:i/>
          <w:iCs/>
          <w:szCs w:val="22"/>
        </w:rPr>
        <w:t>Manuel Gerardo Delgado</w:t>
      </w:r>
      <w:r w:rsidR="00814FC3" w:rsidRPr="00083019">
        <w:rPr>
          <w:rFonts w:ascii="AGaramond" w:hAnsi="AGaramond" w:cs="Arial"/>
          <w:b w:val="0"/>
          <w:i/>
          <w:iCs/>
          <w:szCs w:val="22"/>
        </w:rPr>
        <w:t>-</w:t>
      </w:r>
      <w:r w:rsidRPr="00083019">
        <w:rPr>
          <w:rFonts w:ascii="AGaramond" w:hAnsi="AGaramond" w:cs="Arial"/>
          <w:b w:val="0"/>
          <w:i/>
          <w:iCs/>
          <w:szCs w:val="22"/>
        </w:rPr>
        <w:t>Linero</w:t>
      </w:r>
    </w:p>
    <w:p w14:paraId="415AB44E" w14:textId="29E69E79" w:rsidR="00160FBC" w:rsidRPr="00083019" w:rsidRDefault="002D7C6F" w:rsidP="00160FBC">
      <w:pPr>
        <w:pStyle w:val="TITULOS"/>
        <w:jc w:val="right"/>
        <w:outlineLvl w:val="0"/>
        <w:rPr>
          <w:rFonts w:ascii="AGaramond" w:hAnsi="AGaramond"/>
          <w:b w:val="0"/>
          <w:sz w:val="16"/>
          <w:szCs w:val="16"/>
        </w:rPr>
      </w:pPr>
      <w:r w:rsidRPr="00083019">
        <w:rPr>
          <w:rFonts w:ascii="AGaramond" w:hAnsi="AGaramond"/>
          <w:b w:val="0"/>
          <w:sz w:val="16"/>
          <w:szCs w:val="16"/>
        </w:rPr>
        <w:t>Profesor de la Escuela de Arquitectura Carlos Raúl Villanueva (</w:t>
      </w:r>
      <w:proofErr w:type="spellStart"/>
      <w:r w:rsidRPr="00083019">
        <w:rPr>
          <w:rFonts w:ascii="AGaramond" w:hAnsi="AGaramond"/>
          <w:b w:val="0"/>
          <w:sz w:val="16"/>
          <w:szCs w:val="16"/>
        </w:rPr>
        <w:t>FAU-UCV</w:t>
      </w:r>
      <w:proofErr w:type="spellEnd"/>
      <w:r w:rsidRPr="00083019">
        <w:rPr>
          <w:rFonts w:ascii="AGaramond" w:hAnsi="AGaramond"/>
          <w:b w:val="0"/>
          <w:sz w:val="16"/>
          <w:szCs w:val="16"/>
        </w:rPr>
        <w:t>)</w:t>
      </w:r>
      <w:r w:rsidR="00F16B4C" w:rsidRPr="00083019">
        <w:rPr>
          <w:rFonts w:ascii="AGaramond" w:hAnsi="AGaramond"/>
          <w:b w:val="0"/>
          <w:sz w:val="16"/>
          <w:szCs w:val="16"/>
        </w:rPr>
        <w:t>.</w:t>
      </w:r>
    </w:p>
    <w:p w14:paraId="417AC8F9" w14:textId="653406B6" w:rsidR="002C27EE" w:rsidRPr="00083019" w:rsidRDefault="002D7C6F" w:rsidP="00160FBC">
      <w:pPr>
        <w:pStyle w:val="TITULOS"/>
        <w:spacing w:line="276" w:lineRule="auto"/>
        <w:jc w:val="right"/>
        <w:outlineLvl w:val="0"/>
        <w:rPr>
          <w:rFonts w:ascii="AGaramond" w:hAnsi="AGaramond"/>
          <w:b w:val="0"/>
          <w:sz w:val="16"/>
          <w:szCs w:val="16"/>
        </w:rPr>
      </w:pPr>
      <w:r w:rsidRPr="00083019">
        <w:rPr>
          <w:rFonts w:ascii="AGaramond" w:hAnsi="AGaramond"/>
          <w:b w:val="0"/>
          <w:sz w:val="16"/>
          <w:szCs w:val="16"/>
        </w:rPr>
        <w:t>Integrante del Observatorio Venezolano de Migración</w:t>
      </w:r>
      <w:r w:rsidR="00F16B4C" w:rsidRPr="00083019">
        <w:rPr>
          <w:rFonts w:ascii="AGaramond" w:hAnsi="AGaramond"/>
          <w:b w:val="0"/>
          <w:sz w:val="16"/>
          <w:szCs w:val="16"/>
        </w:rPr>
        <w:t xml:space="preserve"> (</w:t>
      </w:r>
      <w:proofErr w:type="spellStart"/>
      <w:r w:rsidRPr="00083019">
        <w:rPr>
          <w:rFonts w:ascii="AGaramond" w:hAnsi="AGaramond"/>
          <w:b w:val="0"/>
          <w:sz w:val="16"/>
          <w:szCs w:val="16"/>
        </w:rPr>
        <w:t>OVM</w:t>
      </w:r>
      <w:proofErr w:type="spellEnd"/>
      <w:r w:rsidRPr="00083019">
        <w:rPr>
          <w:rFonts w:ascii="AGaramond" w:hAnsi="AGaramond"/>
          <w:b w:val="0"/>
          <w:sz w:val="16"/>
          <w:szCs w:val="16"/>
        </w:rPr>
        <w:t>-</w:t>
      </w:r>
      <w:proofErr w:type="spellStart"/>
      <w:r w:rsidRPr="00083019">
        <w:rPr>
          <w:rFonts w:ascii="AGaramond" w:hAnsi="AGaramond"/>
          <w:b w:val="0"/>
          <w:sz w:val="16"/>
          <w:szCs w:val="16"/>
        </w:rPr>
        <w:t>IIES</w:t>
      </w:r>
      <w:proofErr w:type="spellEnd"/>
      <w:r w:rsidRPr="00083019">
        <w:rPr>
          <w:rFonts w:ascii="AGaramond" w:hAnsi="AGaramond"/>
          <w:b w:val="0"/>
          <w:sz w:val="16"/>
          <w:szCs w:val="16"/>
        </w:rPr>
        <w:t>-UCAB</w:t>
      </w:r>
      <w:r w:rsidR="00F16B4C" w:rsidRPr="00083019">
        <w:rPr>
          <w:rFonts w:ascii="AGaramond" w:hAnsi="AGaramond"/>
          <w:b w:val="0"/>
          <w:sz w:val="16"/>
          <w:szCs w:val="16"/>
        </w:rPr>
        <w:t>)</w:t>
      </w:r>
    </w:p>
    <w:p w14:paraId="1E7CCD81" w14:textId="77777777" w:rsidR="002C27EE" w:rsidRPr="00083019" w:rsidRDefault="002C27EE" w:rsidP="002C27EE">
      <w:pPr>
        <w:pStyle w:val="TITULOS"/>
        <w:jc w:val="left"/>
        <w:rPr>
          <w:rFonts w:ascii="AGaramond" w:hAnsi="AGaramond"/>
        </w:rPr>
      </w:pPr>
    </w:p>
    <w:p w14:paraId="34E4878F" w14:textId="77777777" w:rsidR="002C27EE" w:rsidRPr="00083019" w:rsidRDefault="00F16B86" w:rsidP="002C27EE">
      <w:pPr>
        <w:pStyle w:val="TITULOS"/>
        <w:jc w:val="left"/>
        <w:rPr>
          <w:rFonts w:ascii="AGaramond" w:hAnsi="AGaramond"/>
        </w:rPr>
      </w:pPr>
      <w:r w:rsidRPr="00083019">
        <w:rPr>
          <w:rFonts w:ascii="AGaramond" w:hAnsi="AGaramond"/>
          <w:noProof/>
          <w:lang w:val="es-VE" w:eastAsia="es-VE"/>
        </w:rPr>
        <mc:AlternateContent>
          <mc:Choice Requires="wps">
            <w:drawing>
              <wp:anchor distT="0" distB="0" distL="114300" distR="114300" simplePos="0" relativeHeight="251650048" behindDoc="0" locked="0" layoutInCell="1" allowOverlap="1" wp14:anchorId="1112F895" wp14:editId="1FD71A10">
                <wp:simplePos x="0" y="0"/>
                <wp:positionH relativeFrom="column">
                  <wp:posOffset>30480</wp:posOffset>
                </wp:positionH>
                <wp:positionV relativeFrom="paragraph">
                  <wp:posOffset>114300</wp:posOffset>
                </wp:positionV>
                <wp:extent cx="6273165" cy="2615565"/>
                <wp:effectExtent l="0" t="0" r="635" b="635"/>
                <wp:wrapNone/>
                <wp:docPr id="2"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73165" cy="2615565"/>
                        </a:xfrm>
                        <a:prstGeom prst="rect">
                          <a:avLst/>
                        </a:prstGeom>
                        <a:solidFill>
                          <a:schemeClr val="lt1">
                            <a:lumMod val="100000"/>
                            <a:lumOff val="0"/>
                          </a:schemeClr>
                        </a:solidFill>
                        <a:ln w="6350">
                          <a:solidFill>
                            <a:srgbClr val="000000"/>
                          </a:solidFill>
                          <a:miter lim="800000"/>
                          <a:headEnd/>
                          <a:tailEnd/>
                        </a:ln>
                      </wps:spPr>
                      <wps:txbx>
                        <w:txbxContent>
                          <w:p w14:paraId="51A42404" w14:textId="77777777" w:rsidR="002C27EE" w:rsidRPr="00310D24" w:rsidRDefault="002C27EE">
                            <w:pPr>
                              <w:rPr>
                                <w:rFonts w:ascii="AGaramond" w:hAnsi="AGaramond"/>
                                <w:b/>
                                <w:lang w:val="es-ES"/>
                              </w:rPr>
                            </w:pPr>
                            <w:r w:rsidRPr="00310D24">
                              <w:rPr>
                                <w:rFonts w:ascii="AGaramond" w:hAnsi="AGaramond"/>
                                <w:b/>
                                <w:lang w:val="es-ES"/>
                              </w:rPr>
                              <w:t>Resumen</w:t>
                            </w:r>
                          </w:p>
                          <w:p w14:paraId="47C38547" w14:textId="764D5FE5" w:rsidR="00F83AC2" w:rsidRDefault="002D7C6F" w:rsidP="006F6469">
                            <w:pPr>
                              <w:ind w:left="708" w:right="364"/>
                              <w:jc w:val="both"/>
                              <w:rPr>
                                <w:rFonts w:ascii="AGaramond" w:hAnsi="AGaramond"/>
                                <w:sz w:val="18"/>
                                <w:szCs w:val="18"/>
                                <w:lang w:val="es-ES"/>
                              </w:rPr>
                            </w:pPr>
                            <w:r w:rsidRPr="002D7C6F">
                              <w:rPr>
                                <w:rFonts w:ascii="AGaramond" w:hAnsi="AGaramond"/>
                                <w:sz w:val="18"/>
                                <w:szCs w:val="18"/>
                                <w:lang w:val="es-ES"/>
                              </w:rPr>
                              <w:t>Estas líneas se han centrado en la cuantificación de la contribución que la migración interna mexicana ha tenido sobre el crecimiento demográfico en Playa del Carmen; asimismo, la caracterización de las fuentes de información demográficas que han permitido el estudio de la migración interna reciente hacia y desde la ciudad en los lustros 1995-2000, 2005-2010 y 2010-2015. A partir de la información que han suministrado los censos de población y vivienda mexicanos (2000 y 2010) y la Encuesta Intercensal 2015, se han construido indicadores según grupos de edad, sexo y condición migratoria: inmigrantes internos recientes y no migrantes recientes. Se han calculado tasas de inmigración, emigración y migración neta para las migraciones interna hacia y desde Playa del Carmen. Finalmente, los resultados han apuntado a las estrechas vinculaciones entre migración y urbanización, pues las altas tasas de inmigración y migración neta han permitido en breve tiempo una transición en la talla demográfica de la ciudad, al tiempo que los más altos valores de esas tasas en edades de trabajar han abonado a una estrecha relación con el mercado laboral.</w:t>
                            </w:r>
                          </w:p>
                          <w:p w14:paraId="399F20D3" w14:textId="77777777" w:rsidR="00D15FD5" w:rsidRDefault="00D15FD5" w:rsidP="006F6469">
                            <w:pPr>
                              <w:ind w:left="708" w:right="364"/>
                              <w:jc w:val="both"/>
                              <w:rPr>
                                <w:rFonts w:ascii="AGaramond" w:hAnsi="AGaramond"/>
                                <w:sz w:val="18"/>
                                <w:szCs w:val="18"/>
                                <w:lang w:val="es-ES"/>
                              </w:rPr>
                            </w:pPr>
                          </w:p>
                          <w:p w14:paraId="1A6DE002" w14:textId="12E1AA42" w:rsidR="006F6469" w:rsidRPr="00310D24" w:rsidRDefault="00D15FD5" w:rsidP="006F6469">
                            <w:pPr>
                              <w:ind w:left="708" w:right="364"/>
                              <w:jc w:val="both"/>
                              <w:rPr>
                                <w:rFonts w:ascii="AGaramond" w:hAnsi="AGaramond"/>
                                <w:sz w:val="18"/>
                                <w:szCs w:val="18"/>
                                <w:lang w:val="es-ES"/>
                              </w:rPr>
                            </w:pPr>
                            <w:r w:rsidRPr="00D15FD5">
                              <w:rPr>
                                <w:rFonts w:ascii="AGaramond" w:hAnsi="AGaramond"/>
                                <w:sz w:val="18"/>
                                <w:szCs w:val="18"/>
                              </w:rPr>
                              <w:t xml:space="preserve">Palabras clave: </w:t>
                            </w:r>
                            <w:r w:rsidR="002D7C6F" w:rsidRPr="002D7C6F">
                              <w:rPr>
                                <w:rFonts w:ascii="AGaramond" w:hAnsi="AGaramond"/>
                                <w:sz w:val="18"/>
                                <w:szCs w:val="18"/>
                              </w:rPr>
                              <w:t>Migración interna reciente, crecimiento demográfico, transición urbana, Playa del Carmen, México</w:t>
                            </w:r>
                            <w:r w:rsidRPr="00D15FD5">
                              <w:rPr>
                                <w:rFonts w:ascii="AGaramond" w:hAnsi="AGaramond"/>
                                <w:sz w:val="18"/>
                                <w:szCs w:val="18"/>
                              </w:rPr>
                              <w:t>.</w:t>
                            </w:r>
                          </w:p>
                          <w:p w14:paraId="043779FB" w14:textId="77777777" w:rsidR="006F6469" w:rsidRPr="0066699B" w:rsidRDefault="006F6469" w:rsidP="00920AB4">
                            <w:pPr>
                              <w:ind w:left="708" w:right="364"/>
                              <w:jc w:val="both"/>
                              <w:rPr>
                                <w:rFonts w:ascii="Adobe Garamond Pro" w:hAnsi="Adobe Garamond Pro"/>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12F895" id="_x0000_t202" coordsize="21600,21600" o:spt="202" path="m,l,21600r21600,l21600,xe">
                <v:stroke joinstyle="miter"/>
                <v:path gradientshapeok="t" o:connecttype="rect"/>
              </v:shapetype>
              <v:shape id="Cuadro de texto 3" o:spid="_x0000_s1026" type="#_x0000_t202" style="position:absolute;margin-left:2.4pt;margin-top:9pt;width:493.95pt;height:205.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" fillcolor="white [3201]" strokeweight=".5pt">
                <v:path arrowok="t"/>
                <v:textbox>
                  <w:txbxContent>
                    <w:p w14:paraId="51A42404" w14:textId="77777777" w:rsidR="002C27EE" w:rsidRPr="00310D24" w:rsidRDefault="002C27EE">
                      <w:pPr>
                        <w:rPr>
                          <w:rFonts w:ascii="AGaramond" w:hAnsi="AGaramond"/>
                          <w:b/>
                          <w:lang w:val="es-ES"/>
                        </w:rPr>
                      </w:pPr>
                      <w:r w:rsidRPr="00310D24">
                        <w:rPr>
                          <w:rFonts w:ascii="AGaramond" w:hAnsi="AGaramond"/>
                          <w:b/>
                          <w:lang w:val="es-ES"/>
                        </w:rPr>
                        <w:t>Resumen</w:t>
                      </w:r>
                    </w:p>
                    <w:p w14:paraId="47C38547" w14:textId="764D5FE5" w:rsidR="00F83AC2" w:rsidRDefault="002D7C6F" w:rsidP="006F6469">
                      <w:pPr>
                        <w:ind w:left="708" w:right="364"/>
                        <w:jc w:val="both"/>
                        <w:rPr>
                          <w:rFonts w:ascii="AGaramond" w:hAnsi="AGaramond"/>
                          <w:sz w:val="18"/>
                          <w:szCs w:val="18"/>
                          <w:lang w:val="es-ES"/>
                        </w:rPr>
                      </w:pPr>
                      <w:r w:rsidRPr="002D7C6F">
                        <w:rPr>
                          <w:rFonts w:ascii="AGaramond" w:hAnsi="AGaramond"/>
                          <w:sz w:val="18"/>
                          <w:szCs w:val="18"/>
                          <w:lang w:val="es-ES"/>
                        </w:rPr>
                        <w:t>Estas líneas se han centrado en la cuantificación de la contribución que la migración interna mexicana ha tenido sobre el crecimiento demográfico en Playa del Carmen; asimismo, la caracterización de las fuentes de información demográficas que han permitido el estudio de la migración interna reciente hacia y desde la ciudad en los lustros 1995-2000, 2005-2010 y 2010-2015. A partir de la información que han suministrado los censos de población y vivienda mexicanos (2000 y 2010) y la Encuesta Intercensal 2015, se han construido indicadores según grupos de edad, sexo y condición migratoria: inmigrantes internos recientes y no migrantes recientes. Se han calculado tasas de inmigración, emigración y migración neta para las migraciones interna hacia y desde Playa del Carmen. Finalmente, los resultados han apuntado a las estrechas vinculaciones entre migración y urbanización, pues las altas tasas de inmigración y migración neta han permitido en breve tiempo una transición en la talla demográfica de la ciudad, al tiempo que los más altos valores de esas tasas en edades de trabajar han abonado a una estrecha relación con el mercado laboral.</w:t>
                      </w:r>
                    </w:p>
                    <w:p w14:paraId="399F20D3" w14:textId="77777777" w:rsidR="00D15FD5" w:rsidRDefault="00D15FD5" w:rsidP="006F6469">
                      <w:pPr>
                        <w:ind w:left="708" w:right="364"/>
                        <w:jc w:val="both"/>
                        <w:rPr>
                          <w:rFonts w:ascii="AGaramond" w:hAnsi="AGaramond"/>
                          <w:sz w:val="18"/>
                          <w:szCs w:val="18"/>
                          <w:lang w:val="es-ES"/>
                        </w:rPr>
                      </w:pPr>
                    </w:p>
                    <w:p w14:paraId="1A6DE002" w14:textId="12E1AA42" w:rsidR="006F6469" w:rsidRPr="00310D24" w:rsidRDefault="00D15FD5" w:rsidP="006F6469">
                      <w:pPr>
                        <w:ind w:left="708" w:right="364"/>
                        <w:jc w:val="both"/>
                        <w:rPr>
                          <w:rFonts w:ascii="AGaramond" w:hAnsi="AGaramond"/>
                          <w:sz w:val="18"/>
                          <w:szCs w:val="18"/>
                          <w:lang w:val="es-ES"/>
                        </w:rPr>
                      </w:pPr>
                      <w:r w:rsidRPr="00D15FD5">
                        <w:rPr>
                          <w:rFonts w:ascii="AGaramond" w:hAnsi="AGaramond"/>
                          <w:sz w:val="18"/>
                          <w:szCs w:val="18"/>
                        </w:rPr>
                        <w:t xml:space="preserve">Palabras clave: </w:t>
                      </w:r>
                      <w:r w:rsidR="002D7C6F" w:rsidRPr="002D7C6F">
                        <w:rPr>
                          <w:rFonts w:ascii="AGaramond" w:hAnsi="AGaramond"/>
                          <w:sz w:val="18"/>
                          <w:szCs w:val="18"/>
                        </w:rPr>
                        <w:t>Migración interna reciente, crecimiento demográfico, transición urbana, Playa del Carmen, México</w:t>
                      </w:r>
                      <w:r w:rsidRPr="00D15FD5">
                        <w:rPr>
                          <w:rFonts w:ascii="AGaramond" w:hAnsi="AGaramond"/>
                          <w:sz w:val="18"/>
                          <w:szCs w:val="18"/>
                        </w:rPr>
                        <w:t>.</w:t>
                      </w:r>
                    </w:p>
                    <w:p w14:paraId="043779FB" w14:textId="77777777" w:rsidR="006F6469" w:rsidRPr="0066699B" w:rsidRDefault="006F6469" w:rsidP="00920AB4">
                      <w:pPr>
                        <w:ind w:left="708" w:right="364"/>
                        <w:jc w:val="both"/>
                        <w:rPr>
                          <w:rFonts w:ascii="Adobe Garamond Pro" w:hAnsi="Adobe Garamond Pro"/>
                          <w:sz w:val="18"/>
                          <w:szCs w:val="18"/>
                          <w:lang w:val="es-ES"/>
                        </w:rPr>
                      </w:pPr>
                    </w:p>
                  </w:txbxContent>
                </v:textbox>
              </v:shape>
            </w:pict>
          </mc:Fallback>
        </mc:AlternateContent>
      </w:r>
    </w:p>
    <w:p w14:paraId="3E314D8B" w14:textId="77777777" w:rsidR="002C27EE" w:rsidRPr="00083019" w:rsidRDefault="002C27EE" w:rsidP="002C27EE">
      <w:pPr>
        <w:pStyle w:val="TITULOS"/>
        <w:jc w:val="left"/>
        <w:rPr>
          <w:rFonts w:ascii="AGaramond" w:hAnsi="AGaramond"/>
        </w:rPr>
      </w:pPr>
    </w:p>
    <w:p w14:paraId="0478AA1D" w14:textId="77777777" w:rsidR="002C27EE" w:rsidRPr="00083019" w:rsidRDefault="002C27EE" w:rsidP="002C27EE">
      <w:pPr>
        <w:pStyle w:val="TITULOS"/>
        <w:jc w:val="left"/>
        <w:rPr>
          <w:rFonts w:ascii="AGaramond" w:hAnsi="AGaramond"/>
        </w:rPr>
      </w:pPr>
    </w:p>
    <w:p w14:paraId="2422BB22" w14:textId="77777777" w:rsidR="002C27EE" w:rsidRPr="00083019" w:rsidRDefault="002C27EE" w:rsidP="002C27EE">
      <w:pPr>
        <w:pStyle w:val="TITULOS"/>
        <w:jc w:val="left"/>
        <w:rPr>
          <w:rFonts w:ascii="AGaramond" w:hAnsi="AGaramond"/>
        </w:rPr>
      </w:pPr>
    </w:p>
    <w:p w14:paraId="6371BB5A" w14:textId="77777777" w:rsidR="002C27EE" w:rsidRPr="00083019" w:rsidRDefault="002C27EE" w:rsidP="002C27EE">
      <w:pPr>
        <w:pStyle w:val="TITULOS"/>
        <w:jc w:val="left"/>
        <w:rPr>
          <w:rFonts w:ascii="AGaramond" w:hAnsi="AGaramond"/>
        </w:rPr>
      </w:pPr>
    </w:p>
    <w:p w14:paraId="1D2D47C9" w14:textId="77777777" w:rsidR="002C27EE" w:rsidRPr="00083019" w:rsidRDefault="002C27EE" w:rsidP="002C27EE">
      <w:pPr>
        <w:pStyle w:val="TITULOS"/>
        <w:jc w:val="left"/>
        <w:rPr>
          <w:rFonts w:ascii="AGaramond" w:hAnsi="AGaramond"/>
        </w:rPr>
      </w:pPr>
    </w:p>
    <w:p w14:paraId="6D27A68F" w14:textId="77777777" w:rsidR="002C27EE" w:rsidRPr="00083019" w:rsidRDefault="002C27EE" w:rsidP="002C27EE">
      <w:pPr>
        <w:pStyle w:val="TITULOS"/>
        <w:jc w:val="left"/>
        <w:rPr>
          <w:rFonts w:ascii="AGaramond" w:hAnsi="AGaramond"/>
        </w:rPr>
      </w:pPr>
    </w:p>
    <w:p w14:paraId="252DB329" w14:textId="77777777" w:rsidR="002C27EE" w:rsidRPr="00083019" w:rsidRDefault="002C27EE" w:rsidP="002C27EE">
      <w:pPr>
        <w:pStyle w:val="TITULOS"/>
        <w:jc w:val="left"/>
        <w:rPr>
          <w:rFonts w:ascii="AGaramond" w:hAnsi="AGaramond"/>
        </w:rPr>
      </w:pPr>
    </w:p>
    <w:p w14:paraId="653F056F" w14:textId="77777777" w:rsidR="002C27EE" w:rsidRPr="00083019" w:rsidRDefault="002C27EE" w:rsidP="002C27EE">
      <w:pPr>
        <w:pStyle w:val="TITULOS"/>
        <w:jc w:val="left"/>
        <w:rPr>
          <w:rFonts w:ascii="AGaramond" w:hAnsi="AGaramond"/>
        </w:rPr>
      </w:pPr>
    </w:p>
    <w:p w14:paraId="3DC04F7D" w14:textId="77777777" w:rsidR="002C27EE" w:rsidRPr="00083019" w:rsidRDefault="002C27EE" w:rsidP="002C27EE">
      <w:pPr>
        <w:pStyle w:val="TITULOS"/>
        <w:jc w:val="left"/>
        <w:rPr>
          <w:rFonts w:ascii="AGaramond" w:hAnsi="AGaramond"/>
        </w:rPr>
      </w:pPr>
    </w:p>
    <w:p w14:paraId="15B631EC" w14:textId="77777777" w:rsidR="002C27EE" w:rsidRPr="00083019" w:rsidRDefault="002C27EE" w:rsidP="002C27EE">
      <w:pPr>
        <w:pStyle w:val="TITULOS"/>
        <w:jc w:val="left"/>
        <w:rPr>
          <w:rFonts w:ascii="AGaramond" w:hAnsi="AGaramond"/>
        </w:rPr>
      </w:pPr>
    </w:p>
    <w:p w14:paraId="09A5F777" w14:textId="77777777" w:rsidR="002C27EE" w:rsidRPr="00083019" w:rsidRDefault="002C27EE" w:rsidP="002C27EE">
      <w:pPr>
        <w:pStyle w:val="TITULOS"/>
        <w:jc w:val="left"/>
        <w:rPr>
          <w:rFonts w:ascii="AGaramond" w:hAnsi="AGaramond"/>
        </w:rPr>
      </w:pPr>
    </w:p>
    <w:p w14:paraId="3F1343B5" w14:textId="77777777" w:rsidR="002C27EE" w:rsidRPr="00083019" w:rsidRDefault="002C27EE" w:rsidP="002C27EE">
      <w:pPr>
        <w:pStyle w:val="TITULOS"/>
        <w:jc w:val="left"/>
        <w:rPr>
          <w:rFonts w:ascii="AGaramond" w:hAnsi="AGaramond"/>
        </w:rPr>
      </w:pPr>
    </w:p>
    <w:p w14:paraId="6119486D" w14:textId="77777777" w:rsidR="0087017A" w:rsidRPr="00083019" w:rsidRDefault="0087017A" w:rsidP="002C27EE">
      <w:pPr>
        <w:pStyle w:val="TITULOS"/>
        <w:jc w:val="left"/>
        <w:rPr>
          <w:rFonts w:ascii="AGaramond" w:hAnsi="AGaramond"/>
        </w:rPr>
      </w:pPr>
    </w:p>
    <w:p w14:paraId="2CEA8E26" w14:textId="77777777" w:rsidR="0066699B" w:rsidRPr="00083019" w:rsidRDefault="0066699B" w:rsidP="006F6469">
      <w:pPr>
        <w:pStyle w:val="TITULOS"/>
        <w:outlineLvl w:val="0"/>
        <w:rPr>
          <w:rFonts w:ascii="AGaramond" w:hAnsi="AGaramond"/>
          <w:sz w:val="32"/>
          <w:szCs w:val="32"/>
        </w:rPr>
      </w:pPr>
    </w:p>
    <w:p w14:paraId="67D067FE" w14:textId="101A8A12" w:rsidR="00F808BA" w:rsidRPr="00083019" w:rsidRDefault="002D7C6F" w:rsidP="003B7A44">
      <w:pPr>
        <w:pStyle w:val="TITULOS"/>
        <w:rPr>
          <w:rFonts w:ascii="AGaramond" w:hAnsi="AGaramond"/>
          <w:sz w:val="32"/>
          <w:szCs w:val="32"/>
          <w:lang w:val="en-US"/>
        </w:rPr>
      </w:pPr>
      <w:r w:rsidRPr="00083019">
        <w:rPr>
          <w:rFonts w:ascii="AGaramond" w:hAnsi="AGaramond"/>
          <w:sz w:val="32"/>
          <w:szCs w:val="32"/>
          <w:lang w:val="en-US"/>
        </w:rPr>
        <w:t>Analysis of Internal Migration to and from Playa del Carmen, Mexico, 1995-2015</w:t>
      </w:r>
    </w:p>
    <w:p w14:paraId="286C6878" w14:textId="77777777" w:rsidR="002C27EE" w:rsidRPr="00083019" w:rsidRDefault="00F16B86" w:rsidP="002C27EE">
      <w:pPr>
        <w:pStyle w:val="TITULOS"/>
        <w:jc w:val="left"/>
        <w:rPr>
          <w:rFonts w:ascii="AGaramond" w:hAnsi="AGaramond"/>
          <w:lang w:val="en-US"/>
        </w:rPr>
      </w:pPr>
      <w:r w:rsidRPr="00083019">
        <w:rPr>
          <w:rFonts w:ascii="AGaramond" w:hAnsi="AGaramond"/>
          <w:noProof/>
          <w:lang w:val="es-VE" w:eastAsia="es-VE"/>
        </w:rPr>
        <mc:AlternateContent>
          <mc:Choice Requires="wps">
            <w:drawing>
              <wp:anchor distT="0" distB="0" distL="114300" distR="114300" simplePos="0" relativeHeight="251653120" behindDoc="0" locked="0" layoutInCell="1" allowOverlap="1" wp14:anchorId="1A0F988E" wp14:editId="635C30AA">
                <wp:simplePos x="0" y="0"/>
                <wp:positionH relativeFrom="column">
                  <wp:posOffset>30480</wp:posOffset>
                </wp:positionH>
                <wp:positionV relativeFrom="paragraph">
                  <wp:posOffset>114300</wp:posOffset>
                </wp:positionV>
                <wp:extent cx="6273165" cy="2615565"/>
                <wp:effectExtent l="0" t="0" r="635" b="635"/>
                <wp:wrapNone/>
                <wp:docPr id="1"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73165" cy="2615565"/>
                        </a:xfrm>
                        <a:prstGeom prst="rect">
                          <a:avLst/>
                        </a:prstGeom>
                        <a:solidFill>
                          <a:schemeClr val="lt1">
                            <a:lumMod val="100000"/>
                            <a:lumOff val="0"/>
                          </a:schemeClr>
                        </a:solidFill>
                        <a:ln w="6350">
                          <a:solidFill>
                            <a:srgbClr val="000000"/>
                          </a:solidFill>
                          <a:miter lim="800000"/>
                          <a:headEnd/>
                          <a:tailEnd/>
                        </a:ln>
                      </wps:spPr>
                      <wps:txbx>
                        <w:txbxContent>
                          <w:p w14:paraId="00BFC418" w14:textId="77777777" w:rsidR="002C27EE" w:rsidRPr="00310D24" w:rsidRDefault="002C27EE" w:rsidP="002C27EE">
                            <w:pPr>
                              <w:pStyle w:val="TITULORESUMEN"/>
                              <w:ind w:firstLine="0"/>
                              <w:rPr>
                                <w:rFonts w:ascii="AGaramond" w:hAnsi="AGaramond"/>
                                <w:sz w:val="24"/>
                                <w:szCs w:val="24"/>
                              </w:rPr>
                            </w:pPr>
                            <w:r w:rsidRPr="00310D24">
                              <w:rPr>
                                <w:rFonts w:ascii="AGaramond" w:hAnsi="AGaramond"/>
                                <w:sz w:val="24"/>
                                <w:szCs w:val="24"/>
                              </w:rPr>
                              <w:t>Abstract</w:t>
                            </w:r>
                          </w:p>
                          <w:p w14:paraId="2FEF482F" w14:textId="695E806D" w:rsidR="00D92DA0" w:rsidRPr="00A9494A" w:rsidRDefault="002D7C6F" w:rsidP="006F6469">
                            <w:pPr>
                              <w:ind w:left="708" w:right="364"/>
                              <w:jc w:val="both"/>
                              <w:rPr>
                                <w:rFonts w:ascii="AGaramond" w:hAnsi="AGaramond"/>
                                <w:sz w:val="18"/>
                                <w:szCs w:val="18"/>
                                <w:lang w:val="en-US"/>
                              </w:rPr>
                            </w:pPr>
                            <w:r w:rsidRPr="002D7C6F">
                              <w:rPr>
                                <w:rFonts w:ascii="AGaramond" w:hAnsi="AGaramond"/>
                                <w:sz w:val="18"/>
                                <w:szCs w:val="18"/>
                                <w:lang w:val="en-US"/>
                              </w:rPr>
                              <w:t xml:space="preserve">These lines have focused in quantifying the contribution that Mexican internal migration has had in the population growth of Playa del Carmen, as well as the characterization of the demographic information sources that have allowed the study of recent internal migration to and from the city during the periods 1995-2000, 2005-2010 and 2010-2015. From data given by two population and household censuses (2000 and 2010) and the 2015 population survey, indicators have been constructed according to age groups, </w:t>
                            </w:r>
                            <w:proofErr w:type="gramStart"/>
                            <w:r w:rsidRPr="002D7C6F">
                              <w:rPr>
                                <w:rFonts w:ascii="AGaramond" w:hAnsi="AGaramond"/>
                                <w:sz w:val="18"/>
                                <w:szCs w:val="18"/>
                                <w:lang w:val="en-US"/>
                              </w:rPr>
                              <w:t>sex</w:t>
                            </w:r>
                            <w:proofErr w:type="gramEnd"/>
                            <w:r w:rsidRPr="002D7C6F">
                              <w:rPr>
                                <w:rFonts w:ascii="AGaramond" w:hAnsi="AGaramond"/>
                                <w:sz w:val="18"/>
                                <w:szCs w:val="18"/>
                                <w:lang w:val="en-US"/>
                              </w:rPr>
                              <w:t xml:space="preserve"> and migration status: recent internal immigrants and not recent migrants. Immigration, </w:t>
                            </w:r>
                            <w:proofErr w:type="gramStart"/>
                            <w:r w:rsidRPr="002D7C6F">
                              <w:rPr>
                                <w:rFonts w:ascii="AGaramond" w:hAnsi="AGaramond"/>
                                <w:sz w:val="18"/>
                                <w:szCs w:val="18"/>
                                <w:lang w:val="en-US"/>
                              </w:rPr>
                              <w:t>emigration</w:t>
                            </w:r>
                            <w:proofErr w:type="gramEnd"/>
                            <w:r w:rsidRPr="002D7C6F">
                              <w:rPr>
                                <w:rFonts w:ascii="AGaramond" w:hAnsi="AGaramond"/>
                                <w:sz w:val="18"/>
                                <w:szCs w:val="18"/>
                                <w:lang w:val="en-US"/>
                              </w:rPr>
                              <w:t xml:space="preserve"> and net migration rates have been calculated for those flows in and out Playa del Carmen. Lastly, the results have pointed to the close links between migration and urbanization, since the high rates of immigration and net migration have allowed in a short time a transition in the demographic size of the city, while the highest values of these rates in Working ages have subscribed to a close relationship with the labor market</w:t>
                            </w:r>
                            <w:r w:rsidR="005A7CB0" w:rsidRPr="005A7CB0">
                              <w:rPr>
                                <w:rFonts w:ascii="AGaramond" w:hAnsi="AGaramond"/>
                                <w:sz w:val="18"/>
                                <w:szCs w:val="18"/>
                                <w:lang w:val="en-US"/>
                              </w:rPr>
                              <w:t>.</w:t>
                            </w:r>
                          </w:p>
                          <w:p w14:paraId="60858493" w14:textId="77777777" w:rsidR="00CC732C" w:rsidRPr="00310D24" w:rsidRDefault="00CC732C" w:rsidP="006F6469">
                            <w:pPr>
                              <w:ind w:left="708" w:right="364"/>
                              <w:jc w:val="both"/>
                              <w:rPr>
                                <w:rFonts w:ascii="AGaramond" w:hAnsi="AGaramond"/>
                                <w:lang w:val="en-US"/>
                              </w:rPr>
                            </w:pPr>
                          </w:p>
                          <w:p w14:paraId="418EDE9B" w14:textId="72E69DBF" w:rsidR="006F6469" w:rsidRPr="00310D24" w:rsidRDefault="00CC732C" w:rsidP="006F6469">
                            <w:pPr>
                              <w:ind w:left="708" w:right="364"/>
                              <w:jc w:val="both"/>
                              <w:rPr>
                                <w:rFonts w:ascii="AGaramond" w:hAnsi="AGaramond"/>
                                <w:sz w:val="18"/>
                                <w:szCs w:val="18"/>
                                <w:lang w:val="en-US"/>
                              </w:rPr>
                            </w:pPr>
                            <w:r w:rsidRPr="00CC732C">
                              <w:rPr>
                                <w:rFonts w:ascii="AGaramond" w:hAnsi="AGaramond"/>
                                <w:sz w:val="18"/>
                                <w:szCs w:val="18"/>
                                <w:lang w:val="en"/>
                              </w:rPr>
                              <w:t xml:space="preserve">Keywords: </w:t>
                            </w:r>
                            <w:r w:rsidR="002D7C6F" w:rsidRPr="002D7C6F">
                              <w:rPr>
                                <w:rFonts w:ascii="AGaramond" w:hAnsi="AGaramond"/>
                                <w:sz w:val="18"/>
                                <w:szCs w:val="18"/>
                                <w:lang w:val="en"/>
                              </w:rPr>
                              <w:t>Recent internal migration, population growth, urban transition, Playa del Carmen, Mexico</w:t>
                            </w:r>
                            <w:r w:rsidRPr="00CC732C">
                              <w:rPr>
                                <w:rFonts w:ascii="AGaramond" w:hAnsi="AGaramond"/>
                                <w:sz w:val="18"/>
                                <w:szCs w:val="18"/>
                                <w:lang w:val="en"/>
                              </w:rPr>
                              <w:t>.</w:t>
                            </w:r>
                          </w:p>
                          <w:p w14:paraId="20FEA911" w14:textId="77777777" w:rsidR="006F6469" w:rsidRPr="00920AB4" w:rsidRDefault="006F6469" w:rsidP="006F6469">
                            <w:pPr>
                              <w:pStyle w:val="TITULOS"/>
                              <w:jc w:val="left"/>
                              <w:outlineLvl w:val="0"/>
                              <w:rPr>
                                <w:rFonts w:ascii="Adobe Garamond Pro" w:hAnsi="Adobe Garamond Pro"/>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F988E" id="Cuadro de texto 4" o:spid="_x0000_s1027" type="#_x0000_t202" style="position:absolute;margin-left:2.4pt;margin-top:9pt;width:493.95pt;height:205.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" fillcolor="white [3201]" strokeweight=".5pt">
                <v:path arrowok="t"/>
                <v:textbox>
                  <w:txbxContent>
                    <w:p w14:paraId="00BFC418" w14:textId="77777777" w:rsidR="002C27EE" w:rsidRPr="00310D24" w:rsidRDefault="002C27EE" w:rsidP="002C27EE">
                      <w:pPr>
                        <w:pStyle w:val="TITULORESUMEN"/>
                        <w:ind w:firstLine="0"/>
                        <w:rPr>
                          <w:rFonts w:ascii="AGaramond" w:hAnsi="AGaramond"/>
                          <w:sz w:val="24"/>
                          <w:szCs w:val="24"/>
                        </w:rPr>
                      </w:pPr>
                      <w:r w:rsidRPr="00310D24">
                        <w:rPr>
                          <w:rFonts w:ascii="AGaramond" w:hAnsi="AGaramond"/>
                          <w:sz w:val="24"/>
                          <w:szCs w:val="24"/>
                        </w:rPr>
                        <w:t>Abstract</w:t>
                      </w:r>
                    </w:p>
                    <w:p w14:paraId="2FEF482F" w14:textId="695E806D" w:rsidR="00D92DA0" w:rsidRPr="00A9494A" w:rsidRDefault="002D7C6F" w:rsidP="006F6469">
                      <w:pPr>
                        <w:ind w:left="708" w:right="364"/>
                        <w:jc w:val="both"/>
                        <w:rPr>
                          <w:rFonts w:ascii="AGaramond" w:hAnsi="AGaramond"/>
                          <w:sz w:val="18"/>
                          <w:szCs w:val="18"/>
                          <w:lang w:val="en-US"/>
                        </w:rPr>
                      </w:pPr>
                      <w:r w:rsidRPr="002D7C6F">
                        <w:rPr>
                          <w:rFonts w:ascii="AGaramond" w:hAnsi="AGaramond"/>
                          <w:sz w:val="18"/>
                          <w:szCs w:val="18"/>
                          <w:lang w:val="en-US"/>
                        </w:rPr>
                        <w:t xml:space="preserve">These lines have focused in quantifying the contribution that Mexican internal migration has had in the population growth of Playa del Carmen, as well as the characterization of the demographic information sources that have allowed the study of recent internal migration to and from the city during the periods 1995-2000, 2005-2010 and 2010-2015. From data given by two population and household censuses (2000 and 2010) and the 2015 population survey, indicators have been constructed according to age groups, </w:t>
                      </w:r>
                      <w:proofErr w:type="gramStart"/>
                      <w:r w:rsidRPr="002D7C6F">
                        <w:rPr>
                          <w:rFonts w:ascii="AGaramond" w:hAnsi="AGaramond"/>
                          <w:sz w:val="18"/>
                          <w:szCs w:val="18"/>
                          <w:lang w:val="en-US"/>
                        </w:rPr>
                        <w:t>sex</w:t>
                      </w:r>
                      <w:proofErr w:type="gramEnd"/>
                      <w:r w:rsidRPr="002D7C6F">
                        <w:rPr>
                          <w:rFonts w:ascii="AGaramond" w:hAnsi="AGaramond"/>
                          <w:sz w:val="18"/>
                          <w:szCs w:val="18"/>
                          <w:lang w:val="en-US"/>
                        </w:rPr>
                        <w:t xml:space="preserve"> and migration status: recent internal immigrants and not recent migrants. Immigration, </w:t>
                      </w:r>
                      <w:proofErr w:type="gramStart"/>
                      <w:r w:rsidRPr="002D7C6F">
                        <w:rPr>
                          <w:rFonts w:ascii="AGaramond" w:hAnsi="AGaramond"/>
                          <w:sz w:val="18"/>
                          <w:szCs w:val="18"/>
                          <w:lang w:val="en-US"/>
                        </w:rPr>
                        <w:t>emigration</w:t>
                      </w:r>
                      <w:proofErr w:type="gramEnd"/>
                      <w:r w:rsidRPr="002D7C6F">
                        <w:rPr>
                          <w:rFonts w:ascii="AGaramond" w:hAnsi="AGaramond"/>
                          <w:sz w:val="18"/>
                          <w:szCs w:val="18"/>
                          <w:lang w:val="en-US"/>
                        </w:rPr>
                        <w:t xml:space="preserve"> and net migration rates have been calculated for those flows in and out Playa del Carmen. Lastly, the results have pointed to the close links between migration and urbanization, since the high rates of immigration and net migration have allowed in a short time a transition in the demographic size of the city, while the highest values of these rates in Working ages have subscribed to a close relationship with the labor market</w:t>
                      </w:r>
                      <w:r w:rsidR="005A7CB0" w:rsidRPr="005A7CB0">
                        <w:rPr>
                          <w:rFonts w:ascii="AGaramond" w:hAnsi="AGaramond"/>
                          <w:sz w:val="18"/>
                          <w:szCs w:val="18"/>
                          <w:lang w:val="en-US"/>
                        </w:rPr>
                        <w:t>.</w:t>
                      </w:r>
                    </w:p>
                    <w:p w14:paraId="60858493" w14:textId="77777777" w:rsidR="00CC732C" w:rsidRPr="00310D24" w:rsidRDefault="00CC732C" w:rsidP="006F6469">
                      <w:pPr>
                        <w:ind w:left="708" w:right="364"/>
                        <w:jc w:val="both"/>
                        <w:rPr>
                          <w:rFonts w:ascii="AGaramond" w:hAnsi="AGaramond"/>
                          <w:lang w:val="en-US"/>
                        </w:rPr>
                      </w:pPr>
                    </w:p>
                    <w:p w14:paraId="418EDE9B" w14:textId="72E69DBF" w:rsidR="006F6469" w:rsidRPr="00310D24" w:rsidRDefault="00CC732C" w:rsidP="006F6469">
                      <w:pPr>
                        <w:ind w:left="708" w:right="364"/>
                        <w:jc w:val="both"/>
                        <w:rPr>
                          <w:rFonts w:ascii="AGaramond" w:hAnsi="AGaramond"/>
                          <w:sz w:val="18"/>
                          <w:szCs w:val="18"/>
                          <w:lang w:val="en-US"/>
                        </w:rPr>
                      </w:pPr>
                      <w:r w:rsidRPr="00CC732C">
                        <w:rPr>
                          <w:rFonts w:ascii="AGaramond" w:hAnsi="AGaramond"/>
                          <w:sz w:val="18"/>
                          <w:szCs w:val="18"/>
                          <w:lang w:val="en"/>
                        </w:rPr>
                        <w:t xml:space="preserve">Keywords: </w:t>
                      </w:r>
                      <w:r w:rsidR="002D7C6F" w:rsidRPr="002D7C6F">
                        <w:rPr>
                          <w:rFonts w:ascii="AGaramond" w:hAnsi="AGaramond"/>
                          <w:sz w:val="18"/>
                          <w:szCs w:val="18"/>
                          <w:lang w:val="en"/>
                        </w:rPr>
                        <w:t>Recent internal migration, population growth, urban transition, Playa del Carmen, Mexico</w:t>
                      </w:r>
                      <w:r w:rsidRPr="00CC732C">
                        <w:rPr>
                          <w:rFonts w:ascii="AGaramond" w:hAnsi="AGaramond"/>
                          <w:sz w:val="18"/>
                          <w:szCs w:val="18"/>
                          <w:lang w:val="en"/>
                        </w:rPr>
                        <w:t>.</w:t>
                      </w:r>
                    </w:p>
                    <w:p w14:paraId="20FEA911" w14:textId="77777777" w:rsidR="006F6469" w:rsidRPr="00920AB4" w:rsidRDefault="006F6469" w:rsidP="006F6469">
                      <w:pPr>
                        <w:pStyle w:val="TITULOS"/>
                        <w:jc w:val="left"/>
                        <w:outlineLvl w:val="0"/>
                        <w:rPr>
                          <w:rFonts w:ascii="Adobe Garamond Pro" w:hAnsi="Adobe Garamond Pro"/>
                          <w:sz w:val="18"/>
                          <w:szCs w:val="18"/>
                          <w:lang w:val="en-US"/>
                        </w:rPr>
                      </w:pPr>
                    </w:p>
                  </w:txbxContent>
                </v:textbox>
              </v:shape>
            </w:pict>
          </mc:Fallback>
        </mc:AlternateContent>
      </w:r>
    </w:p>
    <w:p w14:paraId="61F08F92" w14:textId="77777777" w:rsidR="002C27EE" w:rsidRPr="00083019" w:rsidRDefault="002C27EE" w:rsidP="002C27EE">
      <w:pPr>
        <w:pStyle w:val="TITULOS"/>
        <w:jc w:val="left"/>
        <w:rPr>
          <w:rFonts w:ascii="AGaramond" w:hAnsi="AGaramond"/>
          <w:lang w:val="en-US"/>
        </w:rPr>
      </w:pPr>
    </w:p>
    <w:p w14:paraId="64C0B4EB" w14:textId="77777777" w:rsidR="002C27EE" w:rsidRPr="00083019" w:rsidRDefault="002C27EE" w:rsidP="002C27EE">
      <w:pPr>
        <w:pStyle w:val="TITULOS"/>
        <w:jc w:val="left"/>
        <w:rPr>
          <w:rFonts w:ascii="AGaramond" w:hAnsi="AGaramond"/>
          <w:lang w:val="en-US"/>
        </w:rPr>
      </w:pPr>
    </w:p>
    <w:p w14:paraId="4FE99641" w14:textId="77777777" w:rsidR="002C27EE" w:rsidRPr="00083019" w:rsidRDefault="002C27EE" w:rsidP="002C27EE">
      <w:pPr>
        <w:pStyle w:val="TITULOS"/>
        <w:jc w:val="left"/>
        <w:rPr>
          <w:rFonts w:ascii="AGaramond" w:hAnsi="AGaramond"/>
          <w:lang w:val="en-US"/>
        </w:rPr>
      </w:pPr>
    </w:p>
    <w:p w14:paraId="4F361141" w14:textId="77777777" w:rsidR="002C27EE" w:rsidRPr="00083019" w:rsidRDefault="002C27EE" w:rsidP="002C27EE">
      <w:pPr>
        <w:pStyle w:val="TITULOS"/>
        <w:jc w:val="left"/>
        <w:rPr>
          <w:rFonts w:ascii="AGaramond" w:hAnsi="AGaramond"/>
          <w:lang w:val="en-US"/>
        </w:rPr>
      </w:pPr>
    </w:p>
    <w:p w14:paraId="6840DC0D" w14:textId="77777777" w:rsidR="002C27EE" w:rsidRPr="00083019" w:rsidRDefault="002C27EE" w:rsidP="002C27EE">
      <w:pPr>
        <w:pStyle w:val="TITULOS"/>
        <w:jc w:val="left"/>
        <w:rPr>
          <w:rFonts w:ascii="AGaramond" w:hAnsi="AGaramond"/>
          <w:lang w:val="en-US"/>
        </w:rPr>
      </w:pPr>
    </w:p>
    <w:p w14:paraId="1B46DF14" w14:textId="77777777" w:rsidR="002C27EE" w:rsidRPr="00083019" w:rsidRDefault="002C27EE" w:rsidP="002C27EE">
      <w:pPr>
        <w:pStyle w:val="TITULOS"/>
        <w:jc w:val="left"/>
        <w:rPr>
          <w:rFonts w:ascii="AGaramond" w:hAnsi="AGaramond"/>
          <w:lang w:val="en-US"/>
        </w:rPr>
      </w:pPr>
    </w:p>
    <w:p w14:paraId="08E8BB84" w14:textId="77777777" w:rsidR="002C27EE" w:rsidRPr="00083019" w:rsidRDefault="002C27EE" w:rsidP="002C27EE">
      <w:pPr>
        <w:pStyle w:val="TITULOS"/>
        <w:jc w:val="left"/>
        <w:rPr>
          <w:rFonts w:ascii="AGaramond" w:hAnsi="AGaramond"/>
          <w:lang w:val="en-US"/>
        </w:rPr>
      </w:pPr>
    </w:p>
    <w:p w14:paraId="636E61BC" w14:textId="77777777" w:rsidR="002C27EE" w:rsidRPr="00083019" w:rsidRDefault="002C27EE" w:rsidP="002C27EE">
      <w:pPr>
        <w:pStyle w:val="TITULOS"/>
        <w:jc w:val="left"/>
        <w:rPr>
          <w:rFonts w:ascii="AGaramond" w:hAnsi="AGaramond"/>
          <w:lang w:val="en-US"/>
        </w:rPr>
      </w:pPr>
    </w:p>
    <w:p w14:paraId="1CA85EA3" w14:textId="77777777" w:rsidR="002C27EE" w:rsidRPr="00083019" w:rsidRDefault="002C27EE" w:rsidP="002C27EE">
      <w:pPr>
        <w:pStyle w:val="TITULOS"/>
        <w:jc w:val="left"/>
        <w:rPr>
          <w:rFonts w:ascii="AGaramond" w:hAnsi="AGaramond"/>
          <w:lang w:val="en-US"/>
        </w:rPr>
      </w:pPr>
    </w:p>
    <w:p w14:paraId="024357EE" w14:textId="77777777" w:rsidR="002C27EE" w:rsidRPr="00083019" w:rsidRDefault="002C27EE" w:rsidP="002C27EE">
      <w:pPr>
        <w:pStyle w:val="TITULOS"/>
        <w:jc w:val="left"/>
        <w:rPr>
          <w:rFonts w:ascii="AGaramond" w:hAnsi="AGaramond"/>
          <w:lang w:val="en-US"/>
        </w:rPr>
      </w:pPr>
    </w:p>
    <w:p w14:paraId="6C90E83A" w14:textId="77777777" w:rsidR="002C27EE" w:rsidRPr="00083019" w:rsidRDefault="002C27EE" w:rsidP="002C27EE">
      <w:pPr>
        <w:pStyle w:val="TITULOS"/>
        <w:jc w:val="left"/>
        <w:rPr>
          <w:rFonts w:ascii="AGaramond" w:hAnsi="AGaramond"/>
          <w:lang w:val="en-US"/>
        </w:rPr>
      </w:pPr>
    </w:p>
    <w:p w14:paraId="0E29DDB4" w14:textId="77777777" w:rsidR="002C27EE" w:rsidRPr="00083019" w:rsidRDefault="002C27EE" w:rsidP="002C27EE">
      <w:pPr>
        <w:pStyle w:val="TITULOS"/>
        <w:jc w:val="left"/>
        <w:rPr>
          <w:rFonts w:ascii="AGaramond" w:hAnsi="AGaramond"/>
          <w:lang w:val="en-US"/>
        </w:rPr>
      </w:pPr>
    </w:p>
    <w:p w14:paraId="772B0AB2" w14:textId="77777777" w:rsidR="00920AB4" w:rsidRPr="00083019" w:rsidRDefault="00920AB4" w:rsidP="006F6469">
      <w:pPr>
        <w:pStyle w:val="TITULOS"/>
        <w:jc w:val="left"/>
        <w:rPr>
          <w:rFonts w:ascii="AGaramond" w:hAnsi="AGaramond" w:cs="Times"/>
          <w:iCs/>
          <w:sz w:val="16"/>
          <w:szCs w:val="16"/>
          <w:lang w:val="en-US"/>
        </w:rPr>
      </w:pPr>
    </w:p>
    <w:p w14:paraId="3942FF6C" w14:textId="77777777" w:rsidR="00B80863" w:rsidRPr="00083019" w:rsidRDefault="00B80863" w:rsidP="00427DC8">
      <w:pPr>
        <w:spacing w:after="240" w:line="360" w:lineRule="auto"/>
        <w:ind w:firstLine="284"/>
        <w:jc w:val="both"/>
        <w:rPr>
          <w:rFonts w:ascii="AGaramond" w:hAnsi="AGaramond" w:cs="Arial"/>
          <w:sz w:val="22"/>
          <w:szCs w:val="22"/>
          <w:lang w:val="en-US"/>
        </w:rPr>
      </w:pPr>
    </w:p>
    <w:p w14:paraId="04F1915F" w14:textId="77777777" w:rsidR="00356595" w:rsidRPr="00083019" w:rsidRDefault="00356595" w:rsidP="003E614F">
      <w:pPr>
        <w:keepNext/>
        <w:keepLines/>
        <w:spacing w:before="240" w:after="240" w:line="360" w:lineRule="auto"/>
        <w:jc w:val="both"/>
        <w:outlineLvl w:val="0"/>
        <w:rPr>
          <w:rFonts w:ascii="AGaramond" w:eastAsia="HGMinchoE" w:hAnsi="AGaramond" w:cs="Times New Roman"/>
          <w:b/>
          <w:bCs/>
          <w:lang w:val="en-US" w:eastAsia="es-VE"/>
        </w:rPr>
      </w:pPr>
    </w:p>
    <w:p w14:paraId="31F286BB" w14:textId="0E45CE03" w:rsidR="00937DC4" w:rsidRPr="00083019" w:rsidRDefault="00937DC4" w:rsidP="00237115">
      <w:pPr>
        <w:pStyle w:val="Prrafodelista"/>
        <w:numPr>
          <w:ilvl w:val="0"/>
          <w:numId w:val="34"/>
        </w:numPr>
        <w:spacing w:line="360" w:lineRule="auto"/>
        <w:ind w:left="284" w:firstLine="0"/>
        <w:jc w:val="both"/>
        <w:rPr>
          <w:rFonts w:ascii="AGaramond" w:hAnsi="AGaramond" w:cs="Arial"/>
          <w:b/>
          <w:bCs/>
          <w:sz w:val="24"/>
          <w:szCs w:val="24"/>
        </w:rPr>
      </w:pPr>
      <w:r w:rsidRPr="00083019">
        <w:rPr>
          <w:rFonts w:ascii="AGaramond" w:hAnsi="AGaramond" w:cs="Arial"/>
          <w:b/>
          <w:bCs/>
          <w:sz w:val="24"/>
          <w:szCs w:val="24"/>
        </w:rPr>
        <w:t>INTRODUCCIÓN</w:t>
      </w:r>
    </w:p>
    <w:p w14:paraId="4DD04777" w14:textId="5AB4DF27" w:rsidR="002D7C6F" w:rsidRPr="00083019" w:rsidRDefault="002D7C6F" w:rsidP="002D7C6F">
      <w:pPr>
        <w:spacing w:after="240" w:line="360" w:lineRule="auto"/>
        <w:ind w:firstLine="284"/>
        <w:jc w:val="both"/>
        <w:rPr>
          <w:rFonts w:ascii="AGaramond" w:hAnsi="AGaramond" w:cs="Arial"/>
          <w:sz w:val="22"/>
          <w:szCs w:val="22"/>
        </w:rPr>
      </w:pPr>
      <w:r w:rsidRPr="00083019">
        <w:rPr>
          <w:rFonts w:ascii="AGaramond" w:hAnsi="AGaramond" w:cs="Arial"/>
          <w:sz w:val="22"/>
          <w:szCs w:val="22"/>
        </w:rPr>
        <w:t>La migración se ha considerado un evento múltiple en la vida de una persona</w:t>
      </w:r>
      <w:r w:rsidR="004C5979">
        <w:rPr>
          <w:rFonts w:ascii="AGaramond" w:hAnsi="AGaramond" w:cs="Arial"/>
          <w:sz w:val="22"/>
          <w:szCs w:val="22"/>
        </w:rPr>
        <w:t>;</w:t>
      </w:r>
      <w:r w:rsidRPr="00083019">
        <w:rPr>
          <w:rFonts w:ascii="AGaramond" w:hAnsi="AGaramond" w:cs="Arial"/>
          <w:sz w:val="22"/>
          <w:szCs w:val="22"/>
        </w:rPr>
        <w:t xml:space="preserve"> es decir, cualquier individuo se puede mover con fines residenciales varias veces en el curso de su vida, a diferencia de otros eventos demográficos como el nacimiento y la muerte que ocurren una única vez en la existencia humana. Ello le ha conferido mayor complejidad al estudio de la migración en comparación con la natalidad y la mortalidad. En ese sentido, múltiples investigaciones y estudios han supuesto que la población analizada es cerrada, cuando en realidad se trata de poblaciones abiertas</w:t>
      </w:r>
      <w:r w:rsidR="004C5979">
        <w:rPr>
          <w:rFonts w:ascii="AGaramond" w:hAnsi="AGaramond" w:cs="Arial"/>
          <w:sz w:val="22"/>
          <w:szCs w:val="22"/>
        </w:rPr>
        <w:t>;</w:t>
      </w:r>
      <w:r w:rsidRPr="00083019">
        <w:rPr>
          <w:rFonts w:ascii="AGaramond" w:hAnsi="AGaramond" w:cs="Arial"/>
          <w:sz w:val="22"/>
          <w:szCs w:val="22"/>
        </w:rPr>
        <w:t xml:space="preserve"> es decir, colectivos que intercambian individuos con otros colectivos existentes en su medio externo (</w:t>
      </w:r>
      <w:proofErr w:type="spellStart"/>
      <w:r w:rsidRPr="00083019">
        <w:rPr>
          <w:rFonts w:ascii="AGaramond" w:hAnsi="AGaramond" w:cs="Arial"/>
          <w:sz w:val="22"/>
          <w:szCs w:val="22"/>
        </w:rPr>
        <w:t>Welti</w:t>
      </w:r>
      <w:proofErr w:type="spellEnd"/>
      <w:r w:rsidRPr="00083019">
        <w:rPr>
          <w:rFonts w:ascii="AGaramond" w:hAnsi="AGaramond" w:cs="Arial"/>
          <w:sz w:val="22"/>
          <w:szCs w:val="22"/>
        </w:rPr>
        <w:t xml:space="preserve"> </w:t>
      </w:r>
      <w:r w:rsidR="008F556E" w:rsidRPr="00083019">
        <w:rPr>
          <w:rFonts w:ascii="AGaramond" w:hAnsi="AGaramond" w:cs="Arial"/>
          <w:i/>
          <w:iCs/>
          <w:sz w:val="22"/>
          <w:szCs w:val="22"/>
        </w:rPr>
        <w:t>et al.</w:t>
      </w:r>
      <w:r w:rsidRPr="00083019">
        <w:rPr>
          <w:rFonts w:ascii="AGaramond" w:hAnsi="AGaramond" w:cs="Arial"/>
          <w:sz w:val="22"/>
          <w:szCs w:val="22"/>
        </w:rPr>
        <w:t>, 1997</w:t>
      </w:r>
      <w:r w:rsidR="008F556E" w:rsidRPr="00083019">
        <w:rPr>
          <w:rFonts w:ascii="AGaramond" w:hAnsi="AGaramond" w:cs="Arial"/>
          <w:sz w:val="22"/>
          <w:szCs w:val="22"/>
        </w:rPr>
        <w:t>, p.</w:t>
      </w:r>
      <w:r w:rsidRPr="00083019">
        <w:rPr>
          <w:rFonts w:ascii="AGaramond" w:hAnsi="AGaramond" w:cs="Arial"/>
          <w:sz w:val="22"/>
          <w:szCs w:val="22"/>
        </w:rPr>
        <w:t xml:space="preserve"> 124). Esto ha sugerido una suerte de importancia accesoria dentro de los estudios demográficos sobre la migración, </w:t>
      </w:r>
      <w:r w:rsidR="004B7824" w:rsidRPr="00083019">
        <w:rPr>
          <w:rFonts w:ascii="AGaramond" w:hAnsi="AGaramond" w:cs="Arial"/>
          <w:sz w:val="22"/>
          <w:szCs w:val="22"/>
        </w:rPr>
        <w:t>a pesar de que</w:t>
      </w:r>
      <w:r w:rsidRPr="00083019">
        <w:rPr>
          <w:rFonts w:ascii="AGaramond" w:hAnsi="AGaramond" w:cs="Arial"/>
          <w:sz w:val="22"/>
          <w:szCs w:val="22"/>
        </w:rPr>
        <w:t xml:space="preserve"> se le ha reconocido como un componente determinante en el cambio de la estructura, la dinámica y el tamaño de la población.</w:t>
      </w:r>
    </w:p>
    <w:p w14:paraId="4A528A07" w14:textId="20366AB1" w:rsidR="002D7C6F" w:rsidRPr="00083019" w:rsidRDefault="002D7C6F" w:rsidP="002D7C6F">
      <w:pPr>
        <w:spacing w:after="240" w:line="360" w:lineRule="auto"/>
        <w:ind w:firstLine="284"/>
        <w:jc w:val="both"/>
        <w:rPr>
          <w:rFonts w:ascii="AGaramond" w:hAnsi="AGaramond" w:cs="Arial"/>
          <w:sz w:val="22"/>
          <w:szCs w:val="22"/>
        </w:rPr>
      </w:pPr>
      <w:r w:rsidRPr="00083019">
        <w:rPr>
          <w:rFonts w:ascii="AGaramond" w:hAnsi="AGaramond" w:cs="Arial"/>
          <w:sz w:val="22"/>
          <w:szCs w:val="22"/>
        </w:rPr>
        <w:t>Entre las fuentes de información demográfica, los censos de población, las encuestas por muestreo, los registros permanentes de población y las estadísticas vitales han resultado de utilidad en el estudio de la migración de la población. Los censos de población y las encuestas por muestreo se han considerado como las fuentes que “recogen respuestas que los mismos sujetos hacen a preguntas retrospectivas relativas a sus movimientos migratorios” (</w:t>
      </w:r>
      <w:proofErr w:type="spellStart"/>
      <w:r w:rsidRPr="00083019">
        <w:rPr>
          <w:rFonts w:ascii="AGaramond" w:hAnsi="AGaramond" w:cs="Arial"/>
          <w:sz w:val="22"/>
          <w:szCs w:val="22"/>
        </w:rPr>
        <w:t>Welti</w:t>
      </w:r>
      <w:proofErr w:type="spellEnd"/>
      <w:r w:rsidRPr="00083019">
        <w:rPr>
          <w:rFonts w:ascii="AGaramond" w:hAnsi="AGaramond" w:cs="Arial"/>
          <w:sz w:val="22"/>
          <w:szCs w:val="22"/>
        </w:rPr>
        <w:t xml:space="preserve"> </w:t>
      </w:r>
      <w:r w:rsidR="008F556E" w:rsidRPr="00083019">
        <w:rPr>
          <w:rFonts w:ascii="AGaramond" w:hAnsi="AGaramond" w:cs="Arial"/>
          <w:i/>
          <w:iCs/>
          <w:sz w:val="22"/>
          <w:szCs w:val="22"/>
        </w:rPr>
        <w:t>et al.</w:t>
      </w:r>
      <w:r w:rsidRPr="00083019">
        <w:rPr>
          <w:rFonts w:ascii="AGaramond" w:hAnsi="AGaramond" w:cs="Arial"/>
          <w:sz w:val="22"/>
          <w:szCs w:val="22"/>
        </w:rPr>
        <w:t>, 1997</w:t>
      </w:r>
      <w:r w:rsidR="008F556E" w:rsidRPr="00083019">
        <w:rPr>
          <w:rFonts w:ascii="AGaramond" w:hAnsi="AGaramond" w:cs="Arial"/>
          <w:sz w:val="22"/>
          <w:szCs w:val="22"/>
        </w:rPr>
        <w:t>, p.</w:t>
      </w:r>
      <w:r w:rsidRPr="00083019">
        <w:rPr>
          <w:rFonts w:ascii="AGaramond" w:hAnsi="AGaramond" w:cs="Arial"/>
          <w:sz w:val="22"/>
          <w:szCs w:val="22"/>
        </w:rPr>
        <w:t xml:space="preserve"> 129). Mientras que los registros permanentes de población y las estadísticas vitales corresponden a un tipo de fuentes que han registrado “el suceso demográfico mismo, ya sea en el momento en que se produce o cuando el individuo lo declara por necesidad o presiones institucionales” (</w:t>
      </w:r>
      <w:proofErr w:type="spellStart"/>
      <w:r w:rsidRPr="00083019">
        <w:rPr>
          <w:rFonts w:ascii="AGaramond" w:hAnsi="AGaramond" w:cs="Arial"/>
          <w:sz w:val="22"/>
          <w:szCs w:val="22"/>
        </w:rPr>
        <w:t>Welti</w:t>
      </w:r>
      <w:proofErr w:type="spellEnd"/>
      <w:r w:rsidRPr="00083019">
        <w:rPr>
          <w:rFonts w:ascii="AGaramond" w:hAnsi="AGaramond" w:cs="Arial"/>
          <w:sz w:val="22"/>
          <w:szCs w:val="22"/>
        </w:rPr>
        <w:t xml:space="preserve"> </w:t>
      </w:r>
      <w:r w:rsidR="008F556E" w:rsidRPr="00083019">
        <w:rPr>
          <w:rFonts w:ascii="AGaramond" w:hAnsi="AGaramond" w:cs="Arial"/>
          <w:i/>
          <w:iCs/>
          <w:sz w:val="22"/>
          <w:szCs w:val="22"/>
        </w:rPr>
        <w:t>et al.</w:t>
      </w:r>
      <w:r w:rsidRPr="00083019">
        <w:rPr>
          <w:rFonts w:ascii="AGaramond" w:hAnsi="AGaramond" w:cs="Arial"/>
          <w:sz w:val="22"/>
          <w:szCs w:val="22"/>
        </w:rPr>
        <w:t>, 1997</w:t>
      </w:r>
      <w:r w:rsidR="008F556E" w:rsidRPr="00083019">
        <w:rPr>
          <w:rFonts w:ascii="AGaramond" w:hAnsi="AGaramond" w:cs="Arial"/>
          <w:sz w:val="22"/>
          <w:szCs w:val="22"/>
        </w:rPr>
        <w:t>, p.</w:t>
      </w:r>
      <w:r w:rsidRPr="00083019">
        <w:rPr>
          <w:rFonts w:ascii="AGaramond" w:hAnsi="AGaramond" w:cs="Arial"/>
          <w:sz w:val="22"/>
          <w:szCs w:val="22"/>
        </w:rPr>
        <w:t xml:space="preserve"> 129). Las líneas que siguen han pretendido estudiar la situación de la migración interna reciente hacia y desde Playa del Carmen a través de los resultados de los dos censos de población y vivienda de 2000 y 2010, junto a la Encuesta Intercensal 2015.</w:t>
      </w:r>
    </w:p>
    <w:p w14:paraId="5B861AAA" w14:textId="7185C145" w:rsidR="002D7C6F" w:rsidRPr="00083019" w:rsidRDefault="002D7C6F" w:rsidP="002D7C6F">
      <w:pPr>
        <w:spacing w:after="240" w:line="360" w:lineRule="auto"/>
        <w:ind w:firstLine="284"/>
        <w:jc w:val="both"/>
        <w:rPr>
          <w:rFonts w:ascii="AGaramond" w:hAnsi="AGaramond" w:cs="Arial"/>
          <w:sz w:val="22"/>
          <w:szCs w:val="22"/>
        </w:rPr>
      </w:pPr>
      <w:r w:rsidRPr="00083019">
        <w:rPr>
          <w:rFonts w:ascii="AGaramond" w:hAnsi="AGaramond" w:cs="Arial"/>
          <w:sz w:val="22"/>
          <w:szCs w:val="22"/>
        </w:rPr>
        <w:t xml:space="preserve">Playa del Carmen es una ciudad de tamaño demográfico intermedio en la costa del Caribe mexicano. Está localizada en </w:t>
      </w:r>
      <w:r w:rsidR="00D35101" w:rsidRPr="00083019">
        <w:rPr>
          <w:rFonts w:ascii="AGaramond" w:hAnsi="AGaramond" w:cs="Arial"/>
          <w:sz w:val="22"/>
          <w:szCs w:val="22"/>
        </w:rPr>
        <w:t xml:space="preserve">la </w:t>
      </w:r>
      <w:r w:rsidRPr="00083019">
        <w:rPr>
          <w:rFonts w:ascii="AGaramond" w:hAnsi="AGaramond" w:cs="Arial"/>
          <w:sz w:val="22"/>
          <w:szCs w:val="22"/>
        </w:rPr>
        <w:t>península de Yucatán, más concretamente en el municipio Solidaridad del estado de Quintana Roo (véase Ilustración 1). El acelerado crecimiento de la población en Playa del Carmen se ha producido principalmente por la migración interna mexicana. Así, el crecimiento social de la población ha permitido la transición de Playa del Carmen, de pueblo a ciudad de talla demográfica pequeña, y finalmente, a una ciudad intermedia, en apenas los 25 años del lapso 1990-2015 (Delgado-Linero, 2016; Delgado-Linero, 2017).</w:t>
      </w:r>
    </w:p>
    <w:p w14:paraId="4027836F" w14:textId="62A7C9B7" w:rsidR="00937DC4" w:rsidRPr="00083019" w:rsidRDefault="002D7C6F" w:rsidP="002D7C6F">
      <w:pPr>
        <w:spacing w:after="240" w:line="360" w:lineRule="auto"/>
        <w:ind w:firstLine="284"/>
        <w:jc w:val="both"/>
        <w:rPr>
          <w:rFonts w:ascii="AGaramond" w:hAnsi="AGaramond" w:cs="Arial"/>
          <w:sz w:val="22"/>
          <w:szCs w:val="22"/>
        </w:rPr>
      </w:pPr>
      <w:r w:rsidRPr="00083019">
        <w:rPr>
          <w:rFonts w:ascii="AGaramond" w:hAnsi="AGaramond" w:cs="Arial"/>
          <w:sz w:val="22"/>
          <w:szCs w:val="22"/>
        </w:rPr>
        <w:t>Esta ciudad caribeña ha crecido a un ritmo mayor a la media nacional y ha concentrado más de un 90</w:t>
      </w:r>
      <w:r w:rsidR="00D35101" w:rsidRPr="00083019">
        <w:rPr>
          <w:rFonts w:ascii="Times New Roman" w:hAnsi="Times New Roman" w:cs="Times New Roman"/>
          <w:sz w:val="22"/>
          <w:szCs w:val="22"/>
        </w:rPr>
        <w:t> </w:t>
      </w:r>
      <w:r w:rsidR="00381168" w:rsidRPr="00083019">
        <w:rPr>
          <w:rFonts w:ascii="AGaramond" w:hAnsi="AGaramond" w:cs="Arial"/>
          <w:sz w:val="22"/>
          <w:szCs w:val="22"/>
        </w:rPr>
        <w:t>%</w:t>
      </w:r>
      <w:r w:rsidRPr="00083019">
        <w:rPr>
          <w:rFonts w:ascii="AGaramond" w:hAnsi="AGaramond" w:cs="Arial"/>
          <w:sz w:val="22"/>
          <w:szCs w:val="22"/>
        </w:rPr>
        <w:t xml:space="preserve"> de la población del municipio Solidaridad entre 2010 y 2015. La contribución de la migración interna en el crecimiento de la población de Playa del Carmen ha sido sustantiva entre 2000 y 2015, pues</w:t>
      </w:r>
      <w:r w:rsidR="00D35101" w:rsidRPr="00083019">
        <w:rPr>
          <w:rFonts w:ascii="AGaramond" w:hAnsi="AGaramond" w:cs="Arial"/>
          <w:sz w:val="22"/>
          <w:szCs w:val="22"/>
        </w:rPr>
        <w:t>,</w:t>
      </w:r>
      <w:r w:rsidRPr="00083019">
        <w:rPr>
          <w:rFonts w:ascii="AGaramond" w:hAnsi="AGaramond" w:cs="Arial"/>
          <w:sz w:val="22"/>
          <w:szCs w:val="22"/>
        </w:rPr>
        <w:t xml:space="preserve"> las tasas presentadas difícilmente se podían alcanzar con el crecimiento natural. Este crecimiento poblacional de la ciudad, por lejos superior al promedio </w:t>
      </w:r>
      <w:r w:rsidRPr="00083019">
        <w:rPr>
          <w:rFonts w:ascii="AGaramond" w:hAnsi="AGaramond" w:cs="Arial"/>
          <w:sz w:val="22"/>
          <w:szCs w:val="22"/>
        </w:rPr>
        <w:lastRenderedPageBreak/>
        <w:t>nacional en términos relativos, y esencialmente producto de la migración interna en México</w:t>
      </w:r>
      <w:r w:rsidR="009E028A">
        <w:rPr>
          <w:rFonts w:ascii="AGaramond" w:hAnsi="AGaramond" w:cs="Arial"/>
          <w:sz w:val="22"/>
          <w:szCs w:val="22"/>
        </w:rPr>
        <w:t>,</w:t>
      </w:r>
      <w:r w:rsidRPr="00083019">
        <w:rPr>
          <w:rFonts w:ascii="AGaramond" w:hAnsi="AGaramond" w:cs="Arial"/>
          <w:sz w:val="22"/>
          <w:szCs w:val="22"/>
        </w:rPr>
        <w:t xml:space="preserve"> le ha otorgado preeminencia como objeto de estudio</w:t>
      </w:r>
      <w:r w:rsidR="00937DC4" w:rsidRPr="00083019">
        <w:rPr>
          <w:rFonts w:ascii="AGaramond" w:hAnsi="AGaramond" w:cs="Arial"/>
          <w:sz w:val="22"/>
          <w:szCs w:val="22"/>
        </w:rPr>
        <w:t>.</w:t>
      </w:r>
    </w:p>
    <w:p w14:paraId="325721C1" w14:textId="0CCF8F32" w:rsidR="00D35101" w:rsidRDefault="00D35101" w:rsidP="00D0262F">
      <w:pPr>
        <w:spacing w:line="360" w:lineRule="auto"/>
        <w:jc w:val="center"/>
        <w:rPr>
          <w:rFonts w:ascii="AGaramond" w:eastAsia="Calibri" w:hAnsi="AGaramond" w:cs="Times New Roman"/>
          <w:sz w:val="22"/>
          <w:szCs w:val="22"/>
          <w:lang w:val="es-PE"/>
        </w:rPr>
      </w:pPr>
      <w:bookmarkStart w:id="1" w:name="_Toc456586021"/>
      <w:bookmarkStart w:id="2" w:name="_Hlk88049835"/>
      <w:bookmarkStart w:id="3" w:name="_Hlk88048953"/>
      <w:r w:rsidRPr="00083019">
        <w:rPr>
          <w:rFonts w:ascii="AGaramond" w:eastAsia="Calibri" w:hAnsi="AGaramond" w:cs="Times New Roman"/>
          <w:sz w:val="22"/>
          <w:szCs w:val="22"/>
          <w:lang w:val="es-PE"/>
        </w:rPr>
        <w:t xml:space="preserve">Ilustración </w:t>
      </w:r>
      <w:r w:rsidRPr="00083019">
        <w:rPr>
          <w:rFonts w:ascii="AGaramond" w:eastAsia="Calibri" w:hAnsi="AGaramond" w:cs="Times New Roman"/>
          <w:sz w:val="22"/>
          <w:szCs w:val="22"/>
          <w:lang w:val="es-PE"/>
        </w:rPr>
        <w:fldChar w:fldCharType="begin"/>
      </w:r>
      <w:r w:rsidRPr="00083019">
        <w:rPr>
          <w:rFonts w:ascii="AGaramond" w:eastAsia="Calibri" w:hAnsi="AGaramond" w:cs="Times New Roman"/>
          <w:sz w:val="22"/>
          <w:szCs w:val="22"/>
          <w:lang w:val="es-PE"/>
        </w:rPr>
        <w:instrText xml:space="preserve"> SEQ Ilustración_0- \* ARABIC </w:instrText>
      </w:r>
      <w:r w:rsidRPr="00083019">
        <w:rPr>
          <w:rFonts w:ascii="AGaramond" w:eastAsia="Calibri" w:hAnsi="AGaramond" w:cs="Times New Roman"/>
          <w:sz w:val="22"/>
          <w:szCs w:val="22"/>
          <w:lang w:val="es-PE"/>
        </w:rPr>
        <w:fldChar w:fldCharType="separate"/>
      </w:r>
      <w:r w:rsidR="00DC025A">
        <w:rPr>
          <w:rFonts w:ascii="AGaramond" w:eastAsia="Calibri" w:hAnsi="AGaramond" w:cs="Times New Roman"/>
          <w:noProof/>
          <w:sz w:val="22"/>
          <w:szCs w:val="22"/>
          <w:lang w:val="es-PE"/>
        </w:rPr>
        <w:t>1</w:t>
      </w:r>
      <w:r w:rsidRPr="00083019">
        <w:rPr>
          <w:rFonts w:ascii="AGaramond" w:eastAsia="Calibri" w:hAnsi="AGaramond" w:cs="Times New Roman"/>
          <w:sz w:val="22"/>
          <w:szCs w:val="22"/>
          <w:lang w:val="es-PE"/>
        </w:rPr>
        <w:fldChar w:fldCharType="end"/>
      </w:r>
      <w:r w:rsidRPr="00083019">
        <w:rPr>
          <w:rFonts w:ascii="AGaramond" w:eastAsia="Calibri" w:hAnsi="AGaramond" w:cs="Times New Roman"/>
          <w:sz w:val="22"/>
          <w:szCs w:val="22"/>
          <w:lang w:val="es-PE"/>
        </w:rPr>
        <w:t>. Ubicación de Yucatán, Quintana Roo, Solidaridad y Playa del Carmen en los Estados Unidos Mexicanos</w:t>
      </w:r>
      <w:bookmarkEnd w:id="1"/>
    </w:p>
    <w:p w14:paraId="11B52744" w14:textId="56C30379" w:rsidR="00D0262F" w:rsidRPr="00083019" w:rsidRDefault="00D0262F" w:rsidP="00D0262F">
      <w:pPr>
        <w:spacing w:line="360" w:lineRule="auto"/>
        <w:jc w:val="center"/>
        <w:rPr>
          <w:rFonts w:ascii="AGaramond" w:eastAsia="Calibri" w:hAnsi="AGaramond" w:cs="Times New Roman"/>
          <w:sz w:val="22"/>
          <w:szCs w:val="22"/>
          <w:lang w:val="es-PE"/>
        </w:rPr>
      </w:pPr>
      <w:r>
        <w:object w:dxaOrig="8808" w:dyaOrig="10632" w14:anchorId="5D1056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40.4pt;height:531.6pt" o:ole="">
            <v:imagedata r:id="rId8" o:title=""/>
          </v:shape>
          <o:OLEObject Type="Embed" ProgID="Paint.Picture" ShapeID="_x0000_i1027" DrawAspect="Content" ObjectID="_1705227110" r:id="rId9"/>
        </w:object>
      </w:r>
    </w:p>
    <w:p w14:paraId="37073BC2" w14:textId="19D2BE33" w:rsidR="00D35101" w:rsidRPr="00083019" w:rsidRDefault="00D35101" w:rsidP="00D35101">
      <w:pPr>
        <w:autoSpaceDE w:val="0"/>
        <w:autoSpaceDN w:val="0"/>
        <w:adjustRightInd w:val="0"/>
        <w:spacing w:after="240" w:line="360" w:lineRule="auto"/>
        <w:jc w:val="both"/>
        <w:rPr>
          <w:rFonts w:ascii="AGaramond" w:eastAsia="Times New Roman" w:hAnsi="AGaramond" w:cs="Times New Roman"/>
          <w:sz w:val="20"/>
          <w:szCs w:val="20"/>
          <w:lang w:val="es-MX" w:eastAsia="es-MX"/>
        </w:rPr>
      </w:pPr>
      <w:r w:rsidRPr="00083019">
        <w:rPr>
          <w:rFonts w:ascii="AGaramond" w:eastAsia="Times New Roman" w:hAnsi="AGaramond" w:cs="Times New Roman"/>
          <w:sz w:val="20"/>
          <w:szCs w:val="20"/>
          <w:lang w:val="es-MX" w:eastAsia="es-MX"/>
        </w:rPr>
        <w:t>Fuente: elaboración propia.</w:t>
      </w:r>
      <w:bookmarkEnd w:id="2"/>
    </w:p>
    <w:p w14:paraId="75BFE2EA" w14:textId="77777777" w:rsidR="00D35101" w:rsidRPr="00083019" w:rsidRDefault="00D35101" w:rsidP="009E028A">
      <w:pPr>
        <w:pStyle w:val="Textoindependiente"/>
        <w:spacing w:after="240" w:line="360" w:lineRule="auto"/>
        <w:ind w:firstLine="284"/>
        <w:jc w:val="both"/>
        <w:rPr>
          <w:rFonts w:ascii="AGaramond" w:hAnsi="AGaramond"/>
          <w:sz w:val="22"/>
          <w:szCs w:val="22"/>
        </w:rPr>
      </w:pPr>
      <w:r w:rsidRPr="00083019">
        <w:rPr>
          <w:rFonts w:ascii="AGaramond" w:hAnsi="AGaramond"/>
          <w:sz w:val="22"/>
          <w:szCs w:val="22"/>
        </w:rPr>
        <w:lastRenderedPageBreak/>
        <w:t xml:space="preserve">Además, Playa del Carmen es una ciudad con unas características particulares como nodo que ha atraído viajeros nacionales e internacionales por su vocación turística, un centro regional importante de actividades económicas y administrativas que ha cautivado diversos tipos de personas migrantes. Estas actividades turísticas y económicas han sido generadoras potenciales de impactos ambientales que le han impreso una complejidad particular a este centro urbano. Por ello, ha sido importante tanto el estudio de la movilidad por turismo y negocios, así como los movimientos migratorios con fines residenciales. </w:t>
      </w:r>
    </w:p>
    <w:p w14:paraId="44D76BDD" w14:textId="1C8A5F28" w:rsidR="00D35101" w:rsidRPr="00083019" w:rsidRDefault="00D35101" w:rsidP="009E028A">
      <w:pPr>
        <w:autoSpaceDE w:val="0"/>
        <w:autoSpaceDN w:val="0"/>
        <w:adjustRightInd w:val="0"/>
        <w:spacing w:after="240" w:line="360" w:lineRule="auto"/>
        <w:ind w:firstLine="284"/>
        <w:jc w:val="both"/>
        <w:rPr>
          <w:rFonts w:ascii="AGaramond" w:hAnsi="AGaramond"/>
          <w:sz w:val="22"/>
          <w:szCs w:val="22"/>
        </w:rPr>
      </w:pPr>
      <w:r w:rsidRPr="00083019">
        <w:rPr>
          <w:rFonts w:ascii="AGaramond" w:hAnsi="AGaramond"/>
          <w:sz w:val="22"/>
          <w:szCs w:val="22"/>
        </w:rPr>
        <w:t>El texto se ha organizado en cinco partes, la primera ha correspondido a estas líneas introductorias, adicionalmente, en la segunda sección se han presentado las fuentes de información demográficas utilizadas en el trabajo y los aspectos metodológicos para el análisis de la migración interna en Playa del Carmen. La tercera parte ha incluido la construcción de indicadores sobre la migración interna mexicana hacia y desde la ciudad, según edad y sexo, y los resultados a los que se ha llegado con ellos; mientras que en la cuarta sección se discuten los hallazgos del trabajo. Finalmente, el quinto y último apartado ha correspondido a una suerte de síntesis a modo de conclusiones</w:t>
      </w:r>
      <w:r w:rsidR="00FB4F29" w:rsidRPr="00083019">
        <w:rPr>
          <w:rFonts w:ascii="AGaramond" w:hAnsi="AGaramond"/>
          <w:sz w:val="22"/>
          <w:szCs w:val="22"/>
        </w:rPr>
        <w:t>.</w:t>
      </w:r>
    </w:p>
    <w:p w14:paraId="2F9B5271" w14:textId="77777777" w:rsidR="005F4183" w:rsidRPr="00083019" w:rsidRDefault="005F4183" w:rsidP="00CF714B">
      <w:pPr>
        <w:numPr>
          <w:ilvl w:val="0"/>
          <w:numId w:val="34"/>
        </w:numPr>
        <w:spacing w:after="240" w:line="360" w:lineRule="auto"/>
        <w:jc w:val="both"/>
        <w:rPr>
          <w:rFonts w:ascii="AGaramond" w:hAnsi="AGaramond" w:cs="Times New Roman"/>
          <w:b/>
        </w:rPr>
      </w:pPr>
      <w:r w:rsidRPr="00083019">
        <w:rPr>
          <w:rFonts w:ascii="AGaramond" w:hAnsi="AGaramond" w:cs="Times New Roman"/>
          <w:b/>
        </w:rPr>
        <w:t>FUENTES DE INFORMACIÓN DEMOGRÁFICA Y ASPECTOS METODOLÓGICOS</w:t>
      </w:r>
      <w:bookmarkStart w:id="4" w:name="_Toc456588184"/>
      <w:r w:rsidRPr="00083019">
        <w:rPr>
          <w:rFonts w:ascii="AGaramond" w:hAnsi="AGaramond" w:cs="Times New Roman"/>
          <w:b/>
        </w:rPr>
        <w:t xml:space="preserve"> PARA EL ANÁLISIS DE LA MIGRACIÓN</w:t>
      </w:r>
      <w:bookmarkEnd w:id="4"/>
      <w:r w:rsidRPr="00083019">
        <w:rPr>
          <w:rFonts w:ascii="AGaramond" w:hAnsi="AGaramond" w:cs="Times New Roman"/>
          <w:b/>
        </w:rPr>
        <w:t xml:space="preserve"> INTERNA</w:t>
      </w:r>
    </w:p>
    <w:p w14:paraId="74B6779D" w14:textId="676EC5F4" w:rsidR="005F4183" w:rsidRPr="00083019" w:rsidRDefault="005F4183" w:rsidP="009E028A">
      <w:pPr>
        <w:pStyle w:val="Textoindependiente"/>
        <w:spacing w:after="240" w:line="360" w:lineRule="auto"/>
        <w:ind w:firstLine="284"/>
        <w:jc w:val="both"/>
        <w:rPr>
          <w:rFonts w:ascii="AGaramond" w:eastAsia="Times New Roman" w:hAnsi="AGaramond"/>
          <w:sz w:val="22"/>
          <w:szCs w:val="22"/>
        </w:rPr>
      </w:pPr>
      <w:r w:rsidRPr="00083019">
        <w:rPr>
          <w:rFonts w:ascii="AGaramond" w:eastAsia="Times New Roman" w:hAnsi="AGaramond"/>
          <w:sz w:val="22"/>
          <w:szCs w:val="22"/>
        </w:rPr>
        <w:t>Las fuentes de información que se han utilizado para el análisis de la migración interna hacia y desde Playa del Carmen, México, han sido los censos de población y vivienda correspondientes a 2000 y 2010, junto a la Encuesta Intercensal 2015. Compete a instituciones del Estado, generalmente del nivel central o federal, la recolección y sistematización de la información demográfica. En el caso de México, ha sido el Instituto Nacional de Estadística y Geografía (INEGI) el principal generador de información demográfica oficial, la cual usualmente provienen de las declaraciones de los ciudadanos sobre los eventos que han experimentado. Este ha sido el caso de las tres fuentes de información consideradas.</w:t>
      </w:r>
    </w:p>
    <w:p w14:paraId="1717B594" w14:textId="1FAD1BB3" w:rsidR="005F4183" w:rsidRPr="00083019" w:rsidRDefault="005F4183" w:rsidP="009E028A">
      <w:pPr>
        <w:pStyle w:val="Textoindependiente"/>
        <w:spacing w:after="240" w:line="360" w:lineRule="auto"/>
        <w:ind w:firstLine="284"/>
        <w:jc w:val="both"/>
        <w:rPr>
          <w:rFonts w:ascii="AGaramond" w:eastAsia="Times New Roman" w:hAnsi="AGaramond"/>
          <w:sz w:val="22"/>
          <w:szCs w:val="22"/>
        </w:rPr>
      </w:pPr>
      <w:r w:rsidRPr="00083019">
        <w:rPr>
          <w:rFonts w:ascii="AGaramond" w:eastAsia="Times New Roman" w:hAnsi="AGaramond"/>
          <w:sz w:val="22"/>
          <w:szCs w:val="22"/>
        </w:rPr>
        <w:t>En el año 2000 fue levantado entre el 7 y el 18 de febrero, el XII Censo General de Población y Vivienda de los Estados Unidos Mexicanos</w:t>
      </w:r>
      <w:r w:rsidRPr="00083019">
        <w:rPr>
          <w:rStyle w:val="Refdenotaalpie"/>
          <w:rFonts w:ascii="AGaramond" w:eastAsia="Times New Roman" w:hAnsi="AGaramond"/>
          <w:sz w:val="22"/>
          <w:szCs w:val="22"/>
        </w:rPr>
        <w:footnoteReference w:id="1"/>
      </w:r>
      <w:r w:rsidRPr="00083019">
        <w:rPr>
          <w:rFonts w:ascii="AGaramond" w:eastAsia="Times New Roman" w:hAnsi="AGaramond"/>
          <w:sz w:val="22"/>
          <w:szCs w:val="22"/>
        </w:rPr>
        <w:t>, el cual ha tenido como propósito fundamental: “Generar la información demográfica, socioeconómica y cartográfica necesaria para el país, con la máxima desagregación geográfica posible; enriquecer la serie histórica de datos estadísticos, manteniendo en lo posible la comparabilidad nacional e internacional, y permitir la construcción de marcos de muestreo para realizar encuestas” (INEGI, 2003). Las unidades censales estudiadas han sido los residentes habituales, los hogares y las viviendas; mientras que, como fecha oficial de referencia se ha establecido 14 de febrero de 2000.</w:t>
      </w:r>
    </w:p>
    <w:p w14:paraId="39FBE250" w14:textId="723E87EE" w:rsidR="005F4183" w:rsidRPr="00083019" w:rsidRDefault="005F4183" w:rsidP="009E028A">
      <w:pPr>
        <w:pStyle w:val="Textoindependiente"/>
        <w:spacing w:after="240" w:line="360" w:lineRule="auto"/>
        <w:ind w:firstLine="284"/>
        <w:jc w:val="both"/>
        <w:rPr>
          <w:rFonts w:ascii="AGaramond" w:eastAsia="Times New Roman" w:hAnsi="AGaramond"/>
          <w:sz w:val="22"/>
          <w:szCs w:val="22"/>
        </w:rPr>
      </w:pPr>
      <w:r w:rsidRPr="00083019">
        <w:rPr>
          <w:rFonts w:ascii="AGaramond" w:eastAsia="Times New Roman" w:hAnsi="AGaramond"/>
          <w:sz w:val="22"/>
          <w:szCs w:val="22"/>
        </w:rPr>
        <w:lastRenderedPageBreak/>
        <w:t>Diez años después, del 31 de mayo al 25 de junio de 2010, fue realizado el XIII Censo General de Población y Vivienda de México</w:t>
      </w:r>
      <w:r w:rsidRPr="00083019">
        <w:rPr>
          <w:rStyle w:val="Refdenotaalpie"/>
          <w:rFonts w:ascii="AGaramond" w:eastAsia="Times New Roman" w:hAnsi="AGaramond"/>
          <w:sz w:val="22"/>
          <w:szCs w:val="22"/>
        </w:rPr>
        <w:footnoteReference w:id="2"/>
      </w:r>
      <w:r w:rsidRPr="00083019">
        <w:rPr>
          <w:rFonts w:ascii="AGaramond" w:eastAsia="Times New Roman" w:hAnsi="AGaramond"/>
          <w:sz w:val="22"/>
          <w:szCs w:val="22"/>
        </w:rPr>
        <w:t>, la fecha de referencia oficial de este estudio censal de la población mexicana ha sido el 12 de junio de 2010. Este censo de población al igual que el correspondiente al año 2000 han sido empadronamientos de derecho. Las unidades censales bajo estudio fueron los residentes habituales y las viviendas. Los objetivos generales en esta operación censal han sido: (i) contar a la población residente del país, actualizar la información sobre sus principales características demográficas y socioeconómicas, y ubicar su distribución en el territorio nacional; así como enumerar a las viviendas y captar datos sobre sus características básicas; y también, (</w:t>
      </w:r>
      <w:proofErr w:type="spellStart"/>
      <w:r w:rsidRPr="00083019">
        <w:rPr>
          <w:rFonts w:ascii="AGaramond" w:eastAsia="Times New Roman" w:hAnsi="AGaramond"/>
          <w:sz w:val="22"/>
          <w:szCs w:val="22"/>
        </w:rPr>
        <w:t>ii</w:t>
      </w:r>
      <w:proofErr w:type="spellEnd"/>
      <w:r w:rsidRPr="00083019">
        <w:rPr>
          <w:rFonts w:ascii="AGaramond" w:eastAsia="Times New Roman" w:hAnsi="AGaramond"/>
          <w:sz w:val="22"/>
          <w:szCs w:val="22"/>
        </w:rPr>
        <w:t>) enriquecer la serie histórica de información demográfica y socioeconómica, manteniendo en general la comparabilidad con los censos efectuados en México y en otros países; generar insumos para la elaboración de las proyecciones de población, y aportar información para la construcción de los marcos de muestreo sobre los cuales se levantan las encuestas (INEGI, 2011).</w:t>
      </w:r>
    </w:p>
    <w:p w14:paraId="0F25ECA2" w14:textId="5D07308E" w:rsidR="005F4183" w:rsidRPr="00083019" w:rsidRDefault="005F4183" w:rsidP="009E028A">
      <w:pPr>
        <w:pStyle w:val="Textoindependiente"/>
        <w:spacing w:after="240" w:line="360" w:lineRule="auto"/>
        <w:ind w:firstLine="284"/>
        <w:jc w:val="both"/>
        <w:rPr>
          <w:rFonts w:ascii="AGaramond" w:eastAsia="Times New Roman" w:hAnsi="AGaramond"/>
          <w:sz w:val="22"/>
          <w:szCs w:val="22"/>
        </w:rPr>
      </w:pPr>
      <w:r w:rsidRPr="00083019">
        <w:rPr>
          <w:rFonts w:ascii="AGaramond" w:eastAsia="Times New Roman" w:hAnsi="AGaramond"/>
          <w:sz w:val="22"/>
          <w:szCs w:val="22"/>
        </w:rPr>
        <w:t>Luego de cinco años, entre el 2 y 27 de marzo de 2015, fue aplicado el cuestionario de la Encuesta Intercensal 2015,</w:t>
      </w:r>
      <w:r w:rsidRPr="00083019">
        <w:rPr>
          <w:rStyle w:val="Refdenotaalpie"/>
          <w:rFonts w:ascii="AGaramond" w:eastAsia="Times New Roman" w:hAnsi="AGaramond"/>
          <w:sz w:val="22"/>
          <w:szCs w:val="22"/>
        </w:rPr>
        <w:footnoteReference w:id="3"/>
      </w:r>
      <w:r w:rsidRPr="00083019">
        <w:rPr>
          <w:rFonts w:ascii="AGaramond" w:eastAsia="Times New Roman" w:hAnsi="AGaramond"/>
          <w:sz w:val="22"/>
          <w:szCs w:val="22"/>
        </w:rPr>
        <w:t xml:space="preserve"> cuya fecha de referencia oficial se ha establecido el 15 de marzo de ese año. Los residentes habituales del territorio nacional y las viviendas particulares habitadas han constituido la población objetivo y las unidades estudiadas por </w:t>
      </w:r>
      <w:r w:rsidR="009A2153">
        <w:rPr>
          <w:rFonts w:ascii="AGaramond" w:eastAsia="Times New Roman" w:hAnsi="AGaramond"/>
          <w:sz w:val="22"/>
          <w:szCs w:val="22"/>
        </w:rPr>
        <w:t>e</w:t>
      </w:r>
      <w:r w:rsidRPr="00083019">
        <w:rPr>
          <w:rFonts w:ascii="AGaramond" w:eastAsia="Times New Roman" w:hAnsi="AGaramond"/>
          <w:sz w:val="22"/>
          <w:szCs w:val="22"/>
        </w:rPr>
        <w:t xml:space="preserve">sta fuente de información demográfica. Además, sus propósitos fueron: (i) generar información estadística actualizada que proporcione estimaciones con calidad sobre el volumen, la composición y la distribución de la población y de las viviendas del territorio nacional, que mantenga la comparabilidad histórica con los censos y encuestas nacionales, así como con indicadores de otros países; </w:t>
      </w:r>
      <w:r w:rsidR="00CE7CEA" w:rsidRPr="00083019">
        <w:rPr>
          <w:rFonts w:ascii="AGaramond" w:eastAsia="Times New Roman" w:hAnsi="AGaramond"/>
          <w:sz w:val="22"/>
          <w:szCs w:val="22"/>
        </w:rPr>
        <w:t>y,</w:t>
      </w:r>
      <w:r w:rsidRPr="00083019">
        <w:rPr>
          <w:rFonts w:ascii="AGaramond" w:eastAsia="Times New Roman" w:hAnsi="AGaramond"/>
          <w:sz w:val="22"/>
          <w:szCs w:val="22"/>
        </w:rPr>
        <w:t xml:space="preserve"> además, (</w:t>
      </w:r>
      <w:proofErr w:type="spellStart"/>
      <w:r w:rsidRPr="00083019">
        <w:rPr>
          <w:rFonts w:ascii="AGaramond" w:eastAsia="Times New Roman" w:hAnsi="AGaramond"/>
          <w:sz w:val="22"/>
          <w:szCs w:val="22"/>
        </w:rPr>
        <w:t>ii</w:t>
      </w:r>
      <w:proofErr w:type="spellEnd"/>
      <w:r w:rsidRPr="00083019">
        <w:rPr>
          <w:rFonts w:ascii="AGaramond" w:eastAsia="Times New Roman" w:hAnsi="AGaramond"/>
          <w:sz w:val="22"/>
          <w:szCs w:val="22"/>
        </w:rPr>
        <w:t>) obtener estimadores de proporciones, tasas y promedios para las variables estudiadas (INEGI, 2018).</w:t>
      </w:r>
    </w:p>
    <w:p w14:paraId="3CF3C6F6" w14:textId="77777777" w:rsidR="005F4183" w:rsidRPr="00083019" w:rsidRDefault="005F4183" w:rsidP="009E028A">
      <w:pPr>
        <w:pStyle w:val="Normal1"/>
        <w:spacing w:after="240" w:line="360" w:lineRule="auto"/>
        <w:ind w:left="0" w:firstLine="284"/>
        <w:rPr>
          <w:rFonts w:ascii="AGaramond" w:hAnsi="AGaramond"/>
          <w:sz w:val="22"/>
          <w:szCs w:val="22"/>
          <w:lang w:val="es-MX" w:eastAsia="es-MX"/>
        </w:rPr>
      </w:pPr>
      <w:r w:rsidRPr="00083019">
        <w:rPr>
          <w:rFonts w:ascii="AGaramond" w:hAnsi="AGaramond"/>
          <w:sz w:val="22"/>
          <w:szCs w:val="22"/>
        </w:rPr>
        <w:t xml:space="preserve">Las tres fuentes de información primaria se han seleccionado porque han incluido las variables necesarias para la construcción de los indicadores de la investigación. Entre 1995 y 2015, además de las fuentes de información demográfica escogidas, también se han levantado en México dos conteos de población y vivienda, el primero realizado en el país en 1995 y el segundo en 2005. Pero estos dos conteos de población han presentado limitaciones para su uso en este trabajo. Concretamente, en el caso del I Conteo de Población y Vivienda de 1995, no se levantaron las variables para el estudio de la migración, la fuente no fue considerada por ello, también, porque 5 años antes el municipio Solidaridad no se había creado, y esto ha impedido hacer la clasificación según condición migratoria de la población de Playa del Carmen. En el caso del II Conteo de Población y Vivienda de 2005, la información levantada sobre el lugar de residencia 5 años antes se ha realizado a nivel de entidades federativas y países, por tanto, no se cuenta con </w:t>
      </w:r>
      <w:r w:rsidRPr="00083019">
        <w:rPr>
          <w:rFonts w:ascii="AGaramond" w:hAnsi="AGaramond"/>
          <w:sz w:val="22"/>
          <w:szCs w:val="22"/>
        </w:rPr>
        <w:lastRenderedPageBreak/>
        <w:t xml:space="preserve">información desagregada a nivel de municipio o delegación, lo cual también ha imposibilitado hacer la clasificación </w:t>
      </w:r>
      <w:r w:rsidRPr="00083019">
        <w:rPr>
          <w:rFonts w:ascii="AGaramond" w:hAnsi="AGaramond"/>
          <w:sz w:val="22"/>
          <w:szCs w:val="22"/>
          <w:lang w:val="es-MX" w:eastAsia="es-MX"/>
        </w:rPr>
        <w:t>de la población</w:t>
      </w:r>
      <w:r w:rsidRPr="00083019">
        <w:rPr>
          <w:rFonts w:ascii="AGaramond" w:hAnsi="AGaramond"/>
          <w:sz w:val="22"/>
          <w:szCs w:val="22"/>
        </w:rPr>
        <w:t xml:space="preserve"> según condición migratoria</w:t>
      </w:r>
      <w:r w:rsidRPr="00083019">
        <w:rPr>
          <w:rFonts w:ascii="AGaramond" w:hAnsi="AGaramond"/>
          <w:sz w:val="22"/>
          <w:szCs w:val="22"/>
          <w:lang w:val="es-MX" w:eastAsia="es-MX"/>
        </w:rPr>
        <w:t>.</w:t>
      </w:r>
    </w:p>
    <w:p w14:paraId="6F24A979" w14:textId="45E93E20" w:rsidR="005F4183" w:rsidRPr="00083019" w:rsidRDefault="005F4183" w:rsidP="00A976DB">
      <w:pPr>
        <w:pStyle w:val="Normal1"/>
        <w:spacing w:after="240" w:line="360" w:lineRule="auto"/>
        <w:ind w:left="0" w:firstLine="284"/>
        <w:rPr>
          <w:rFonts w:ascii="AGaramond" w:hAnsi="AGaramond"/>
          <w:sz w:val="22"/>
          <w:szCs w:val="22"/>
          <w:lang w:val="es-MX" w:eastAsia="es-MX"/>
        </w:rPr>
      </w:pPr>
      <w:r w:rsidRPr="00083019">
        <w:rPr>
          <w:rFonts w:ascii="AGaramond" w:hAnsi="AGaramond"/>
          <w:sz w:val="22"/>
          <w:szCs w:val="22"/>
          <w:lang w:val="es-MX" w:eastAsia="es-MX"/>
        </w:rPr>
        <w:t xml:space="preserve"> Entre las fuentes de información demográfica que han resultado de utilidad para el estudio de la movilidad territorial de la población</w:t>
      </w:r>
      <w:r w:rsidR="000C1924" w:rsidRPr="00083019">
        <w:rPr>
          <w:rFonts w:ascii="AGaramond" w:hAnsi="AGaramond"/>
          <w:sz w:val="22"/>
          <w:szCs w:val="22"/>
          <w:lang w:val="es-MX" w:eastAsia="es-MX"/>
        </w:rPr>
        <w:t>,</w:t>
      </w:r>
      <w:r w:rsidRPr="00083019">
        <w:rPr>
          <w:rFonts w:ascii="AGaramond" w:hAnsi="AGaramond"/>
          <w:sz w:val="22"/>
          <w:szCs w:val="22"/>
          <w:lang w:val="es-MX" w:eastAsia="es-MX"/>
        </w:rPr>
        <w:t xml:space="preserve"> han destacado los censos de población. Porque un censo ha constituido una operación estadística para enumerar la totalidad de las unidades consideradas: personas, hogares, viviendas, entre otras. Precisamente por ser una fuente de información de cobertura universal, el censo ha devenido en la mejor fuente que ha recogido información sobre la migración de la población, pues</w:t>
      </w:r>
      <w:r w:rsidR="000C1924" w:rsidRPr="00083019">
        <w:rPr>
          <w:rFonts w:ascii="AGaramond" w:hAnsi="AGaramond"/>
          <w:sz w:val="22"/>
          <w:szCs w:val="22"/>
          <w:lang w:val="es-MX" w:eastAsia="es-MX"/>
        </w:rPr>
        <w:t>,</w:t>
      </w:r>
      <w:r w:rsidRPr="00083019">
        <w:rPr>
          <w:rFonts w:ascii="AGaramond" w:hAnsi="AGaramond"/>
          <w:sz w:val="22"/>
          <w:szCs w:val="22"/>
          <w:lang w:val="es-MX" w:eastAsia="es-MX"/>
        </w:rPr>
        <w:t xml:space="preserve"> además de incluir a toda la población, también ha de incluir todo el territorio de un país. Así, las preguntas para captar la migración son frecuentes en los censos de población “aunque estas varían según los países” (</w:t>
      </w:r>
      <w:proofErr w:type="spellStart"/>
      <w:r w:rsidRPr="00083019">
        <w:rPr>
          <w:rFonts w:ascii="AGaramond" w:hAnsi="AGaramond"/>
          <w:sz w:val="22"/>
          <w:szCs w:val="22"/>
          <w:lang w:val="es-MX" w:eastAsia="es-MX"/>
        </w:rPr>
        <w:t>Welti</w:t>
      </w:r>
      <w:proofErr w:type="spellEnd"/>
      <w:r w:rsidRPr="00083019">
        <w:rPr>
          <w:rFonts w:ascii="AGaramond" w:hAnsi="AGaramond"/>
          <w:sz w:val="22"/>
          <w:szCs w:val="22"/>
          <w:lang w:val="es-MX" w:eastAsia="es-MX"/>
        </w:rPr>
        <w:t xml:space="preserve"> </w:t>
      </w:r>
      <w:r w:rsidR="000C1924" w:rsidRPr="00083019">
        <w:rPr>
          <w:rFonts w:ascii="AGaramond" w:hAnsi="AGaramond"/>
          <w:i/>
          <w:iCs/>
          <w:sz w:val="22"/>
          <w:szCs w:val="22"/>
          <w:lang w:val="es-MX" w:eastAsia="es-MX"/>
        </w:rPr>
        <w:t>et al.</w:t>
      </w:r>
      <w:r w:rsidRPr="00083019">
        <w:rPr>
          <w:rFonts w:ascii="AGaramond" w:hAnsi="AGaramond"/>
          <w:sz w:val="22"/>
          <w:szCs w:val="22"/>
          <w:lang w:val="es-MX" w:eastAsia="es-MX"/>
        </w:rPr>
        <w:t>, 1997</w:t>
      </w:r>
      <w:r w:rsidR="000C1924" w:rsidRPr="00083019">
        <w:rPr>
          <w:rFonts w:ascii="AGaramond" w:hAnsi="AGaramond"/>
          <w:sz w:val="22"/>
          <w:szCs w:val="22"/>
          <w:lang w:val="es-MX" w:eastAsia="es-MX"/>
        </w:rPr>
        <w:t>, p.</w:t>
      </w:r>
      <w:r w:rsidRPr="00083019">
        <w:rPr>
          <w:rFonts w:ascii="AGaramond" w:hAnsi="AGaramond"/>
          <w:sz w:val="22"/>
          <w:szCs w:val="22"/>
          <w:lang w:val="es-MX" w:eastAsia="es-MX"/>
        </w:rPr>
        <w:t xml:space="preserve"> 42). Sin embargo, los censos de población como fuentes para el estudio de la movilidad espacial de la población han presentado limitaciones como, por ejemplo: (i) no permiten la reconstrucción de historias de migrantes; y (</w:t>
      </w:r>
      <w:proofErr w:type="spellStart"/>
      <w:r w:rsidRPr="00083019">
        <w:rPr>
          <w:rFonts w:ascii="AGaramond" w:hAnsi="AGaramond"/>
          <w:sz w:val="22"/>
          <w:szCs w:val="22"/>
          <w:lang w:val="es-MX" w:eastAsia="es-MX"/>
        </w:rPr>
        <w:t>ii</w:t>
      </w:r>
      <w:proofErr w:type="spellEnd"/>
      <w:r w:rsidRPr="00083019">
        <w:rPr>
          <w:rFonts w:ascii="AGaramond" w:hAnsi="AGaramond"/>
          <w:sz w:val="22"/>
          <w:szCs w:val="22"/>
          <w:lang w:val="es-MX" w:eastAsia="es-MX"/>
        </w:rPr>
        <w:t>) tampoco admiten profundizar en factores que impulsan la movilidad de la población</w:t>
      </w:r>
      <w:r w:rsidR="004C5979">
        <w:rPr>
          <w:rFonts w:ascii="AGaramond" w:hAnsi="AGaramond"/>
          <w:sz w:val="22"/>
          <w:szCs w:val="22"/>
          <w:lang w:val="es-MX" w:eastAsia="es-MX"/>
        </w:rPr>
        <w:t>;</w:t>
      </w:r>
      <w:r w:rsidRPr="00083019">
        <w:rPr>
          <w:rFonts w:ascii="AGaramond" w:hAnsi="AGaramond"/>
          <w:sz w:val="22"/>
          <w:szCs w:val="22"/>
          <w:lang w:val="es-MX" w:eastAsia="es-MX"/>
        </w:rPr>
        <w:t xml:space="preserve"> es decir, los determinantes de los movimientos migratorios.</w:t>
      </w:r>
    </w:p>
    <w:p w14:paraId="6C868C8D" w14:textId="12CBD5E4" w:rsidR="005F4183" w:rsidRPr="00083019" w:rsidRDefault="005F4183" w:rsidP="00A976DB">
      <w:pPr>
        <w:pStyle w:val="Textoindependiente"/>
        <w:spacing w:after="240" w:line="360" w:lineRule="auto"/>
        <w:ind w:firstLine="284"/>
        <w:jc w:val="both"/>
        <w:rPr>
          <w:rFonts w:ascii="AGaramond" w:eastAsia="Times New Roman" w:hAnsi="AGaramond"/>
          <w:sz w:val="22"/>
          <w:szCs w:val="22"/>
        </w:rPr>
      </w:pPr>
      <w:r w:rsidRPr="00083019">
        <w:rPr>
          <w:rFonts w:ascii="AGaramond" w:eastAsia="Times New Roman" w:hAnsi="AGaramond"/>
          <w:sz w:val="22"/>
          <w:szCs w:val="22"/>
        </w:rPr>
        <w:t xml:space="preserve">Además, los censos de población han constituido la principal fuente de información demográfica para el estudio de la migración sobre las encuestas por muestreo porque “es común que una muestra sea insuficiente para dar cuenta de todos los posibles orígenes de los desplazamientos” </w:t>
      </w:r>
      <w:r w:rsidRPr="00083019">
        <w:rPr>
          <w:rFonts w:ascii="AGaramond" w:eastAsia="Times New Roman" w:hAnsi="AGaramond"/>
          <w:noProof/>
          <w:sz w:val="22"/>
          <w:szCs w:val="22"/>
        </w:rPr>
        <w:t>(Partida, 2015</w:t>
      </w:r>
      <w:r w:rsidR="000C1924" w:rsidRPr="00083019">
        <w:rPr>
          <w:rFonts w:ascii="AGaramond" w:eastAsia="Times New Roman" w:hAnsi="AGaramond"/>
          <w:noProof/>
          <w:sz w:val="22"/>
          <w:szCs w:val="22"/>
        </w:rPr>
        <w:t>, p.</w:t>
      </w:r>
      <w:r w:rsidRPr="00083019">
        <w:rPr>
          <w:rFonts w:ascii="AGaramond" w:eastAsia="Times New Roman" w:hAnsi="AGaramond"/>
          <w:noProof/>
          <w:sz w:val="22"/>
          <w:szCs w:val="22"/>
        </w:rPr>
        <w:t xml:space="preserve"> 57)</w:t>
      </w:r>
      <w:r w:rsidRPr="00083019">
        <w:rPr>
          <w:rFonts w:ascii="AGaramond" w:eastAsia="Times New Roman" w:hAnsi="AGaramond"/>
          <w:sz w:val="22"/>
          <w:szCs w:val="22"/>
        </w:rPr>
        <w:t xml:space="preserve">. Así, han sido pocas las experiencias de las encuestas por muestreo dedicadas especialmente a estudiar la migración a nivel nacional. Ello se ha debido, principalmente, a las “dificultades metodológicas que involucra un diseño muestral adecuado” </w:t>
      </w:r>
      <w:r w:rsidRPr="00083019">
        <w:rPr>
          <w:rFonts w:ascii="AGaramond" w:eastAsia="Times New Roman" w:hAnsi="AGaramond"/>
          <w:noProof/>
          <w:sz w:val="22"/>
          <w:szCs w:val="22"/>
        </w:rPr>
        <w:t xml:space="preserve">(Welti </w:t>
      </w:r>
      <w:r w:rsidR="000C1924" w:rsidRPr="00083019">
        <w:rPr>
          <w:rFonts w:ascii="AGaramond" w:eastAsia="Times New Roman" w:hAnsi="AGaramond"/>
          <w:i/>
          <w:iCs/>
          <w:noProof/>
          <w:sz w:val="22"/>
          <w:szCs w:val="22"/>
        </w:rPr>
        <w:t>et al.</w:t>
      </w:r>
      <w:r w:rsidRPr="00083019">
        <w:rPr>
          <w:rFonts w:ascii="AGaramond" w:eastAsia="Times New Roman" w:hAnsi="AGaramond"/>
          <w:noProof/>
          <w:sz w:val="22"/>
          <w:szCs w:val="22"/>
        </w:rPr>
        <w:t>, 1997</w:t>
      </w:r>
      <w:r w:rsidR="000C1924" w:rsidRPr="00083019">
        <w:rPr>
          <w:rFonts w:ascii="AGaramond" w:eastAsia="Times New Roman" w:hAnsi="AGaramond"/>
          <w:noProof/>
          <w:sz w:val="22"/>
          <w:szCs w:val="22"/>
        </w:rPr>
        <w:t>,</w:t>
      </w:r>
      <w:r w:rsidRPr="00083019">
        <w:rPr>
          <w:rFonts w:ascii="AGaramond" w:eastAsia="Times New Roman" w:hAnsi="AGaramond"/>
          <w:noProof/>
          <w:sz w:val="22"/>
          <w:szCs w:val="22"/>
        </w:rPr>
        <w:t xml:space="preserve"> </w:t>
      </w:r>
      <w:r w:rsidR="000C1924" w:rsidRPr="00083019">
        <w:rPr>
          <w:rFonts w:ascii="AGaramond" w:eastAsia="Times New Roman" w:hAnsi="AGaramond"/>
          <w:noProof/>
          <w:sz w:val="22"/>
          <w:szCs w:val="22"/>
        </w:rPr>
        <w:t xml:space="preserve">p. </w:t>
      </w:r>
      <w:r w:rsidRPr="00083019">
        <w:rPr>
          <w:rFonts w:ascii="AGaramond" w:eastAsia="Times New Roman" w:hAnsi="AGaramond"/>
          <w:noProof/>
          <w:sz w:val="22"/>
          <w:szCs w:val="22"/>
        </w:rPr>
        <w:t>130)</w:t>
      </w:r>
      <w:r w:rsidRPr="00083019">
        <w:rPr>
          <w:rFonts w:ascii="AGaramond" w:eastAsia="Times New Roman" w:hAnsi="AGaramond"/>
          <w:sz w:val="22"/>
          <w:szCs w:val="22"/>
        </w:rPr>
        <w:t xml:space="preserve"> que permita la investigación simultánea de los contextos de origen y de recepción de las migraciones.</w:t>
      </w:r>
    </w:p>
    <w:p w14:paraId="00CAF856" w14:textId="47F7C496" w:rsidR="005F4183" w:rsidRPr="00083019" w:rsidRDefault="005F4183" w:rsidP="00A976DB">
      <w:pPr>
        <w:pStyle w:val="Textoindependiente"/>
        <w:spacing w:after="240" w:line="360" w:lineRule="auto"/>
        <w:ind w:firstLine="284"/>
        <w:jc w:val="both"/>
        <w:rPr>
          <w:rFonts w:ascii="AGaramond" w:eastAsia="Times New Roman" w:hAnsi="AGaramond"/>
          <w:sz w:val="22"/>
          <w:szCs w:val="22"/>
        </w:rPr>
      </w:pPr>
      <w:r w:rsidRPr="00083019">
        <w:rPr>
          <w:rFonts w:ascii="AGaramond" w:eastAsia="Times New Roman" w:hAnsi="AGaramond"/>
          <w:sz w:val="22"/>
          <w:szCs w:val="22"/>
        </w:rPr>
        <w:t>Una de las formas a través de las cuales los censos de población han captado la migración ha sido mediante la pregunta sobre el lugar de nacimiento de las personas. Desde esa perspectiva, se ha considerado migrante a todo individuo que reside y ha sido empadronado en un lugar diferente al de nacimiento. En ese caso, la migración sería absoluta porque abarca todo el tiempo vivido por el individuo. Información de este tipo se ha incluido en los trece censos de población realizados en México entre 1895 y 2010, y también en la Encuesta Intercensal de 2015. Sin embargo, esta manera de estudiar la migración ha presentado algunas limitaciones, verbigracia: (i) una persona que viva en el mismo lugar donde nació, puede haber realizado varios cambios de residencia y haber retornado al lugar de nacimiento, por tanto, esas migraciones se estarían excluyendo del estudio; (</w:t>
      </w:r>
      <w:proofErr w:type="spellStart"/>
      <w:r w:rsidRPr="00083019">
        <w:rPr>
          <w:rFonts w:ascii="AGaramond" w:eastAsia="Times New Roman" w:hAnsi="AGaramond"/>
          <w:sz w:val="22"/>
          <w:szCs w:val="22"/>
        </w:rPr>
        <w:t>ii</w:t>
      </w:r>
      <w:proofErr w:type="spellEnd"/>
      <w:r w:rsidRPr="00083019">
        <w:rPr>
          <w:rFonts w:ascii="AGaramond" w:eastAsia="Times New Roman" w:hAnsi="AGaramond"/>
          <w:sz w:val="22"/>
          <w:szCs w:val="22"/>
        </w:rPr>
        <w:t>) un migrante puede haber realizado varios cambios de residencias entre su lugar de nacimiento y el último de residencia, y esas migraciones también se estarían excluyendo del análisis; y finalmente, (</w:t>
      </w:r>
      <w:proofErr w:type="spellStart"/>
      <w:r w:rsidRPr="00083019">
        <w:rPr>
          <w:rFonts w:ascii="AGaramond" w:eastAsia="Times New Roman" w:hAnsi="AGaramond"/>
          <w:sz w:val="22"/>
          <w:szCs w:val="22"/>
        </w:rPr>
        <w:t>iii</w:t>
      </w:r>
      <w:proofErr w:type="spellEnd"/>
      <w:r w:rsidRPr="00083019">
        <w:rPr>
          <w:rFonts w:ascii="AGaramond" w:eastAsia="Times New Roman" w:hAnsi="AGaramond"/>
          <w:sz w:val="22"/>
          <w:szCs w:val="22"/>
        </w:rPr>
        <w:t xml:space="preserve">) otra de las limitaciones del análisis de la migración a través de la pregunta sobre el lugar de nacimiento ha sido la imposibilidad de ubicar el fenómeno migratorio en el tiempo </w:t>
      </w:r>
      <w:r w:rsidRPr="00083019">
        <w:rPr>
          <w:rFonts w:ascii="AGaramond" w:eastAsia="Times New Roman" w:hAnsi="AGaramond"/>
          <w:noProof/>
          <w:sz w:val="22"/>
          <w:szCs w:val="22"/>
        </w:rPr>
        <w:t>(Partida, 2014</w:t>
      </w:r>
      <w:r w:rsidR="000C1924" w:rsidRPr="00083019">
        <w:rPr>
          <w:rFonts w:ascii="AGaramond" w:eastAsia="Times New Roman" w:hAnsi="AGaramond"/>
          <w:noProof/>
          <w:sz w:val="22"/>
          <w:szCs w:val="22"/>
        </w:rPr>
        <w:t>, p.</w:t>
      </w:r>
      <w:r w:rsidRPr="00083019">
        <w:rPr>
          <w:rFonts w:ascii="AGaramond" w:eastAsia="Times New Roman" w:hAnsi="AGaramond"/>
          <w:noProof/>
          <w:sz w:val="22"/>
          <w:szCs w:val="22"/>
        </w:rPr>
        <w:t xml:space="preserve"> 16)</w:t>
      </w:r>
      <w:r w:rsidRPr="00083019">
        <w:rPr>
          <w:rFonts w:ascii="AGaramond" w:eastAsia="Times New Roman" w:hAnsi="AGaramond"/>
          <w:sz w:val="22"/>
          <w:szCs w:val="22"/>
        </w:rPr>
        <w:t>.</w:t>
      </w:r>
    </w:p>
    <w:p w14:paraId="05A59924" w14:textId="6C5A2211" w:rsidR="005F4183" w:rsidRPr="00083019" w:rsidRDefault="005F4183" w:rsidP="00A976DB">
      <w:pPr>
        <w:pStyle w:val="Textonotapie"/>
        <w:spacing w:after="240" w:line="360" w:lineRule="auto"/>
        <w:ind w:firstLine="284"/>
        <w:jc w:val="both"/>
        <w:rPr>
          <w:rFonts w:ascii="AGaramond" w:eastAsia="Times New Roman" w:hAnsi="AGaramond"/>
          <w:sz w:val="22"/>
          <w:szCs w:val="22"/>
        </w:rPr>
      </w:pPr>
      <w:r w:rsidRPr="00083019">
        <w:rPr>
          <w:rFonts w:ascii="AGaramond" w:eastAsia="Times New Roman" w:hAnsi="AGaramond"/>
          <w:sz w:val="22"/>
          <w:szCs w:val="22"/>
        </w:rPr>
        <w:t xml:space="preserve">En términos generales, para superar estas limitaciones, los censos de población han incluido un acápite dedicado al levantamiento de información sobre las migraciones de la población. En el caso de México, los empadronamientos de </w:t>
      </w:r>
      <w:r w:rsidRPr="00083019">
        <w:rPr>
          <w:rFonts w:ascii="AGaramond" w:eastAsia="Times New Roman" w:hAnsi="AGaramond"/>
          <w:sz w:val="22"/>
          <w:szCs w:val="22"/>
        </w:rPr>
        <w:lastRenderedPageBreak/>
        <w:t xml:space="preserve">la población han abordado el fenómeno migratorio a través de la pregunta sobre el lugar de residencia anterior. Esta perspectiva ha resultado más útil, entre otras razones, porque “además de distinguir el origen y el destino de los flujos, se pueden ubicar en el tiempo” </w:t>
      </w:r>
      <w:r w:rsidRPr="00083019">
        <w:rPr>
          <w:rFonts w:ascii="AGaramond" w:eastAsia="Times New Roman" w:hAnsi="AGaramond"/>
          <w:noProof/>
          <w:sz w:val="22"/>
          <w:szCs w:val="22"/>
        </w:rPr>
        <w:t>(Partida, 2014</w:t>
      </w:r>
      <w:r w:rsidR="000C1924" w:rsidRPr="00083019">
        <w:rPr>
          <w:rFonts w:ascii="AGaramond" w:eastAsia="Times New Roman" w:hAnsi="AGaramond"/>
          <w:noProof/>
          <w:sz w:val="22"/>
          <w:szCs w:val="22"/>
        </w:rPr>
        <w:t>, p.</w:t>
      </w:r>
      <w:r w:rsidRPr="00083019">
        <w:rPr>
          <w:rFonts w:ascii="AGaramond" w:eastAsia="Times New Roman" w:hAnsi="AGaramond"/>
          <w:noProof/>
          <w:sz w:val="22"/>
          <w:szCs w:val="22"/>
        </w:rPr>
        <w:t xml:space="preserve"> 16)</w:t>
      </w:r>
      <w:r w:rsidRPr="00083019">
        <w:rPr>
          <w:rFonts w:ascii="AGaramond" w:eastAsia="Times New Roman" w:hAnsi="AGaramond"/>
          <w:sz w:val="22"/>
          <w:szCs w:val="22"/>
        </w:rPr>
        <w:t>. Así, los empadronamientos realizados en los años 1960, 1970 y 1980 se ha preguntado sobre el lugar de residencia anterior y el tiempo que se tenía viviendo en el lugar de residencia al momento del levantamiento. Mientras que, en los tres siguientes censos de la población mexicana, 1990, 2000 y 2010, en el conteo de población de 2005 y en la Encuesta Intercensal 2015</w:t>
      </w:r>
      <w:r w:rsidR="000C1924" w:rsidRPr="00083019">
        <w:rPr>
          <w:rFonts w:ascii="AGaramond" w:eastAsia="Times New Roman" w:hAnsi="AGaramond"/>
          <w:sz w:val="22"/>
          <w:szCs w:val="22"/>
        </w:rPr>
        <w:t>,</w:t>
      </w:r>
      <w:r w:rsidRPr="00083019">
        <w:rPr>
          <w:rFonts w:ascii="AGaramond" w:eastAsia="Times New Roman" w:hAnsi="AGaramond"/>
          <w:sz w:val="22"/>
          <w:szCs w:val="22"/>
        </w:rPr>
        <w:t xml:space="preserve"> se ha preguntado a la población por su lugar de residencia 5 años antes del levantamiento de la información. Por tanto, la última manera de captar la información sobre la migración ha sido la utilizada en las fuentes de información demográfica acá consideradas (véase Ilustración 2).</w:t>
      </w:r>
    </w:p>
    <w:p w14:paraId="4F0C77BF" w14:textId="6893FE66" w:rsidR="005F4183" w:rsidRPr="00083019" w:rsidRDefault="005F4183" w:rsidP="00A976DB">
      <w:pPr>
        <w:pStyle w:val="Textoindependiente"/>
        <w:spacing w:after="240" w:line="360" w:lineRule="auto"/>
        <w:ind w:firstLine="284"/>
        <w:jc w:val="both"/>
        <w:rPr>
          <w:rFonts w:ascii="AGaramond" w:eastAsia="Times New Roman" w:hAnsi="AGaramond"/>
          <w:sz w:val="22"/>
          <w:szCs w:val="22"/>
        </w:rPr>
      </w:pPr>
      <w:r w:rsidRPr="00083019">
        <w:rPr>
          <w:rFonts w:ascii="AGaramond" w:eastAsia="Times New Roman" w:hAnsi="AGaramond"/>
          <w:sz w:val="22"/>
          <w:szCs w:val="22"/>
        </w:rPr>
        <w:t>Así, un migrante reciente para fines de estas líneas ha sido la persona que ha indicado que 5 años atrás (1995, 2005 y 2010) residía en un municipio distinto al del momento del levantamiento de la fuente considerada (2000, 2010 y 2015). Además, para cada lustro bajo estudio (1995-2000, 2005-2010 y 2010-2015) se ha asumido que hubo una única migración o ninguna, de tal forma que el lugar de residencia en 1995, 2005 y 2010</w:t>
      </w:r>
      <w:r w:rsidR="004C5979">
        <w:rPr>
          <w:rFonts w:ascii="AGaramond" w:eastAsia="Times New Roman" w:hAnsi="AGaramond"/>
          <w:sz w:val="22"/>
          <w:szCs w:val="22"/>
        </w:rPr>
        <w:t>;</w:t>
      </w:r>
      <w:r w:rsidRPr="00083019">
        <w:rPr>
          <w:rFonts w:ascii="AGaramond" w:eastAsia="Times New Roman" w:hAnsi="AGaramond"/>
          <w:sz w:val="22"/>
          <w:szCs w:val="22"/>
        </w:rPr>
        <w:t xml:space="preserve"> es decir, 5 años antes, se ha asimilado como el lugar de origen del movimiento migratorio. Más concretamente, un inmigrante interno reciente en Playa del Carmen ha sido la persona que 5 años antes residía en una municipalidad o delegación de México distinta al municipio Solidaridad de Quintana Roo y para el momento del levantamiento del censo o la encuesta eran residentes de esta ciudad. Igualmente, ha sido menester recordar que, para las fuentes de información consideradas en esta investigación, el acápite correspondiente a la migración fue dirigido a personas de 5 años o más, por lo tanto, en el caso de niños menores de esa edad se ha asignado su condición migratoria según el lugar de nacimiento. Quiere decir esto, que los nacidos en un lugar diferente al municipio Solidaridad entre 1995-2000, 2005-2010 y 2010-2015 eran inmigrantes internos recientes en Playa del Carmen en esos lustros.</w:t>
      </w:r>
    </w:p>
    <w:p w14:paraId="14F42725" w14:textId="77777777" w:rsidR="00D526F8" w:rsidRPr="00083019" w:rsidRDefault="00D526F8">
      <w:pPr>
        <w:rPr>
          <w:rFonts w:ascii="AGaramond" w:eastAsia="Calibri" w:hAnsi="AGaramond" w:cs="Times New Roman"/>
          <w:sz w:val="22"/>
          <w:szCs w:val="22"/>
          <w:lang w:val="es-PE"/>
        </w:rPr>
      </w:pPr>
      <w:r w:rsidRPr="00083019">
        <w:rPr>
          <w:rFonts w:ascii="AGaramond" w:eastAsia="Calibri" w:hAnsi="AGaramond" w:cs="Times New Roman"/>
          <w:sz w:val="22"/>
          <w:szCs w:val="22"/>
          <w:lang w:val="es-PE"/>
        </w:rPr>
        <w:br w:type="page"/>
      </w:r>
    </w:p>
    <w:p w14:paraId="553CE4D5" w14:textId="34329E6A" w:rsidR="00D526F8" w:rsidRPr="00083019" w:rsidRDefault="00D526F8" w:rsidP="00356D4E">
      <w:pPr>
        <w:spacing w:line="360" w:lineRule="auto"/>
        <w:jc w:val="center"/>
        <w:rPr>
          <w:rFonts w:ascii="AGaramond" w:eastAsia="Calibri" w:hAnsi="AGaramond" w:cs="Times New Roman"/>
          <w:sz w:val="22"/>
          <w:szCs w:val="22"/>
          <w:lang w:val="es-PE"/>
        </w:rPr>
      </w:pPr>
      <w:r w:rsidRPr="00083019">
        <w:rPr>
          <w:rFonts w:ascii="AGaramond" w:eastAsia="Calibri" w:hAnsi="AGaramond" w:cs="Times New Roman"/>
          <w:sz w:val="22"/>
          <w:szCs w:val="22"/>
          <w:lang w:val="es-PE"/>
        </w:rPr>
        <w:lastRenderedPageBreak/>
        <w:t>Ilustración 2. Preguntas sobre la residencia anterior en los censos de población de 2000 y 2010 y en la Encuesta Intercensal de 2015</w:t>
      </w:r>
    </w:p>
    <w:tbl>
      <w:tblPr>
        <w:tblStyle w:val="Tablaconcuadrcu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6"/>
      </w:tblGrid>
      <w:tr w:rsidR="00D526F8" w:rsidRPr="00083019" w14:paraId="1FAAE922" w14:textId="77777777" w:rsidTr="00356D4E">
        <w:trPr>
          <w:jc w:val="center"/>
        </w:trPr>
        <w:tc>
          <w:tcPr>
            <w:tcW w:w="8544" w:type="dxa"/>
            <w:tcBorders>
              <w:top w:val="single" w:sz="4" w:space="0" w:color="auto"/>
              <w:left w:val="single" w:sz="4" w:space="0" w:color="auto"/>
              <w:right w:val="single" w:sz="4" w:space="0" w:color="auto"/>
            </w:tcBorders>
          </w:tcPr>
          <w:p w14:paraId="1C23ACDA" w14:textId="77777777" w:rsidR="00D526F8" w:rsidRPr="00083019" w:rsidRDefault="00D526F8" w:rsidP="00D526F8">
            <w:pPr>
              <w:jc w:val="center"/>
              <w:rPr>
                <w:rFonts w:ascii="AGaramond" w:eastAsia="Times New Roman" w:hAnsi="AGaramond" w:cs="Times New Roman"/>
                <w:color w:val="auto"/>
                <w:lang w:eastAsia="es-MX"/>
              </w:rPr>
            </w:pPr>
            <w:r w:rsidRPr="00083019">
              <w:rPr>
                <w:rFonts w:ascii="AGaramond" w:eastAsia="Times New Roman" w:hAnsi="AGaramond" w:cs="Times New Roman"/>
                <w:color w:val="auto"/>
                <w:lang w:eastAsia="es-MX"/>
              </w:rPr>
              <w:t>2000</w:t>
            </w:r>
          </w:p>
        </w:tc>
      </w:tr>
      <w:tr w:rsidR="00D526F8" w:rsidRPr="00083019" w14:paraId="7BD50ED1" w14:textId="77777777" w:rsidTr="00356D4E">
        <w:trPr>
          <w:jc w:val="center"/>
        </w:trPr>
        <w:tc>
          <w:tcPr>
            <w:tcW w:w="8544" w:type="dxa"/>
            <w:tcBorders>
              <w:left w:val="single" w:sz="4" w:space="0" w:color="auto"/>
              <w:bottom w:val="single" w:sz="4" w:space="0" w:color="auto"/>
              <w:right w:val="single" w:sz="4" w:space="0" w:color="auto"/>
            </w:tcBorders>
          </w:tcPr>
          <w:p w14:paraId="7ABE9131" w14:textId="77777777" w:rsidR="00D526F8" w:rsidRPr="00083019" w:rsidRDefault="00D526F8" w:rsidP="00D526F8">
            <w:pPr>
              <w:spacing w:line="360" w:lineRule="auto"/>
              <w:jc w:val="center"/>
              <w:rPr>
                <w:rFonts w:ascii="AGaramond" w:eastAsia="Times New Roman" w:hAnsi="AGaramond" w:cs="Times New Roman"/>
                <w:color w:val="auto"/>
                <w:lang w:eastAsia="es-MX"/>
              </w:rPr>
            </w:pPr>
            <w:r w:rsidRPr="00083019">
              <w:rPr>
                <w:rFonts w:ascii="AGaramond" w:eastAsia="Yu Mincho" w:hAnsi="AGaramond" w:cs="Times New Roman"/>
                <w:noProof/>
              </w:rPr>
              <w:drawing>
                <wp:anchor distT="0" distB="0" distL="114300" distR="114300" simplePos="0" relativeHeight="251663360" behindDoc="0" locked="0" layoutInCell="1" allowOverlap="1" wp14:anchorId="51F65ADA" wp14:editId="6522B7CC">
                  <wp:simplePos x="0" y="0"/>
                  <wp:positionH relativeFrom="column">
                    <wp:posOffset>1905</wp:posOffset>
                  </wp:positionH>
                  <wp:positionV relativeFrom="paragraph">
                    <wp:posOffset>0</wp:posOffset>
                  </wp:positionV>
                  <wp:extent cx="5328000" cy="2157036"/>
                  <wp:effectExtent l="0" t="0" r="6350" b="0"/>
                  <wp:wrapSquare wrapText="bothSides"/>
                  <wp:docPr id="59495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7017" t="34221" r="5630" b="9187"/>
                          <a:stretch/>
                        </pic:blipFill>
                        <pic:spPr bwMode="auto">
                          <a:xfrm>
                            <a:off x="0" y="0"/>
                            <a:ext cx="5328000" cy="2157036"/>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tc>
      </w:tr>
      <w:tr w:rsidR="00D526F8" w:rsidRPr="00083019" w14:paraId="03942728" w14:textId="77777777" w:rsidTr="00356D4E">
        <w:trPr>
          <w:jc w:val="center"/>
        </w:trPr>
        <w:tc>
          <w:tcPr>
            <w:tcW w:w="8544" w:type="dxa"/>
            <w:tcBorders>
              <w:top w:val="single" w:sz="4" w:space="0" w:color="auto"/>
              <w:left w:val="single" w:sz="4" w:space="0" w:color="auto"/>
              <w:right w:val="single" w:sz="4" w:space="0" w:color="auto"/>
            </w:tcBorders>
          </w:tcPr>
          <w:p w14:paraId="37A6583E" w14:textId="77777777" w:rsidR="00D526F8" w:rsidRPr="00083019" w:rsidRDefault="00D526F8" w:rsidP="00D526F8">
            <w:pPr>
              <w:jc w:val="center"/>
              <w:rPr>
                <w:rFonts w:ascii="AGaramond" w:eastAsia="Times New Roman" w:hAnsi="AGaramond" w:cs="Times New Roman"/>
                <w:color w:val="auto"/>
                <w:lang w:eastAsia="es-MX"/>
              </w:rPr>
            </w:pPr>
            <w:r w:rsidRPr="00083019">
              <w:rPr>
                <w:rFonts w:ascii="AGaramond" w:eastAsia="Times New Roman" w:hAnsi="AGaramond" w:cs="Times New Roman"/>
                <w:color w:val="auto"/>
                <w:lang w:eastAsia="es-MX"/>
              </w:rPr>
              <w:t>2010</w:t>
            </w:r>
          </w:p>
        </w:tc>
      </w:tr>
      <w:tr w:rsidR="00D526F8" w:rsidRPr="00083019" w14:paraId="000E0B27" w14:textId="77777777" w:rsidTr="00356D4E">
        <w:trPr>
          <w:jc w:val="center"/>
        </w:trPr>
        <w:tc>
          <w:tcPr>
            <w:tcW w:w="8544" w:type="dxa"/>
            <w:tcBorders>
              <w:left w:val="single" w:sz="4" w:space="0" w:color="auto"/>
              <w:bottom w:val="single" w:sz="4" w:space="0" w:color="auto"/>
              <w:right w:val="single" w:sz="4" w:space="0" w:color="auto"/>
            </w:tcBorders>
          </w:tcPr>
          <w:p w14:paraId="65AEDAD5" w14:textId="77777777" w:rsidR="00D526F8" w:rsidRPr="00083019" w:rsidRDefault="00D526F8" w:rsidP="00D526F8">
            <w:pPr>
              <w:spacing w:line="360" w:lineRule="auto"/>
              <w:jc w:val="center"/>
              <w:rPr>
                <w:rFonts w:ascii="AGaramond" w:eastAsia="Times New Roman" w:hAnsi="AGaramond" w:cs="Times New Roman"/>
                <w:color w:val="auto"/>
                <w:lang w:eastAsia="es-MX"/>
              </w:rPr>
            </w:pPr>
            <w:r w:rsidRPr="00083019">
              <w:rPr>
                <w:rFonts w:ascii="AGaramond" w:eastAsia="Yu Mincho" w:hAnsi="AGaramond" w:cs="Times New Roman"/>
                <w:noProof/>
              </w:rPr>
              <w:drawing>
                <wp:anchor distT="0" distB="0" distL="114300" distR="114300" simplePos="0" relativeHeight="251661312" behindDoc="0" locked="0" layoutInCell="1" allowOverlap="1" wp14:anchorId="1FA9A99F" wp14:editId="142C1A77">
                  <wp:simplePos x="0" y="0"/>
                  <wp:positionH relativeFrom="column">
                    <wp:posOffset>1905</wp:posOffset>
                  </wp:positionH>
                  <wp:positionV relativeFrom="paragraph">
                    <wp:posOffset>0</wp:posOffset>
                  </wp:positionV>
                  <wp:extent cx="5328000" cy="2318442"/>
                  <wp:effectExtent l="0" t="0" r="6350" b="5715"/>
                  <wp:wrapSquare wrapText="bothSides"/>
                  <wp:docPr id="5949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341" t="14399" r="3439" b="21392"/>
                          <a:stretch/>
                        </pic:blipFill>
                        <pic:spPr bwMode="auto">
                          <a:xfrm>
                            <a:off x="0" y="0"/>
                            <a:ext cx="5328000" cy="2318442"/>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tc>
      </w:tr>
      <w:tr w:rsidR="00D526F8" w:rsidRPr="00083019" w14:paraId="504206C2" w14:textId="77777777" w:rsidTr="00356D4E">
        <w:trPr>
          <w:jc w:val="center"/>
        </w:trPr>
        <w:tc>
          <w:tcPr>
            <w:tcW w:w="8544" w:type="dxa"/>
            <w:tcBorders>
              <w:top w:val="single" w:sz="4" w:space="0" w:color="auto"/>
              <w:left w:val="single" w:sz="4" w:space="0" w:color="auto"/>
              <w:right w:val="single" w:sz="4" w:space="0" w:color="auto"/>
            </w:tcBorders>
          </w:tcPr>
          <w:p w14:paraId="35CE8E9E" w14:textId="77777777" w:rsidR="00D526F8" w:rsidRPr="00083019" w:rsidRDefault="00D526F8" w:rsidP="00D526F8">
            <w:pPr>
              <w:jc w:val="center"/>
              <w:rPr>
                <w:rFonts w:ascii="AGaramond" w:eastAsia="Times New Roman" w:hAnsi="AGaramond" w:cs="Times New Roman"/>
                <w:color w:val="auto"/>
                <w:lang w:eastAsia="es-MX"/>
              </w:rPr>
            </w:pPr>
            <w:r w:rsidRPr="00083019">
              <w:rPr>
                <w:rFonts w:ascii="AGaramond" w:eastAsia="Times New Roman" w:hAnsi="AGaramond" w:cs="Times New Roman"/>
                <w:color w:val="auto"/>
                <w:lang w:eastAsia="es-MX"/>
              </w:rPr>
              <w:t>2015</w:t>
            </w:r>
          </w:p>
        </w:tc>
      </w:tr>
      <w:tr w:rsidR="00D526F8" w:rsidRPr="00083019" w14:paraId="725D9C08" w14:textId="77777777" w:rsidTr="00356D4E">
        <w:trPr>
          <w:jc w:val="center"/>
        </w:trPr>
        <w:tc>
          <w:tcPr>
            <w:tcW w:w="8544" w:type="dxa"/>
            <w:tcBorders>
              <w:left w:val="single" w:sz="4" w:space="0" w:color="auto"/>
              <w:bottom w:val="single" w:sz="4" w:space="0" w:color="auto"/>
              <w:right w:val="single" w:sz="4" w:space="0" w:color="auto"/>
            </w:tcBorders>
          </w:tcPr>
          <w:p w14:paraId="100A3345" w14:textId="77777777" w:rsidR="00D526F8" w:rsidRPr="00083019" w:rsidRDefault="00D526F8" w:rsidP="00D526F8">
            <w:pPr>
              <w:spacing w:line="360" w:lineRule="auto"/>
              <w:jc w:val="center"/>
              <w:rPr>
                <w:rFonts w:ascii="AGaramond" w:eastAsia="Times New Roman" w:hAnsi="AGaramond" w:cs="Times New Roman"/>
                <w:color w:val="auto"/>
                <w:lang w:eastAsia="es-MX"/>
              </w:rPr>
            </w:pPr>
            <w:r w:rsidRPr="00083019">
              <w:rPr>
                <w:rFonts w:ascii="AGaramond" w:eastAsia="Yu Mincho" w:hAnsi="AGaramond" w:cs="Times New Roman"/>
                <w:noProof/>
              </w:rPr>
              <w:drawing>
                <wp:anchor distT="0" distB="0" distL="114300" distR="114300" simplePos="0" relativeHeight="251662336" behindDoc="0" locked="0" layoutInCell="1" allowOverlap="1" wp14:anchorId="1B0BD30E" wp14:editId="22F44E65">
                  <wp:simplePos x="0" y="0"/>
                  <wp:positionH relativeFrom="column">
                    <wp:posOffset>1905</wp:posOffset>
                  </wp:positionH>
                  <wp:positionV relativeFrom="paragraph">
                    <wp:posOffset>0</wp:posOffset>
                  </wp:positionV>
                  <wp:extent cx="5328000" cy="2037600"/>
                  <wp:effectExtent l="0" t="0" r="6350" b="1270"/>
                  <wp:wrapSquare wrapText="bothSides"/>
                  <wp:docPr id="59496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5826" t="18635" r="3406" b="25789"/>
                          <a:stretch/>
                        </pic:blipFill>
                        <pic:spPr bwMode="auto">
                          <a:xfrm>
                            <a:off x="0" y="0"/>
                            <a:ext cx="5328000" cy="2037600"/>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tc>
      </w:tr>
    </w:tbl>
    <w:p w14:paraId="0C37C111" w14:textId="77777777" w:rsidR="00D526F8" w:rsidRPr="00083019" w:rsidRDefault="00D526F8" w:rsidP="00D526F8">
      <w:pPr>
        <w:spacing w:after="120"/>
        <w:jc w:val="both"/>
        <w:rPr>
          <w:rFonts w:ascii="AGaramond" w:eastAsia="Calibri" w:hAnsi="AGaramond" w:cs="Times New Roman"/>
          <w:sz w:val="20"/>
          <w:szCs w:val="20"/>
          <w:lang w:val="es-PE"/>
        </w:rPr>
      </w:pPr>
      <w:r w:rsidRPr="00083019">
        <w:rPr>
          <w:rFonts w:ascii="AGaramond" w:eastAsia="Calibri" w:hAnsi="AGaramond" w:cs="Times New Roman"/>
          <w:sz w:val="20"/>
          <w:szCs w:val="20"/>
          <w:lang w:val="es-PE"/>
        </w:rPr>
        <w:lastRenderedPageBreak/>
        <w:t>Fuente: tomado de cuestionarios de los censos generales de población y vivienda de los años 2000 y 2010 y la Encuesta Intercensal 2015.</w:t>
      </w:r>
    </w:p>
    <w:p w14:paraId="203CB29B" w14:textId="1A2902F4" w:rsidR="00356D4E" w:rsidRPr="00083019" w:rsidRDefault="00356D4E" w:rsidP="00A976DB">
      <w:pPr>
        <w:pStyle w:val="Textonotapie"/>
        <w:spacing w:after="240" w:line="360" w:lineRule="auto"/>
        <w:ind w:firstLine="284"/>
        <w:jc w:val="both"/>
        <w:rPr>
          <w:rFonts w:ascii="AGaramond" w:eastAsia="Times New Roman" w:hAnsi="AGaramond"/>
          <w:sz w:val="22"/>
          <w:szCs w:val="22"/>
        </w:rPr>
      </w:pPr>
      <w:r w:rsidRPr="00083019">
        <w:rPr>
          <w:rFonts w:ascii="AGaramond" w:eastAsia="Times New Roman" w:hAnsi="AGaramond"/>
          <w:sz w:val="22"/>
          <w:szCs w:val="22"/>
        </w:rPr>
        <w:t>En ese orden de ideas, un emigrante interno reciente de Playa del Carmen ha sido la persona que 5 años antes residía en esa ciudad y para el momento de la aplicación del cuestionario correspondiente al censo o encuesta era residente de una municipalidad o delegación mexicana distinta al municipio Solidaridad de Quintana Roo. En el caso de los menores de 5 años se ha asumido nula la emigración en ese grupo etario por la complejidad de estimación, principalmente.</w:t>
      </w:r>
    </w:p>
    <w:p w14:paraId="539CAFB0" w14:textId="77777777" w:rsidR="00356D4E" w:rsidRPr="00083019" w:rsidRDefault="00356D4E" w:rsidP="00A976DB">
      <w:pPr>
        <w:pStyle w:val="Textonotapie"/>
        <w:spacing w:after="240" w:line="360" w:lineRule="auto"/>
        <w:ind w:firstLine="284"/>
        <w:jc w:val="both"/>
        <w:rPr>
          <w:rFonts w:ascii="AGaramond" w:eastAsia="Times New Roman" w:hAnsi="AGaramond"/>
          <w:sz w:val="22"/>
          <w:szCs w:val="22"/>
        </w:rPr>
      </w:pPr>
      <w:r w:rsidRPr="00083019">
        <w:rPr>
          <w:rFonts w:ascii="AGaramond" w:eastAsia="Times New Roman" w:hAnsi="AGaramond"/>
          <w:sz w:val="22"/>
          <w:szCs w:val="22"/>
        </w:rPr>
        <w:t>La población no migrante interna reciente para fines de este trabajo fueron las personas que han indicado que 5 años atrás residía en el mismo municipio o delegación mexicana que al momento del levantamiento de la fuente considerada. Se ha utilizado la denominación de no migrante interno reciente porque en este grupo de población se han incluido tanto a las personas nativas de esta ciudad como a los migrantes de tiempos pretéritos a los lustros en los cuales se ha circunscrito el estudio de la migración: 1995-2000, 2005-2010 y 2010-2015.</w:t>
      </w:r>
    </w:p>
    <w:p w14:paraId="3D0CC270" w14:textId="69E351AC" w:rsidR="00356D4E" w:rsidRPr="00083019" w:rsidRDefault="00356D4E" w:rsidP="00A976DB">
      <w:pPr>
        <w:pStyle w:val="Textoindependiente"/>
        <w:spacing w:after="240" w:line="360" w:lineRule="auto"/>
        <w:ind w:firstLine="284"/>
        <w:jc w:val="both"/>
        <w:rPr>
          <w:rFonts w:ascii="AGaramond" w:eastAsia="Times New Roman" w:hAnsi="AGaramond"/>
          <w:sz w:val="22"/>
          <w:szCs w:val="22"/>
        </w:rPr>
      </w:pPr>
      <w:r w:rsidRPr="00083019">
        <w:rPr>
          <w:rFonts w:ascii="AGaramond" w:eastAsia="Times New Roman" w:hAnsi="AGaramond"/>
          <w:sz w:val="22"/>
          <w:szCs w:val="22"/>
        </w:rPr>
        <w:t>Así, la población total de Playa del Carmen, según condición migratoria, ha quedado separada en no migrantes internos recientes e inmigrantes internos recientes. Además, se han identificado los emigrantes internos, que han partido desde la ciudad recientemente y han fijado residencia en alguno de los municipios o las delegaciones del resto de México.</w:t>
      </w:r>
    </w:p>
    <w:p w14:paraId="3E096C0D" w14:textId="77777777" w:rsidR="00356D4E" w:rsidRPr="00083019" w:rsidRDefault="00356D4E" w:rsidP="00CF714B">
      <w:pPr>
        <w:numPr>
          <w:ilvl w:val="0"/>
          <w:numId w:val="34"/>
        </w:numPr>
        <w:spacing w:after="240" w:line="360" w:lineRule="auto"/>
        <w:jc w:val="both"/>
        <w:rPr>
          <w:rFonts w:ascii="AGaramond" w:hAnsi="AGaramond" w:cs="Times New Roman"/>
          <w:b/>
        </w:rPr>
      </w:pPr>
      <w:bookmarkStart w:id="5" w:name="_Toc456588186"/>
      <w:r w:rsidRPr="00083019">
        <w:rPr>
          <w:rFonts w:ascii="AGaramond" w:hAnsi="AGaramond" w:cs="Times New Roman"/>
          <w:b/>
        </w:rPr>
        <w:t>MIGRACIÓN INTERNA HACIA Y DESDE PLAYA DEL CARMEN</w:t>
      </w:r>
      <w:bookmarkEnd w:id="5"/>
      <w:r w:rsidRPr="00083019">
        <w:rPr>
          <w:rFonts w:ascii="AGaramond" w:hAnsi="AGaramond" w:cs="Times New Roman"/>
          <w:b/>
        </w:rPr>
        <w:t>: CONSTRUCCIÓN DE INDICADORES Y RESULTADOS</w:t>
      </w:r>
    </w:p>
    <w:p w14:paraId="0A83008C" w14:textId="0369BEC0" w:rsidR="00356D4E" w:rsidRPr="00083019" w:rsidRDefault="00356D4E" w:rsidP="00A976DB">
      <w:pPr>
        <w:pStyle w:val="Textonotapie"/>
        <w:spacing w:after="240" w:line="360" w:lineRule="auto"/>
        <w:ind w:firstLine="284"/>
        <w:jc w:val="both"/>
        <w:rPr>
          <w:rFonts w:ascii="AGaramond" w:eastAsia="Times New Roman" w:hAnsi="AGaramond"/>
          <w:sz w:val="22"/>
          <w:szCs w:val="22"/>
        </w:rPr>
      </w:pPr>
      <w:r w:rsidRPr="00083019">
        <w:rPr>
          <w:rFonts w:ascii="AGaramond" w:eastAsia="Times New Roman" w:hAnsi="AGaramond"/>
          <w:sz w:val="22"/>
          <w:szCs w:val="22"/>
        </w:rPr>
        <w:t>Los datos sobre migración que se han utilizado en esta investigación han sido de carácter retrospectivo y provienen de los censos de población y vivienda correspondientes a los años 2000 y 2010, junto a la Encuesta Intercensal de 2015. Dado el carácter retrospectivo de la información, se ha conocido la población al final</w:t>
      </w:r>
      <w:r w:rsidR="004C5979">
        <w:rPr>
          <w:rFonts w:ascii="AGaramond" w:eastAsia="Times New Roman" w:hAnsi="AGaramond"/>
          <w:sz w:val="22"/>
          <w:szCs w:val="22"/>
        </w:rPr>
        <w:t>;</w:t>
      </w:r>
      <w:r w:rsidRPr="00083019">
        <w:rPr>
          <w:rFonts w:ascii="AGaramond" w:eastAsia="Times New Roman" w:hAnsi="AGaramond"/>
          <w:sz w:val="22"/>
          <w:szCs w:val="22"/>
        </w:rPr>
        <w:t xml:space="preserve"> es decir, los supervivientes al momento de la realización del censo o encuesta, pero no al momento de inicio del lustro de estudio</w:t>
      </w:r>
      <w:r w:rsidR="004C5979">
        <w:rPr>
          <w:rFonts w:ascii="AGaramond" w:eastAsia="Times New Roman" w:hAnsi="AGaramond"/>
          <w:sz w:val="22"/>
          <w:szCs w:val="22"/>
        </w:rPr>
        <w:t>;</w:t>
      </w:r>
      <w:r w:rsidRPr="00083019">
        <w:rPr>
          <w:rFonts w:ascii="AGaramond" w:eastAsia="Times New Roman" w:hAnsi="AGaramond"/>
          <w:sz w:val="22"/>
          <w:szCs w:val="22"/>
        </w:rPr>
        <w:t xml:space="preserve"> es decir, 5 años antes. Sin embargo, para conocer la población al inicio de cada lustro de estudio y, posteriormente, proceder a la construcción de tasas de inmigración, emigración y migración neta se ha utilizado la ecuación compensadora sin considerar el crecimiento natural de la población, los nacimientos menos las defunciones</w:t>
      </w:r>
      <w:r w:rsidRPr="00083019">
        <w:rPr>
          <w:rFonts w:ascii="AGaramond" w:eastAsia="Times New Roman" w:hAnsi="AGaramond"/>
          <w:noProof/>
          <w:sz w:val="22"/>
          <w:szCs w:val="22"/>
        </w:rPr>
        <w:t xml:space="preserve"> (Partida, 2013, pp. 407-410)</w:t>
      </w:r>
      <w:r w:rsidRPr="00083019">
        <w:rPr>
          <w:rFonts w:ascii="AGaramond" w:eastAsia="Times New Roman" w:hAnsi="AGaramond"/>
          <w:sz w:val="22"/>
          <w:szCs w:val="22"/>
        </w:rPr>
        <w:t>.</w:t>
      </w:r>
    </w:p>
    <w:p w14:paraId="5EB8BBD2" w14:textId="77777777" w:rsidR="00356D4E" w:rsidRPr="00083019" w:rsidRDefault="00356D4E" w:rsidP="00356D4E">
      <w:pPr>
        <w:pStyle w:val="Textoindependiente"/>
        <w:spacing w:line="360" w:lineRule="auto"/>
        <w:ind w:firstLine="284"/>
        <w:jc w:val="both"/>
        <w:rPr>
          <w:rFonts w:ascii="AGaramond" w:eastAsia="Times New Roman" w:hAnsi="AGaramond"/>
          <w:sz w:val="22"/>
          <w:szCs w:val="22"/>
        </w:rPr>
      </w:pPr>
      <w:r w:rsidRPr="00083019">
        <w:rPr>
          <w:rFonts w:ascii="AGaramond" w:eastAsia="Times New Roman" w:hAnsi="AGaramond"/>
          <w:sz w:val="22"/>
          <w:szCs w:val="22"/>
        </w:rPr>
        <w:t xml:space="preserve">La variación de la ecuación compensadora ha sido: </w:t>
      </w:r>
    </w:p>
    <w:p w14:paraId="700A53A2" w14:textId="77777777" w:rsidR="00356D4E" w:rsidRPr="00083019" w:rsidRDefault="00356D4E" w:rsidP="00676101">
      <w:pPr>
        <w:pStyle w:val="Textoindependiente"/>
        <w:spacing w:line="276" w:lineRule="auto"/>
        <w:ind w:firstLine="284"/>
        <w:jc w:val="center"/>
        <w:rPr>
          <w:rFonts w:ascii="AGaramond" w:eastAsia="Times New Roman" w:hAnsi="AGaramond"/>
          <w:sz w:val="22"/>
          <w:szCs w:val="22"/>
          <w:lang w:val="en-US"/>
        </w:rPr>
      </w:pPr>
      <w:r w:rsidRPr="00083019">
        <w:rPr>
          <w:rFonts w:ascii="AGaramond" w:eastAsia="Times New Roman" w:hAnsi="AGaramond"/>
          <w:sz w:val="22"/>
          <w:szCs w:val="22"/>
          <w:lang w:val="en-US"/>
        </w:rPr>
        <w:t>P (t + h) = P(t) + I (t, t + h) - E (t, t + h) = P(t) + MN (t, t + h)</w:t>
      </w:r>
    </w:p>
    <w:p w14:paraId="573760B7" w14:textId="075AD906" w:rsidR="00356D4E" w:rsidRPr="00083019" w:rsidRDefault="0027345F" w:rsidP="00356D4E">
      <w:pPr>
        <w:pStyle w:val="Textoindependiente"/>
        <w:spacing w:line="360" w:lineRule="auto"/>
        <w:ind w:firstLine="284"/>
        <w:jc w:val="both"/>
        <w:rPr>
          <w:rFonts w:ascii="AGaramond" w:eastAsia="Times New Roman" w:hAnsi="AGaramond"/>
          <w:sz w:val="22"/>
          <w:szCs w:val="22"/>
        </w:rPr>
      </w:pPr>
      <w:r w:rsidRPr="00083019">
        <w:rPr>
          <w:rFonts w:ascii="AGaramond" w:eastAsia="Times New Roman" w:hAnsi="AGaramond"/>
          <w:sz w:val="22"/>
          <w:szCs w:val="22"/>
        </w:rPr>
        <w:t>d</w:t>
      </w:r>
      <w:r w:rsidR="00356D4E" w:rsidRPr="00083019">
        <w:rPr>
          <w:rFonts w:ascii="AGaramond" w:eastAsia="Times New Roman" w:hAnsi="AGaramond"/>
          <w:sz w:val="22"/>
          <w:szCs w:val="22"/>
        </w:rPr>
        <w:t xml:space="preserve">onde: </w:t>
      </w:r>
    </w:p>
    <w:p w14:paraId="028637DB" w14:textId="50196CF3" w:rsidR="00356D4E" w:rsidRPr="00083019" w:rsidRDefault="00356D4E" w:rsidP="00676101">
      <w:pPr>
        <w:pStyle w:val="Textoindependiente"/>
        <w:spacing w:line="276" w:lineRule="auto"/>
        <w:ind w:firstLine="284"/>
        <w:jc w:val="both"/>
        <w:rPr>
          <w:rFonts w:ascii="AGaramond" w:eastAsia="Times New Roman" w:hAnsi="AGaramond"/>
          <w:sz w:val="22"/>
          <w:szCs w:val="22"/>
        </w:rPr>
      </w:pPr>
      <w:r w:rsidRPr="00083019">
        <w:rPr>
          <w:rFonts w:ascii="AGaramond" w:eastAsia="Times New Roman" w:hAnsi="AGaramond"/>
          <w:sz w:val="22"/>
          <w:szCs w:val="22"/>
        </w:rPr>
        <w:t>P (t + h), ha correspondido a la población final del lustro bajo estudio</w:t>
      </w:r>
      <w:r w:rsidR="004C5979">
        <w:rPr>
          <w:rFonts w:ascii="AGaramond" w:eastAsia="Times New Roman" w:hAnsi="AGaramond"/>
          <w:sz w:val="22"/>
          <w:szCs w:val="22"/>
        </w:rPr>
        <w:t xml:space="preserve">; </w:t>
      </w:r>
      <w:r w:rsidRPr="00083019">
        <w:rPr>
          <w:rFonts w:ascii="AGaramond" w:eastAsia="Times New Roman" w:hAnsi="AGaramond"/>
          <w:sz w:val="22"/>
          <w:szCs w:val="22"/>
        </w:rPr>
        <w:t>es decir, al momento t + h;</w:t>
      </w:r>
    </w:p>
    <w:p w14:paraId="72198B32" w14:textId="77777777" w:rsidR="00356D4E" w:rsidRPr="00083019" w:rsidRDefault="00356D4E" w:rsidP="00676101">
      <w:pPr>
        <w:pStyle w:val="Textoindependiente"/>
        <w:spacing w:line="276" w:lineRule="auto"/>
        <w:ind w:firstLine="284"/>
        <w:jc w:val="both"/>
        <w:rPr>
          <w:rFonts w:ascii="AGaramond" w:eastAsia="Times New Roman" w:hAnsi="AGaramond"/>
          <w:sz w:val="22"/>
          <w:szCs w:val="22"/>
        </w:rPr>
      </w:pPr>
      <w:r w:rsidRPr="00083019">
        <w:rPr>
          <w:rFonts w:ascii="AGaramond" w:eastAsia="Times New Roman" w:hAnsi="AGaramond"/>
          <w:sz w:val="22"/>
          <w:szCs w:val="22"/>
        </w:rPr>
        <w:t>P(t), ha sido la población inicial del lustro bajo estudio, al momento t;</w:t>
      </w:r>
    </w:p>
    <w:p w14:paraId="58FDF7AC" w14:textId="0C0DEA8D" w:rsidR="00356D4E" w:rsidRPr="00083019" w:rsidRDefault="00356D4E" w:rsidP="00676101">
      <w:pPr>
        <w:pStyle w:val="Textoindependiente"/>
        <w:spacing w:line="276" w:lineRule="auto"/>
        <w:ind w:firstLine="284"/>
        <w:jc w:val="both"/>
        <w:rPr>
          <w:rFonts w:ascii="AGaramond" w:eastAsia="Times New Roman" w:hAnsi="AGaramond"/>
          <w:sz w:val="22"/>
          <w:szCs w:val="22"/>
        </w:rPr>
      </w:pPr>
      <w:r w:rsidRPr="00083019">
        <w:rPr>
          <w:rFonts w:ascii="AGaramond" w:eastAsia="Times New Roman" w:hAnsi="AGaramond"/>
          <w:sz w:val="22"/>
          <w:szCs w:val="22"/>
        </w:rPr>
        <w:lastRenderedPageBreak/>
        <w:t>I (t, t + h) han sido los inmigrantes del lustro bajo estudio</w:t>
      </w:r>
      <w:r w:rsidR="004C5979">
        <w:rPr>
          <w:rFonts w:ascii="AGaramond" w:eastAsia="Times New Roman" w:hAnsi="AGaramond"/>
          <w:sz w:val="22"/>
          <w:szCs w:val="22"/>
        </w:rPr>
        <w:t>;</w:t>
      </w:r>
      <w:r w:rsidRPr="00083019">
        <w:rPr>
          <w:rFonts w:ascii="AGaramond" w:eastAsia="Times New Roman" w:hAnsi="AGaramond"/>
          <w:sz w:val="22"/>
          <w:szCs w:val="22"/>
        </w:rPr>
        <w:t xml:space="preserve"> es decir, entre los momentos t y t + h;</w:t>
      </w:r>
    </w:p>
    <w:p w14:paraId="221371A7" w14:textId="77777777" w:rsidR="00356D4E" w:rsidRPr="00083019" w:rsidRDefault="00356D4E" w:rsidP="00676101">
      <w:pPr>
        <w:pStyle w:val="Textoindependiente"/>
        <w:spacing w:line="276" w:lineRule="auto"/>
        <w:ind w:firstLine="284"/>
        <w:jc w:val="both"/>
        <w:rPr>
          <w:rFonts w:ascii="AGaramond" w:eastAsia="Times New Roman" w:hAnsi="AGaramond"/>
          <w:sz w:val="22"/>
          <w:szCs w:val="22"/>
        </w:rPr>
      </w:pPr>
      <w:r w:rsidRPr="00083019">
        <w:rPr>
          <w:rFonts w:ascii="AGaramond" w:eastAsia="Times New Roman" w:hAnsi="AGaramond"/>
          <w:sz w:val="22"/>
          <w:szCs w:val="22"/>
        </w:rPr>
        <w:t>E (t, t + h) ha correspondido a los emigrantes del lapso de análisis;</w:t>
      </w:r>
    </w:p>
    <w:p w14:paraId="5EFBEA49" w14:textId="50EE47CC" w:rsidR="00356D4E" w:rsidRPr="00083019" w:rsidRDefault="00356D4E" w:rsidP="00676101">
      <w:pPr>
        <w:pStyle w:val="Textoindependiente"/>
        <w:spacing w:line="276" w:lineRule="auto"/>
        <w:ind w:firstLine="284"/>
        <w:jc w:val="both"/>
        <w:rPr>
          <w:rFonts w:ascii="AGaramond" w:eastAsia="Times New Roman" w:hAnsi="AGaramond"/>
          <w:sz w:val="22"/>
          <w:szCs w:val="22"/>
        </w:rPr>
      </w:pPr>
      <w:r w:rsidRPr="00083019">
        <w:rPr>
          <w:rFonts w:ascii="AGaramond" w:eastAsia="Times New Roman" w:hAnsi="AGaramond"/>
          <w:sz w:val="22"/>
          <w:szCs w:val="22"/>
        </w:rPr>
        <w:t>MN (t, t + h) ha concernido a los migrantes netos durante el periodo de estudio</w:t>
      </w:r>
      <w:r w:rsidR="004C5979">
        <w:rPr>
          <w:rFonts w:ascii="AGaramond" w:eastAsia="Times New Roman" w:hAnsi="AGaramond"/>
          <w:sz w:val="22"/>
          <w:szCs w:val="22"/>
        </w:rPr>
        <w:t>;</w:t>
      </w:r>
      <w:r w:rsidRPr="00083019">
        <w:rPr>
          <w:rFonts w:ascii="AGaramond" w:eastAsia="Times New Roman" w:hAnsi="AGaramond"/>
          <w:sz w:val="22"/>
          <w:szCs w:val="22"/>
        </w:rPr>
        <w:t xml:space="preserve"> es decir, los inmigrantes menos los emigrantes.</w:t>
      </w:r>
    </w:p>
    <w:p w14:paraId="0157CB77" w14:textId="77777777" w:rsidR="00356D4E" w:rsidRPr="00083019" w:rsidRDefault="00356D4E" w:rsidP="00356D4E">
      <w:pPr>
        <w:pStyle w:val="Textoindependiente"/>
        <w:spacing w:line="360" w:lineRule="auto"/>
        <w:ind w:firstLine="284"/>
        <w:jc w:val="both"/>
        <w:rPr>
          <w:rFonts w:ascii="AGaramond" w:eastAsia="Times New Roman" w:hAnsi="AGaramond"/>
          <w:sz w:val="22"/>
          <w:szCs w:val="22"/>
        </w:rPr>
      </w:pPr>
      <w:r w:rsidRPr="00083019">
        <w:rPr>
          <w:rFonts w:ascii="AGaramond" w:eastAsia="Times New Roman" w:hAnsi="AGaramond"/>
          <w:sz w:val="22"/>
          <w:szCs w:val="22"/>
        </w:rPr>
        <w:t>Al despejar en la ecuación anterior se ha obtenido la población al inicio del lustro bajo estudio, como sigue:</w:t>
      </w:r>
    </w:p>
    <w:p w14:paraId="202538A6" w14:textId="77777777" w:rsidR="00356D4E" w:rsidRPr="00083019" w:rsidRDefault="00356D4E" w:rsidP="00356D4E">
      <w:pPr>
        <w:pStyle w:val="Textoindependiente"/>
        <w:spacing w:line="360" w:lineRule="auto"/>
        <w:ind w:firstLine="284"/>
        <w:jc w:val="center"/>
        <w:rPr>
          <w:rFonts w:ascii="AGaramond" w:hAnsi="AGaramond"/>
          <w:sz w:val="22"/>
          <w:szCs w:val="22"/>
          <w:lang w:val="en-US"/>
        </w:rPr>
      </w:pPr>
      <w:r w:rsidRPr="00083019">
        <w:rPr>
          <w:rFonts w:ascii="AGaramond" w:eastAsia="Times New Roman" w:hAnsi="AGaramond"/>
          <w:sz w:val="22"/>
          <w:szCs w:val="22"/>
          <w:lang w:val="en-US"/>
        </w:rPr>
        <w:t>P(t) = P (t + h) - MN (t, t + h).</w:t>
      </w:r>
    </w:p>
    <w:p w14:paraId="4EFAF66C" w14:textId="0674570F" w:rsidR="00356D4E" w:rsidRPr="00083019" w:rsidRDefault="00356D4E" w:rsidP="002D23C8">
      <w:pPr>
        <w:pStyle w:val="Textonotapie"/>
        <w:spacing w:after="240" w:line="360" w:lineRule="auto"/>
        <w:ind w:firstLine="284"/>
        <w:jc w:val="both"/>
        <w:rPr>
          <w:rFonts w:ascii="AGaramond" w:hAnsi="AGaramond"/>
          <w:sz w:val="22"/>
          <w:szCs w:val="22"/>
        </w:rPr>
      </w:pPr>
      <w:r w:rsidRPr="00083019">
        <w:rPr>
          <w:rFonts w:ascii="AGaramond" w:hAnsi="AGaramond"/>
          <w:sz w:val="22"/>
          <w:szCs w:val="22"/>
        </w:rPr>
        <w:t xml:space="preserve">Estos cálculos se </w:t>
      </w:r>
      <w:r w:rsidRPr="00083019">
        <w:rPr>
          <w:rFonts w:ascii="AGaramond" w:eastAsia="Times New Roman" w:hAnsi="AGaramond"/>
          <w:sz w:val="22"/>
          <w:szCs w:val="22"/>
        </w:rPr>
        <w:t>pueden</w:t>
      </w:r>
      <w:r w:rsidRPr="00083019">
        <w:rPr>
          <w:rFonts w:ascii="AGaramond" w:hAnsi="AGaramond"/>
          <w:sz w:val="22"/>
          <w:szCs w:val="22"/>
        </w:rPr>
        <w:t xml:space="preserve"> hacer para toda la población de una región, entidad federativa, municipio o ciudad, así como también se pueden extender sin limitación alguna para el caso de grupos de edad o edad desplegada por años simples y según sexo</w:t>
      </w:r>
      <w:r w:rsidRPr="00083019">
        <w:rPr>
          <w:rStyle w:val="Refdenotaalpie"/>
          <w:rFonts w:ascii="AGaramond" w:hAnsi="AGaramond"/>
          <w:sz w:val="22"/>
          <w:szCs w:val="22"/>
        </w:rPr>
        <w:footnoteReference w:id="4"/>
      </w:r>
      <w:r w:rsidR="00C1273F" w:rsidRPr="00083019">
        <w:rPr>
          <w:rFonts w:ascii="AGaramond" w:hAnsi="AGaramond"/>
          <w:sz w:val="22"/>
          <w:szCs w:val="22"/>
        </w:rPr>
        <w:t>.</w:t>
      </w:r>
    </w:p>
    <w:p w14:paraId="0CCC6278" w14:textId="41B16E9B" w:rsidR="00356D4E" w:rsidRPr="00083019" w:rsidRDefault="00356D4E" w:rsidP="002D23C8">
      <w:pPr>
        <w:pStyle w:val="Textonotapie"/>
        <w:spacing w:after="240" w:line="360" w:lineRule="auto"/>
        <w:ind w:firstLine="284"/>
        <w:jc w:val="both"/>
        <w:rPr>
          <w:rFonts w:ascii="AGaramond" w:eastAsia="Times New Roman" w:hAnsi="AGaramond"/>
          <w:sz w:val="22"/>
          <w:szCs w:val="22"/>
        </w:rPr>
      </w:pPr>
      <w:r w:rsidRPr="00083019">
        <w:rPr>
          <w:rFonts w:ascii="AGaramond" w:eastAsia="Times New Roman" w:hAnsi="AGaramond"/>
          <w:sz w:val="22"/>
          <w:szCs w:val="22"/>
        </w:rPr>
        <w:t>De esta manera</w:t>
      </w:r>
      <w:r w:rsidR="00C1273F" w:rsidRPr="00083019">
        <w:rPr>
          <w:rFonts w:ascii="AGaramond" w:eastAsia="Times New Roman" w:hAnsi="AGaramond"/>
          <w:sz w:val="22"/>
          <w:szCs w:val="22"/>
        </w:rPr>
        <w:t>,</w:t>
      </w:r>
      <w:r w:rsidRPr="00083019">
        <w:rPr>
          <w:rFonts w:ascii="AGaramond" w:eastAsia="Times New Roman" w:hAnsi="AGaramond"/>
          <w:sz w:val="22"/>
          <w:szCs w:val="22"/>
        </w:rPr>
        <w:t xml:space="preserve"> se han organizado los datos por grupos de edad y sexo para Playa del Carmen y el resto de los Estados Unidos Mexicanos en los tres lustros bajo análisis. Estos dos ámbitos espaciales se han considerado como dos regiones, donde los inmigrantes internos hacia Playa del Carmen han correspondido también a los emigrantes del resto del país y los emigrantes desde Playa del Carmen también han sido los inmigrantes en el resto de México (véanse cuadros 1 al 9).</w:t>
      </w:r>
    </w:p>
    <w:p w14:paraId="17EA4D7E" w14:textId="7DABDFC9" w:rsidR="00356D4E" w:rsidRPr="00083019" w:rsidRDefault="00356D4E" w:rsidP="002D23C8">
      <w:pPr>
        <w:pStyle w:val="Textonotapie"/>
        <w:spacing w:after="240" w:line="360" w:lineRule="auto"/>
        <w:ind w:firstLine="284"/>
        <w:jc w:val="both"/>
        <w:rPr>
          <w:rFonts w:ascii="AGaramond" w:eastAsia="Times New Roman" w:hAnsi="AGaramond"/>
          <w:sz w:val="22"/>
          <w:szCs w:val="22"/>
        </w:rPr>
      </w:pPr>
      <w:r w:rsidRPr="00083019">
        <w:rPr>
          <w:rFonts w:ascii="AGaramond" w:eastAsia="Times New Roman" w:hAnsi="AGaramond"/>
          <w:sz w:val="22"/>
          <w:szCs w:val="22"/>
        </w:rPr>
        <w:t>En el lustro 1995-2000, 11</w:t>
      </w:r>
      <w:r w:rsidR="00BA01D3" w:rsidRPr="00083019">
        <w:rPr>
          <w:rFonts w:ascii="Times New Roman" w:eastAsia="Times New Roman" w:hAnsi="Times New Roman" w:cs="Times New Roman"/>
          <w:sz w:val="22"/>
          <w:szCs w:val="22"/>
        </w:rPr>
        <w:t> </w:t>
      </w:r>
      <w:r w:rsidRPr="00083019">
        <w:rPr>
          <w:rFonts w:ascii="AGaramond" w:eastAsia="Times New Roman" w:hAnsi="AGaramond"/>
          <w:sz w:val="22"/>
          <w:szCs w:val="22"/>
        </w:rPr>
        <w:t>371 varones han inmigrado en Playa de Carmen desde el resto del territorio mexicano y han emigrado de la ciudad 114 hombres, por tanto, los migrantes varones netos durante el lustro fueron 11</w:t>
      </w:r>
      <w:r w:rsidR="00BA01D3" w:rsidRPr="00083019">
        <w:rPr>
          <w:rFonts w:ascii="Times New Roman" w:eastAsia="Times New Roman" w:hAnsi="Times New Roman" w:cs="Times New Roman"/>
          <w:sz w:val="22"/>
          <w:szCs w:val="22"/>
        </w:rPr>
        <w:t> </w:t>
      </w:r>
      <w:r w:rsidRPr="00083019">
        <w:rPr>
          <w:rFonts w:ascii="AGaramond" w:eastAsia="Times New Roman" w:hAnsi="AGaramond"/>
          <w:sz w:val="22"/>
          <w:szCs w:val="22"/>
        </w:rPr>
        <w:t xml:space="preserve">257. Las más altas proporciones de estos migrantes internos masculinos se han concentrado entre los 15 y 34 </w:t>
      </w:r>
      <w:proofErr w:type="gramStart"/>
      <w:r w:rsidRPr="00083019">
        <w:rPr>
          <w:rFonts w:ascii="AGaramond" w:eastAsia="Times New Roman" w:hAnsi="AGaramond"/>
          <w:sz w:val="22"/>
          <w:szCs w:val="22"/>
        </w:rPr>
        <w:t>años de edad</w:t>
      </w:r>
      <w:proofErr w:type="gramEnd"/>
      <w:r w:rsidRPr="00083019">
        <w:rPr>
          <w:rFonts w:ascii="AGaramond" w:eastAsia="Times New Roman" w:hAnsi="AGaramond"/>
          <w:sz w:val="22"/>
          <w:szCs w:val="22"/>
        </w:rPr>
        <w:t>. La población masculina residente en Playa del Carmen ha pasado de 11</w:t>
      </w:r>
      <w:r w:rsidR="00BA01D3" w:rsidRPr="00083019">
        <w:rPr>
          <w:rFonts w:ascii="Times New Roman" w:eastAsia="Times New Roman" w:hAnsi="Times New Roman" w:cs="Times New Roman"/>
          <w:sz w:val="22"/>
          <w:szCs w:val="22"/>
        </w:rPr>
        <w:t> </w:t>
      </w:r>
      <w:r w:rsidR="00BA01D3" w:rsidRPr="00083019">
        <w:rPr>
          <w:rFonts w:ascii="AGaramond" w:eastAsia="Times New Roman" w:hAnsi="AGaramond" w:cs="Times New Roman"/>
          <w:sz w:val="22"/>
          <w:szCs w:val="22"/>
        </w:rPr>
        <w:t>0</w:t>
      </w:r>
      <w:r w:rsidRPr="00083019">
        <w:rPr>
          <w:rFonts w:ascii="AGaramond" w:eastAsia="Times New Roman" w:hAnsi="AGaramond"/>
          <w:sz w:val="22"/>
          <w:szCs w:val="22"/>
        </w:rPr>
        <w:t>56 en 1995 a 22</w:t>
      </w:r>
      <w:r w:rsidR="00BA01D3" w:rsidRPr="00083019">
        <w:rPr>
          <w:rFonts w:ascii="Times New Roman" w:eastAsia="Times New Roman" w:hAnsi="Times New Roman" w:cs="Times New Roman"/>
          <w:sz w:val="22"/>
          <w:szCs w:val="22"/>
        </w:rPr>
        <w:t> </w:t>
      </w:r>
      <w:r w:rsidRPr="00083019">
        <w:rPr>
          <w:rFonts w:ascii="AGaramond" w:eastAsia="Times New Roman" w:hAnsi="AGaramond"/>
          <w:sz w:val="22"/>
          <w:szCs w:val="22"/>
        </w:rPr>
        <w:t>313 hombres en 2000 (véase Cuadro 1).</w:t>
      </w:r>
    </w:p>
    <w:p w14:paraId="12ABA195" w14:textId="5E0E6F45" w:rsidR="00356D4E" w:rsidRPr="00083019" w:rsidRDefault="00356D4E" w:rsidP="002D23C8">
      <w:pPr>
        <w:pStyle w:val="Textonotapie"/>
        <w:spacing w:after="240" w:line="360" w:lineRule="auto"/>
        <w:ind w:firstLine="284"/>
        <w:jc w:val="both"/>
        <w:rPr>
          <w:rFonts w:ascii="AGaramond" w:eastAsia="Times New Roman" w:hAnsi="AGaramond"/>
          <w:sz w:val="22"/>
          <w:szCs w:val="22"/>
        </w:rPr>
      </w:pPr>
      <w:r w:rsidRPr="00083019">
        <w:rPr>
          <w:rFonts w:ascii="AGaramond" w:eastAsia="Times New Roman" w:hAnsi="AGaramond"/>
          <w:sz w:val="22"/>
          <w:szCs w:val="22"/>
        </w:rPr>
        <w:t xml:space="preserve">En el caso de las mujeres, fueron 9511 las que han inmigrado hacia Playa de Carmen y han emigrado desde esta ciudad 93 hacia el resto del territorio mexicano, por tanto, las migrantes netas durante el lustro 1995-2000 fueron 9418 mujeres. Las más altas proporciones de estas migrantes internas se han reunido entre los 15 y 29 </w:t>
      </w:r>
      <w:proofErr w:type="gramStart"/>
      <w:r w:rsidRPr="00083019">
        <w:rPr>
          <w:rFonts w:ascii="AGaramond" w:eastAsia="Times New Roman" w:hAnsi="AGaramond"/>
          <w:sz w:val="22"/>
          <w:szCs w:val="22"/>
        </w:rPr>
        <w:t>años de edad</w:t>
      </w:r>
      <w:proofErr w:type="gramEnd"/>
      <w:r w:rsidR="004C5979">
        <w:rPr>
          <w:rFonts w:ascii="AGaramond" w:eastAsia="Times New Roman" w:hAnsi="AGaramond"/>
          <w:sz w:val="22"/>
          <w:szCs w:val="22"/>
        </w:rPr>
        <w:t>;</w:t>
      </w:r>
      <w:r w:rsidRPr="00083019">
        <w:rPr>
          <w:rFonts w:ascii="AGaramond" w:eastAsia="Times New Roman" w:hAnsi="AGaramond"/>
          <w:sz w:val="22"/>
          <w:szCs w:val="22"/>
        </w:rPr>
        <w:t xml:space="preserve"> es decir, jóvenes mujeres migrantes. La población femenina residente en Playa del Carmen ha pasado de 9423 en 1995 a 18</w:t>
      </w:r>
      <w:r w:rsidR="00BA01D3" w:rsidRPr="00083019">
        <w:rPr>
          <w:rFonts w:ascii="Times New Roman" w:eastAsia="Times New Roman" w:hAnsi="Times New Roman" w:cs="Times New Roman"/>
          <w:sz w:val="22"/>
          <w:szCs w:val="22"/>
        </w:rPr>
        <w:t> </w:t>
      </w:r>
      <w:r w:rsidRPr="00083019">
        <w:rPr>
          <w:rFonts w:ascii="AGaramond" w:eastAsia="Times New Roman" w:hAnsi="AGaramond"/>
          <w:sz w:val="22"/>
          <w:szCs w:val="22"/>
        </w:rPr>
        <w:t>841 mujeres en 2000 (véase Cuadro 2).</w:t>
      </w:r>
    </w:p>
    <w:p w14:paraId="05E3A741" w14:textId="62A5599A" w:rsidR="00C1273F" w:rsidRPr="00083019" w:rsidRDefault="00356D4E" w:rsidP="00676101">
      <w:pPr>
        <w:pStyle w:val="Textonotapie"/>
        <w:spacing w:after="240" w:line="360" w:lineRule="auto"/>
        <w:ind w:firstLine="284"/>
        <w:jc w:val="both"/>
        <w:rPr>
          <w:rFonts w:ascii="AGaramond" w:hAnsi="AGaramond"/>
          <w:sz w:val="22"/>
          <w:szCs w:val="22"/>
        </w:rPr>
      </w:pPr>
      <w:r w:rsidRPr="00083019">
        <w:rPr>
          <w:rFonts w:ascii="AGaramond" w:eastAsia="Times New Roman" w:hAnsi="AGaramond"/>
          <w:sz w:val="22"/>
          <w:szCs w:val="22"/>
        </w:rPr>
        <w:t>Entonces, en este primer lustro de análisis</w:t>
      </w:r>
      <w:r w:rsidR="00C1273F" w:rsidRPr="00083019">
        <w:rPr>
          <w:rFonts w:ascii="AGaramond" w:eastAsia="Times New Roman" w:hAnsi="AGaramond"/>
          <w:sz w:val="22"/>
          <w:szCs w:val="22"/>
        </w:rPr>
        <w:t>,</w:t>
      </w:r>
      <w:r w:rsidRPr="00083019">
        <w:rPr>
          <w:rFonts w:ascii="AGaramond" w:eastAsia="Times New Roman" w:hAnsi="AGaramond"/>
          <w:sz w:val="22"/>
          <w:szCs w:val="22"/>
        </w:rPr>
        <w:t xml:space="preserve"> la población total ha pasado de 20</w:t>
      </w:r>
      <w:r w:rsidR="00BA01D3" w:rsidRPr="00083019">
        <w:rPr>
          <w:rFonts w:ascii="Times New Roman" w:eastAsia="Times New Roman" w:hAnsi="Times New Roman" w:cs="Times New Roman"/>
          <w:sz w:val="22"/>
          <w:szCs w:val="22"/>
        </w:rPr>
        <w:t> </w:t>
      </w:r>
      <w:r w:rsidRPr="00083019">
        <w:rPr>
          <w:rFonts w:ascii="AGaramond" w:eastAsia="Times New Roman" w:hAnsi="AGaramond"/>
          <w:sz w:val="22"/>
          <w:szCs w:val="22"/>
        </w:rPr>
        <w:t>479 a 41</w:t>
      </w:r>
      <w:r w:rsidR="00BA01D3" w:rsidRPr="00083019">
        <w:rPr>
          <w:rFonts w:ascii="Times New Roman" w:eastAsia="Times New Roman" w:hAnsi="Times New Roman" w:cs="Times New Roman"/>
          <w:sz w:val="22"/>
          <w:szCs w:val="22"/>
        </w:rPr>
        <w:t> </w:t>
      </w:r>
      <w:r w:rsidRPr="00083019">
        <w:rPr>
          <w:rFonts w:ascii="AGaramond" w:eastAsia="Times New Roman" w:hAnsi="AGaramond"/>
          <w:sz w:val="22"/>
          <w:szCs w:val="22"/>
        </w:rPr>
        <w:t>154 personas en Playa del Carmen</w:t>
      </w:r>
      <w:r w:rsidR="004C5979">
        <w:rPr>
          <w:rFonts w:ascii="AGaramond" w:eastAsia="Times New Roman" w:hAnsi="AGaramond"/>
          <w:sz w:val="22"/>
          <w:szCs w:val="22"/>
        </w:rPr>
        <w:t>;</w:t>
      </w:r>
      <w:r w:rsidRPr="00083019">
        <w:rPr>
          <w:rFonts w:ascii="AGaramond" w:eastAsia="Times New Roman" w:hAnsi="AGaramond"/>
          <w:sz w:val="22"/>
          <w:szCs w:val="22"/>
        </w:rPr>
        <w:t xml:space="preserve"> es decir, se ha duplicado la población. El saldo neto de migrantes fue 20</w:t>
      </w:r>
      <w:r w:rsidR="00BA01D3" w:rsidRPr="00083019">
        <w:rPr>
          <w:rFonts w:ascii="Times New Roman" w:eastAsia="Times New Roman" w:hAnsi="Times New Roman" w:cs="Times New Roman"/>
          <w:sz w:val="22"/>
          <w:szCs w:val="22"/>
        </w:rPr>
        <w:t> </w:t>
      </w:r>
      <w:r w:rsidRPr="00083019">
        <w:rPr>
          <w:rFonts w:ascii="AGaramond" w:eastAsia="Times New Roman" w:hAnsi="AGaramond"/>
          <w:sz w:val="22"/>
          <w:szCs w:val="22"/>
        </w:rPr>
        <w:t>675 personas, diferencia de los 20</w:t>
      </w:r>
      <w:r w:rsidR="00BA01D3" w:rsidRPr="00083019">
        <w:rPr>
          <w:rFonts w:ascii="Times New Roman" w:eastAsia="Times New Roman" w:hAnsi="Times New Roman" w:cs="Times New Roman"/>
          <w:sz w:val="22"/>
          <w:szCs w:val="22"/>
        </w:rPr>
        <w:t> </w:t>
      </w:r>
      <w:r w:rsidRPr="00083019">
        <w:rPr>
          <w:rFonts w:ascii="AGaramond" w:eastAsia="Times New Roman" w:hAnsi="AGaramond"/>
          <w:sz w:val="22"/>
          <w:szCs w:val="22"/>
        </w:rPr>
        <w:t>882 inmigrantes y los 207 emigrantes. Las mayores proporciones de inmigrantes en la ciudad se han agrupado en los conjuntos de edades inferiores a los 40 años</w:t>
      </w:r>
      <w:r w:rsidR="004C5979">
        <w:rPr>
          <w:rFonts w:ascii="AGaramond" w:eastAsia="Times New Roman" w:hAnsi="AGaramond"/>
          <w:sz w:val="22"/>
          <w:szCs w:val="22"/>
        </w:rPr>
        <w:t>;</w:t>
      </w:r>
      <w:r w:rsidRPr="00083019">
        <w:rPr>
          <w:rFonts w:ascii="AGaramond" w:eastAsia="Times New Roman" w:hAnsi="AGaramond"/>
          <w:sz w:val="22"/>
          <w:szCs w:val="22"/>
        </w:rPr>
        <w:t xml:space="preserve"> es decir, personas infantes, jóvenes y adultos jóvenes (véase Cuadro 3).</w:t>
      </w:r>
      <w:r w:rsidR="00C1273F" w:rsidRPr="00083019">
        <w:rPr>
          <w:rFonts w:ascii="AGaramond" w:eastAsia="Times New Roman" w:hAnsi="AGaramond"/>
          <w:sz w:val="22"/>
          <w:szCs w:val="22"/>
        </w:rPr>
        <w:br w:type="page"/>
      </w:r>
      <w:r w:rsidR="00C1273F" w:rsidRPr="00083019">
        <w:rPr>
          <w:rFonts w:ascii="AGaramond" w:hAnsi="AGaramond"/>
          <w:sz w:val="22"/>
          <w:szCs w:val="22"/>
        </w:rPr>
        <w:lastRenderedPageBreak/>
        <w:t xml:space="preserve">Cuadro </w:t>
      </w:r>
      <w:r w:rsidR="00C1273F" w:rsidRPr="00083019">
        <w:rPr>
          <w:rFonts w:ascii="AGaramond" w:hAnsi="AGaramond"/>
          <w:i/>
          <w:sz w:val="22"/>
          <w:szCs w:val="22"/>
        </w:rPr>
        <w:fldChar w:fldCharType="begin"/>
      </w:r>
      <w:r w:rsidR="00C1273F" w:rsidRPr="00083019">
        <w:rPr>
          <w:rFonts w:ascii="AGaramond" w:hAnsi="AGaramond"/>
          <w:sz w:val="22"/>
          <w:szCs w:val="22"/>
        </w:rPr>
        <w:instrText xml:space="preserve"> SEQ Cuadro \* ARABIC \s 1 </w:instrText>
      </w:r>
      <w:r w:rsidR="00C1273F" w:rsidRPr="00083019">
        <w:rPr>
          <w:rFonts w:ascii="AGaramond" w:hAnsi="AGaramond"/>
          <w:i/>
          <w:sz w:val="22"/>
          <w:szCs w:val="22"/>
        </w:rPr>
        <w:fldChar w:fldCharType="separate"/>
      </w:r>
      <w:r w:rsidR="00DC025A">
        <w:rPr>
          <w:rFonts w:ascii="AGaramond" w:hAnsi="AGaramond"/>
          <w:noProof/>
          <w:sz w:val="22"/>
          <w:szCs w:val="22"/>
        </w:rPr>
        <w:t>1</w:t>
      </w:r>
      <w:r w:rsidR="00C1273F" w:rsidRPr="00083019">
        <w:rPr>
          <w:rFonts w:ascii="AGaramond" w:hAnsi="AGaramond"/>
          <w:i/>
          <w:sz w:val="22"/>
          <w:szCs w:val="22"/>
        </w:rPr>
        <w:fldChar w:fldCharType="end"/>
      </w:r>
      <w:r w:rsidR="00C1273F" w:rsidRPr="00083019">
        <w:rPr>
          <w:rFonts w:ascii="AGaramond" w:hAnsi="AGaramond"/>
          <w:sz w:val="22"/>
          <w:szCs w:val="22"/>
        </w:rPr>
        <w:t>. Migración superviviente masculina hacia y desde Playa del Carmen por edad, 1995-2000</w:t>
      </w:r>
    </w:p>
    <w:p w14:paraId="099418B9" w14:textId="77777777" w:rsidR="00C1273F" w:rsidRPr="00083019" w:rsidRDefault="00C1273F" w:rsidP="00C1273F">
      <w:pPr>
        <w:pStyle w:val="Textoindependiente"/>
        <w:spacing w:after="0"/>
        <w:jc w:val="center"/>
        <w:rPr>
          <w:rFonts w:ascii="AGaramond" w:hAnsi="AGaramond"/>
          <w:sz w:val="22"/>
          <w:szCs w:val="22"/>
        </w:rPr>
      </w:pPr>
      <w:r w:rsidRPr="00083019">
        <w:rPr>
          <w:rFonts w:ascii="AGaramond" w:hAnsi="AGaramond"/>
          <w:noProof/>
          <w:lang w:val="es-ES" w:eastAsia="es-ES"/>
        </w:rPr>
        <w:drawing>
          <wp:inline distT="0" distB="0" distL="0" distR="0" wp14:anchorId="39A3F8DA" wp14:editId="38DD9EA0">
            <wp:extent cx="5281930" cy="7109460"/>
            <wp:effectExtent l="0" t="0" r="0" b="0"/>
            <wp:docPr id="60" name="Imagen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0949" cy="7121600"/>
                    </a:xfrm>
                    <a:prstGeom prst="rect">
                      <a:avLst/>
                    </a:prstGeom>
                    <a:noFill/>
                    <a:ln>
                      <a:noFill/>
                    </a:ln>
                  </pic:spPr>
                </pic:pic>
              </a:graphicData>
            </a:graphic>
          </wp:inline>
        </w:drawing>
      </w:r>
    </w:p>
    <w:p w14:paraId="118515DA" w14:textId="0CBAA35B" w:rsidR="00C1273F" w:rsidRPr="00083019" w:rsidRDefault="00C1273F" w:rsidP="00C1273F">
      <w:pPr>
        <w:pStyle w:val="Textoindependiente"/>
        <w:spacing w:after="60" w:line="360" w:lineRule="auto"/>
        <w:jc w:val="both"/>
        <w:rPr>
          <w:rFonts w:ascii="AGaramond" w:eastAsia="Times New Roman" w:hAnsi="AGaramond"/>
          <w:sz w:val="22"/>
          <w:szCs w:val="22"/>
        </w:rPr>
      </w:pPr>
      <w:r w:rsidRPr="00083019">
        <w:rPr>
          <w:rFonts w:ascii="AGaramond" w:eastAsia="Times New Roman" w:hAnsi="AGaramond"/>
          <w:sz w:val="20"/>
          <w:szCs w:val="20"/>
        </w:rPr>
        <w:t>Fuente: XII Censo General de Población y Vivienda 2000 (microdatos) y estimaciones del autor para los niños de 0-4 años.</w:t>
      </w:r>
    </w:p>
    <w:p w14:paraId="6F198D62" w14:textId="1711164C" w:rsidR="00C1273F" w:rsidRPr="00083019" w:rsidRDefault="00C1273F">
      <w:pPr>
        <w:rPr>
          <w:rFonts w:ascii="AGaramond" w:eastAsia="Times New Roman" w:hAnsi="AGaramond"/>
          <w:sz w:val="22"/>
          <w:szCs w:val="22"/>
        </w:rPr>
      </w:pPr>
      <w:r w:rsidRPr="00083019">
        <w:rPr>
          <w:rFonts w:ascii="AGaramond" w:eastAsia="Times New Roman" w:hAnsi="AGaramond"/>
          <w:sz w:val="22"/>
          <w:szCs w:val="22"/>
        </w:rPr>
        <w:br w:type="page"/>
      </w:r>
    </w:p>
    <w:p w14:paraId="2A4D19E1" w14:textId="77777777" w:rsidR="00C1273F" w:rsidRPr="00083019" w:rsidRDefault="00C1273F" w:rsidP="00C1273F">
      <w:pPr>
        <w:pStyle w:val="Textoindependiente"/>
        <w:spacing w:after="0" w:line="360" w:lineRule="auto"/>
        <w:jc w:val="center"/>
        <w:rPr>
          <w:rFonts w:ascii="AGaramond" w:hAnsi="AGaramond"/>
          <w:sz w:val="22"/>
          <w:szCs w:val="22"/>
        </w:rPr>
      </w:pPr>
      <w:r w:rsidRPr="00083019">
        <w:rPr>
          <w:rFonts w:ascii="AGaramond" w:hAnsi="AGaramond"/>
          <w:sz w:val="22"/>
          <w:szCs w:val="22"/>
        </w:rPr>
        <w:lastRenderedPageBreak/>
        <w:t>Cuadro 2. Migración superviviente femenina hacia y desde Playa del Carmen por edad, 1995-2000</w:t>
      </w:r>
    </w:p>
    <w:p w14:paraId="6AE6A719" w14:textId="77777777" w:rsidR="00C1273F" w:rsidRPr="00083019" w:rsidRDefault="00C1273F" w:rsidP="00C1273F">
      <w:pPr>
        <w:pStyle w:val="Textoindependiente"/>
        <w:tabs>
          <w:tab w:val="left" w:pos="4395"/>
        </w:tabs>
        <w:spacing w:after="0"/>
        <w:jc w:val="center"/>
        <w:rPr>
          <w:rFonts w:ascii="AGaramond" w:eastAsia="Times New Roman" w:hAnsi="AGaramond"/>
          <w:sz w:val="22"/>
          <w:szCs w:val="22"/>
        </w:rPr>
      </w:pPr>
      <w:r w:rsidRPr="00083019">
        <w:rPr>
          <w:rFonts w:ascii="AGaramond" w:hAnsi="AGaramond"/>
          <w:noProof/>
          <w:lang w:val="es-ES" w:eastAsia="es-ES"/>
        </w:rPr>
        <w:drawing>
          <wp:inline distT="0" distB="0" distL="0" distR="0" wp14:anchorId="01E900A6" wp14:editId="62CA8505">
            <wp:extent cx="5580000" cy="7380000"/>
            <wp:effectExtent l="0" t="0" r="1905" b="0"/>
            <wp:docPr id="34" name="Imagen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0000" cy="7380000"/>
                    </a:xfrm>
                    <a:prstGeom prst="rect">
                      <a:avLst/>
                    </a:prstGeom>
                    <a:noFill/>
                    <a:ln>
                      <a:noFill/>
                    </a:ln>
                  </pic:spPr>
                </pic:pic>
              </a:graphicData>
            </a:graphic>
          </wp:inline>
        </w:drawing>
      </w:r>
    </w:p>
    <w:p w14:paraId="2DA56C89" w14:textId="70CA7FB2" w:rsidR="00C1273F" w:rsidRPr="00083019" w:rsidRDefault="00C1273F" w:rsidP="00C1273F">
      <w:pPr>
        <w:pStyle w:val="Textoindependiente"/>
        <w:spacing w:after="60"/>
        <w:jc w:val="both"/>
        <w:rPr>
          <w:rFonts w:ascii="AGaramond" w:eastAsia="Times New Roman" w:hAnsi="AGaramond"/>
          <w:sz w:val="20"/>
          <w:szCs w:val="20"/>
        </w:rPr>
      </w:pPr>
      <w:r w:rsidRPr="00083019">
        <w:rPr>
          <w:rFonts w:ascii="AGaramond" w:eastAsia="Times New Roman" w:hAnsi="AGaramond"/>
          <w:sz w:val="20"/>
          <w:szCs w:val="20"/>
        </w:rPr>
        <w:t>Fuente: XII Censo General de Población y Vivienda 2000 (microdatos) y estimaciones del autor para las niñas de 0-4 años.</w:t>
      </w:r>
    </w:p>
    <w:p w14:paraId="4C805EA1" w14:textId="77777777" w:rsidR="00C1273F" w:rsidRPr="00083019" w:rsidRDefault="00C1273F">
      <w:pPr>
        <w:rPr>
          <w:rFonts w:ascii="AGaramond" w:hAnsi="AGaramond"/>
          <w:sz w:val="22"/>
          <w:szCs w:val="22"/>
        </w:rPr>
      </w:pPr>
      <w:r w:rsidRPr="00083019">
        <w:rPr>
          <w:rFonts w:ascii="AGaramond" w:hAnsi="AGaramond"/>
          <w:sz w:val="22"/>
          <w:szCs w:val="22"/>
        </w:rPr>
        <w:br w:type="page"/>
      </w:r>
    </w:p>
    <w:p w14:paraId="3E418063" w14:textId="0F3056D8" w:rsidR="00C1273F" w:rsidRPr="00083019" w:rsidRDefault="00C1273F" w:rsidP="00C1273F">
      <w:pPr>
        <w:pStyle w:val="Textoindependiente"/>
        <w:spacing w:after="0" w:line="360" w:lineRule="auto"/>
        <w:jc w:val="center"/>
        <w:rPr>
          <w:rFonts w:ascii="AGaramond" w:hAnsi="AGaramond"/>
          <w:sz w:val="22"/>
          <w:szCs w:val="22"/>
        </w:rPr>
      </w:pPr>
      <w:r w:rsidRPr="00083019">
        <w:rPr>
          <w:rFonts w:ascii="AGaramond" w:hAnsi="AGaramond"/>
          <w:sz w:val="22"/>
          <w:szCs w:val="22"/>
        </w:rPr>
        <w:lastRenderedPageBreak/>
        <w:t>Cuadro 3. Migración superviviente hacia y desde Playa del Carmen por edad, 1995-2000</w:t>
      </w:r>
    </w:p>
    <w:p w14:paraId="71E72DC7" w14:textId="77777777" w:rsidR="00C1273F" w:rsidRPr="00083019" w:rsidRDefault="00C1273F" w:rsidP="00C1273F">
      <w:pPr>
        <w:pStyle w:val="Textoindependiente"/>
        <w:tabs>
          <w:tab w:val="left" w:pos="1701"/>
        </w:tabs>
        <w:spacing w:after="0"/>
        <w:jc w:val="center"/>
        <w:rPr>
          <w:rFonts w:ascii="AGaramond" w:eastAsia="Times New Roman" w:hAnsi="AGaramond"/>
          <w:sz w:val="22"/>
          <w:szCs w:val="22"/>
        </w:rPr>
      </w:pPr>
      <w:r w:rsidRPr="00083019">
        <w:rPr>
          <w:rFonts w:ascii="AGaramond" w:hAnsi="AGaramond"/>
          <w:noProof/>
          <w:lang w:val="es-ES" w:eastAsia="es-ES"/>
        </w:rPr>
        <w:drawing>
          <wp:inline distT="0" distB="0" distL="0" distR="0" wp14:anchorId="0E5DEAD0" wp14:editId="4405D773">
            <wp:extent cx="5580000" cy="7380000"/>
            <wp:effectExtent l="0" t="0" r="1905" b="0"/>
            <wp:docPr id="33" name="Imagen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0000" cy="7380000"/>
                    </a:xfrm>
                    <a:prstGeom prst="rect">
                      <a:avLst/>
                    </a:prstGeom>
                    <a:noFill/>
                    <a:ln>
                      <a:noFill/>
                    </a:ln>
                  </pic:spPr>
                </pic:pic>
              </a:graphicData>
            </a:graphic>
          </wp:inline>
        </w:drawing>
      </w:r>
    </w:p>
    <w:p w14:paraId="56C6FF80" w14:textId="0308F103" w:rsidR="00C1273F" w:rsidRPr="00083019" w:rsidRDefault="00C1273F" w:rsidP="00C1273F">
      <w:pPr>
        <w:pStyle w:val="Textoindependiente"/>
        <w:spacing w:line="360" w:lineRule="auto"/>
        <w:jc w:val="both"/>
        <w:rPr>
          <w:rFonts w:ascii="AGaramond" w:eastAsia="Times New Roman" w:hAnsi="AGaramond"/>
          <w:sz w:val="22"/>
          <w:szCs w:val="22"/>
        </w:rPr>
      </w:pPr>
      <w:r w:rsidRPr="00083019">
        <w:rPr>
          <w:rFonts w:ascii="AGaramond" w:eastAsia="Times New Roman" w:hAnsi="AGaramond"/>
          <w:sz w:val="20"/>
          <w:szCs w:val="20"/>
        </w:rPr>
        <w:t xml:space="preserve">Fuente: XII Censo General de Población y Vivienda 2000 (microdatos) y estimaciones del autor para </w:t>
      </w:r>
      <w:proofErr w:type="gramStart"/>
      <w:r w:rsidRPr="00083019">
        <w:rPr>
          <w:rFonts w:ascii="AGaramond" w:eastAsia="Times New Roman" w:hAnsi="AGaramond"/>
          <w:sz w:val="20"/>
          <w:szCs w:val="20"/>
        </w:rPr>
        <w:t>los niños y las niñas</w:t>
      </w:r>
      <w:proofErr w:type="gramEnd"/>
      <w:r w:rsidRPr="00083019">
        <w:rPr>
          <w:rFonts w:ascii="AGaramond" w:eastAsia="Times New Roman" w:hAnsi="AGaramond"/>
          <w:sz w:val="20"/>
          <w:szCs w:val="20"/>
        </w:rPr>
        <w:t xml:space="preserve"> de 0-4 años.</w:t>
      </w:r>
    </w:p>
    <w:p w14:paraId="3DD8C735" w14:textId="3227570E" w:rsidR="00C1273F" w:rsidRPr="00083019" w:rsidRDefault="00C1273F" w:rsidP="002D23C8">
      <w:pPr>
        <w:pStyle w:val="Textonotapie"/>
        <w:spacing w:after="240" w:line="360" w:lineRule="auto"/>
        <w:ind w:firstLine="284"/>
        <w:jc w:val="both"/>
        <w:rPr>
          <w:rFonts w:ascii="AGaramond" w:eastAsia="Times New Roman" w:hAnsi="AGaramond"/>
          <w:sz w:val="22"/>
          <w:szCs w:val="22"/>
        </w:rPr>
      </w:pPr>
      <w:r w:rsidRPr="00083019">
        <w:rPr>
          <w:rFonts w:ascii="AGaramond" w:eastAsia="Times New Roman" w:hAnsi="AGaramond"/>
          <w:sz w:val="22"/>
          <w:szCs w:val="22"/>
        </w:rPr>
        <w:lastRenderedPageBreak/>
        <w:t xml:space="preserve">Con la </w:t>
      </w:r>
      <w:r w:rsidRPr="00083019">
        <w:rPr>
          <w:rFonts w:ascii="AGaramond" w:hAnsi="AGaramond"/>
          <w:sz w:val="22"/>
          <w:szCs w:val="22"/>
        </w:rPr>
        <w:t>duplicación</w:t>
      </w:r>
      <w:r w:rsidRPr="00083019">
        <w:rPr>
          <w:rFonts w:ascii="AGaramond" w:eastAsia="Times New Roman" w:hAnsi="AGaramond"/>
          <w:sz w:val="22"/>
          <w:szCs w:val="22"/>
        </w:rPr>
        <w:t xml:space="preserve"> de la población de Playa del Carmen entre 1995 y 2000 su talla demográfica correspondía entonces a la de una ciudad pequeña y con acelerado ritmo de crecimiento. En México, desde la década de los años 1980, la intensidad de ocupación del espacio ha aumentado y se han multiplicado las metrópolis regionales como lugares de atracción, además, hubo una mayor tendencia a la dispersión de la población y proliferación de ciudades intermedias y pequeñas (Serna, 2008</w:t>
      </w:r>
      <w:r w:rsidR="007E57FA" w:rsidRPr="00083019">
        <w:rPr>
          <w:rFonts w:ascii="AGaramond" w:eastAsia="Times New Roman" w:hAnsi="AGaramond"/>
          <w:sz w:val="22"/>
          <w:szCs w:val="22"/>
        </w:rPr>
        <w:t>, p.</w:t>
      </w:r>
      <w:r w:rsidRPr="00083019">
        <w:rPr>
          <w:rFonts w:ascii="AGaramond" w:eastAsia="Times New Roman" w:hAnsi="AGaramond"/>
          <w:sz w:val="22"/>
          <w:szCs w:val="22"/>
        </w:rPr>
        <w:t xml:space="preserve"> 1; Delgado-Linero, 2016). Justamente, la transición urbana de Playa del Carmen se ha enmarcado en ese proceso de dispersión urbana, inicialmente contaba con 3</w:t>
      </w:r>
      <w:r w:rsidR="00BA01D3" w:rsidRPr="00083019">
        <w:rPr>
          <w:rFonts w:ascii="AGaramond" w:eastAsia="Times New Roman" w:hAnsi="AGaramond"/>
          <w:sz w:val="22"/>
          <w:szCs w:val="22"/>
        </w:rPr>
        <w:t>0</w:t>
      </w:r>
      <w:r w:rsidRPr="00083019">
        <w:rPr>
          <w:rFonts w:ascii="AGaramond" w:eastAsia="Times New Roman" w:hAnsi="AGaramond"/>
          <w:sz w:val="22"/>
          <w:szCs w:val="22"/>
        </w:rPr>
        <w:t>98 habitantes en 1990, 17</w:t>
      </w:r>
      <w:r w:rsidR="00BA01D3" w:rsidRPr="00083019">
        <w:rPr>
          <w:rFonts w:ascii="Times New Roman" w:eastAsia="Times New Roman" w:hAnsi="Times New Roman" w:cs="Times New Roman"/>
          <w:sz w:val="22"/>
          <w:szCs w:val="22"/>
        </w:rPr>
        <w:t> </w:t>
      </w:r>
      <w:r w:rsidRPr="00083019">
        <w:rPr>
          <w:rFonts w:ascii="AGaramond" w:eastAsia="Times New Roman" w:hAnsi="AGaramond"/>
          <w:sz w:val="22"/>
          <w:szCs w:val="22"/>
        </w:rPr>
        <w:t>671 en 1995 y 43</w:t>
      </w:r>
      <w:r w:rsidR="00BA01D3" w:rsidRPr="00083019">
        <w:rPr>
          <w:rFonts w:ascii="Times New Roman" w:eastAsia="Times New Roman" w:hAnsi="Times New Roman" w:cs="Times New Roman"/>
          <w:sz w:val="22"/>
          <w:szCs w:val="22"/>
        </w:rPr>
        <w:t> </w:t>
      </w:r>
      <w:r w:rsidRPr="00083019">
        <w:rPr>
          <w:rFonts w:ascii="AGaramond" w:eastAsia="Times New Roman" w:hAnsi="AGaramond"/>
          <w:sz w:val="22"/>
          <w:szCs w:val="22"/>
        </w:rPr>
        <w:t>613 personas al año 2000, según la información oficial del INEGI (Delgado-Linero, 2016</w:t>
      </w:r>
      <w:r w:rsidR="007E57FA" w:rsidRPr="00083019">
        <w:rPr>
          <w:rFonts w:ascii="AGaramond" w:eastAsia="Times New Roman" w:hAnsi="AGaramond"/>
          <w:sz w:val="22"/>
          <w:szCs w:val="22"/>
        </w:rPr>
        <w:t>, p.</w:t>
      </w:r>
      <w:r w:rsidRPr="00083019">
        <w:rPr>
          <w:rFonts w:ascii="AGaramond" w:eastAsia="Times New Roman" w:hAnsi="AGaramond"/>
          <w:sz w:val="22"/>
          <w:szCs w:val="22"/>
        </w:rPr>
        <w:t xml:space="preserve"> 62). Mientras que las estimaciones realizadas en este trabajo han establecido 20</w:t>
      </w:r>
      <w:r w:rsidR="00BA01D3" w:rsidRPr="00083019">
        <w:rPr>
          <w:rFonts w:ascii="Times New Roman" w:eastAsia="Times New Roman" w:hAnsi="Times New Roman" w:cs="Times New Roman"/>
          <w:sz w:val="22"/>
          <w:szCs w:val="22"/>
        </w:rPr>
        <w:t> </w:t>
      </w:r>
      <w:r w:rsidRPr="00083019">
        <w:rPr>
          <w:rFonts w:ascii="AGaramond" w:eastAsia="Times New Roman" w:hAnsi="AGaramond"/>
          <w:sz w:val="22"/>
          <w:szCs w:val="22"/>
        </w:rPr>
        <w:t>479 habitantes en el año 1995 y 41</w:t>
      </w:r>
      <w:r w:rsidR="00BA01D3" w:rsidRPr="00083019">
        <w:rPr>
          <w:rFonts w:ascii="Times New Roman" w:eastAsia="Times New Roman" w:hAnsi="Times New Roman" w:cs="Times New Roman"/>
          <w:sz w:val="22"/>
          <w:szCs w:val="22"/>
        </w:rPr>
        <w:t> </w:t>
      </w:r>
      <w:r w:rsidRPr="00083019">
        <w:rPr>
          <w:rFonts w:ascii="AGaramond" w:eastAsia="Times New Roman" w:hAnsi="AGaramond"/>
          <w:sz w:val="22"/>
          <w:szCs w:val="22"/>
        </w:rPr>
        <w:t>154 al año 2000.</w:t>
      </w:r>
    </w:p>
    <w:p w14:paraId="405F2382" w14:textId="105EBBBC" w:rsidR="00C1273F" w:rsidRPr="00083019" w:rsidRDefault="00C1273F" w:rsidP="002D23C8">
      <w:pPr>
        <w:pStyle w:val="Textonotapie"/>
        <w:spacing w:after="240" w:line="360" w:lineRule="auto"/>
        <w:ind w:firstLine="284"/>
        <w:jc w:val="both"/>
        <w:rPr>
          <w:rFonts w:ascii="AGaramond" w:hAnsi="AGaramond"/>
          <w:sz w:val="22"/>
          <w:szCs w:val="22"/>
        </w:rPr>
      </w:pPr>
      <w:r w:rsidRPr="00083019">
        <w:rPr>
          <w:rFonts w:ascii="AGaramond" w:hAnsi="AGaramond"/>
          <w:sz w:val="22"/>
          <w:szCs w:val="22"/>
        </w:rPr>
        <w:t>En el segundo lustro bajo análisis, 2005-2010, 24</w:t>
      </w:r>
      <w:r w:rsidR="00BA01D3" w:rsidRPr="00083019">
        <w:rPr>
          <w:rFonts w:ascii="Times New Roman" w:hAnsi="Times New Roman" w:cs="Times New Roman"/>
          <w:sz w:val="22"/>
          <w:szCs w:val="22"/>
        </w:rPr>
        <w:t> </w:t>
      </w:r>
      <w:r w:rsidRPr="00083019">
        <w:rPr>
          <w:rFonts w:ascii="AGaramond" w:hAnsi="AGaramond"/>
          <w:sz w:val="22"/>
          <w:szCs w:val="22"/>
        </w:rPr>
        <w:t>673 hombres han entrado a Playa de Carmen desde otros territorios mexicanos y han salido de la ciudad 2316 varones, en consecuencia, los migrantes masculinos netos en el lapso fueron 22</w:t>
      </w:r>
      <w:r w:rsidR="00BA01D3" w:rsidRPr="00083019">
        <w:rPr>
          <w:rFonts w:ascii="Times New Roman" w:hAnsi="Times New Roman" w:cs="Times New Roman"/>
          <w:sz w:val="22"/>
          <w:szCs w:val="22"/>
        </w:rPr>
        <w:t> </w:t>
      </w:r>
      <w:r w:rsidRPr="00083019">
        <w:rPr>
          <w:rFonts w:ascii="AGaramond" w:hAnsi="AGaramond"/>
          <w:sz w:val="22"/>
          <w:szCs w:val="22"/>
        </w:rPr>
        <w:t xml:space="preserve">357. Las más altas proporciones de estos hombres migrantes internos se han agrupado entre los 15 y 39 </w:t>
      </w:r>
      <w:proofErr w:type="gramStart"/>
      <w:r w:rsidRPr="00083019">
        <w:rPr>
          <w:rFonts w:ascii="AGaramond" w:hAnsi="AGaramond"/>
          <w:sz w:val="22"/>
          <w:szCs w:val="22"/>
        </w:rPr>
        <w:t>años de edad</w:t>
      </w:r>
      <w:proofErr w:type="gramEnd"/>
      <w:r w:rsidRPr="00083019">
        <w:rPr>
          <w:rFonts w:ascii="AGaramond" w:hAnsi="AGaramond"/>
          <w:sz w:val="22"/>
          <w:szCs w:val="22"/>
        </w:rPr>
        <w:t>. Así, la población varonil residente en Playa del Carmen ha transitado de 51</w:t>
      </w:r>
      <w:r w:rsidR="00BA01D3" w:rsidRPr="00083019">
        <w:rPr>
          <w:rFonts w:ascii="Times New Roman" w:hAnsi="Times New Roman" w:cs="Times New Roman"/>
          <w:sz w:val="22"/>
          <w:szCs w:val="22"/>
        </w:rPr>
        <w:t> </w:t>
      </w:r>
      <w:r w:rsidRPr="00083019">
        <w:rPr>
          <w:rFonts w:ascii="AGaramond" w:hAnsi="AGaramond"/>
          <w:sz w:val="22"/>
          <w:szCs w:val="22"/>
        </w:rPr>
        <w:t>575 en 2005 a 73</w:t>
      </w:r>
      <w:r w:rsidR="00BA01D3" w:rsidRPr="00083019">
        <w:rPr>
          <w:rFonts w:ascii="Times New Roman" w:hAnsi="Times New Roman" w:cs="Times New Roman"/>
          <w:sz w:val="22"/>
          <w:szCs w:val="22"/>
        </w:rPr>
        <w:t> </w:t>
      </w:r>
      <w:r w:rsidRPr="00083019">
        <w:rPr>
          <w:rFonts w:ascii="AGaramond" w:hAnsi="AGaramond"/>
          <w:sz w:val="22"/>
          <w:szCs w:val="22"/>
        </w:rPr>
        <w:t>932 hombres en 2010 (véase Cuadro 4).</w:t>
      </w:r>
    </w:p>
    <w:p w14:paraId="1CE2083F" w14:textId="48E0355E" w:rsidR="00C1273F" w:rsidRPr="00083019" w:rsidRDefault="00C1273F" w:rsidP="002D23C8">
      <w:pPr>
        <w:pStyle w:val="Textonotapie"/>
        <w:spacing w:after="240" w:line="360" w:lineRule="auto"/>
        <w:ind w:firstLine="284"/>
        <w:jc w:val="both"/>
        <w:rPr>
          <w:rFonts w:ascii="AGaramond" w:eastAsia="Times New Roman" w:hAnsi="AGaramond"/>
        </w:rPr>
      </w:pPr>
      <w:r w:rsidRPr="00083019">
        <w:rPr>
          <w:rFonts w:ascii="AGaramond" w:hAnsi="AGaramond"/>
          <w:sz w:val="22"/>
          <w:szCs w:val="22"/>
        </w:rPr>
        <w:t>Las mujeres inmigrantes en Playa del Carmen fueron 22</w:t>
      </w:r>
      <w:r w:rsidR="00BA01D3" w:rsidRPr="00083019">
        <w:rPr>
          <w:rFonts w:ascii="Times New Roman" w:hAnsi="Times New Roman" w:cs="Times New Roman"/>
          <w:sz w:val="22"/>
          <w:szCs w:val="22"/>
        </w:rPr>
        <w:t> </w:t>
      </w:r>
      <w:r w:rsidRPr="00083019">
        <w:rPr>
          <w:rFonts w:ascii="AGaramond" w:hAnsi="AGaramond"/>
          <w:sz w:val="22"/>
          <w:szCs w:val="22"/>
        </w:rPr>
        <w:t>399 entre 2005 y 2010 y las emigrantes 1829, quiere decir esto que las migrantes netas durante ese lapso han sido 20</w:t>
      </w:r>
      <w:r w:rsidR="00BA01D3" w:rsidRPr="00083019">
        <w:rPr>
          <w:rFonts w:ascii="Times New Roman" w:hAnsi="Times New Roman" w:cs="Times New Roman"/>
          <w:sz w:val="22"/>
          <w:szCs w:val="22"/>
        </w:rPr>
        <w:t> </w:t>
      </w:r>
      <w:r w:rsidRPr="00083019">
        <w:rPr>
          <w:rFonts w:ascii="AGaramond" w:hAnsi="AGaramond"/>
          <w:sz w:val="22"/>
          <w:szCs w:val="22"/>
        </w:rPr>
        <w:t>570 mujeres. Las mayores proporciones de estas mujeres migrantes internas se han congregado en los grupos etarios quinquenales menores de los 40 años, y en especial, de 15 a 34</w:t>
      </w:r>
      <w:r w:rsidR="004C5979">
        <w:rPr>
          <w:rFonts w:ascii="AGaramond" w:hAnsi="AGaramond"/>
          <w:sz w:val="22"/>
          <w:szCs w:val="22"/>
        </w:rPr>
        <w:t>;</w:t>
      </w:r>
      <w:r w:rsidRPr="00083019">
        <w:rPr>
          <w:rFonts w:ascii="AGaramond" w:hAnsi="AGaramond"/>
          <w:sz w:val="22"/>
          <w:szCs w:val="22"/>
        </w:rPr>
        <w:t xml:space="preserve"> es decir, migrantes jóvenes y adultas jóvenes, principalmente. Las féminas residentes en Playa del Carmen han pasado de 50</w:t>
      </w:r>
      <w:r w:rsidR="00DA5005" w:rsidRPr="00083019">
        <w:rPr>
          <w:rFonts w:ascii="Times New Roman" w:hAnsi="Times New Roman" w:cs="Times New Roman"/>
          <w:sz w:val="22"/>
          <w:szCs w:val="22"/>
        </w:rPr>
        <w:t> </w:t>
      </w:r>
      <w:r w:rsidRPr="00083019">
        <w:rPr>
          <w:rFonts w:ascii="AGaramond" w:hAnsi="AGaramond"/>
          <w:sz w:val="22"/>
          <w:szCs w:val="22"/>
        </w:rPr>
        <w:t>178 en 2005 a 70</w:t>
      </w:r>
      <w:r w:rsidR="00DA5005" w:rsidRPr="00083019">
        <w:rPr>
          <w:rFonts w:ascii="Times New Roman" w:hAnsi="Times New Roman" w:cs="Times New Roman"/>
          <w:sz w:val="22"/>
          <w:szCs w:val="22"/>
        </w:rPr>
        <w:t> </w:t>
      </w:r>
      <w:r w:rsidRPr="00083019">
        <w:rPr>
          <w:rFonts w:ascii="AGaramond" w:hAnsi="AGaramond"/>
          <w:sz w:val="22"/>
          <w:szCs w:val="22"/>
        </w:rPr>
        <w:t>748 en 2010 (véase Cuadro 5).</w:t>
      </w:r>
    </w:p>
    <w:p w14:paraId="0912B97D" w14:textId="0BD34A05" w:rsidR="00A042B1" w:rsidRPr="00083019" w:rsidRDefault="00C1273F" w:rsidP="007E57FA">
      <w:pPr>
        <w:pStyle w:val="Textoindependiente"/>
        <w:spacing w:line="360" w:lineRule="auto"/>
        <w:ind w:firstLine="284"/>
        <w:jc w:val="both"/>
        <w:rPr>
          <w:rFonts w:ascii="AGaramond" w:hAnsi="AGaramond"/>
          <w:sz w:val="22"/>
          <w:szCs w:val="22"/>
        </w:rPr>
      </w:pPr>
      <w:r w:rsidRPr="00083019">
        <w:rPr>
          <w:rFonts w:ascii="AGaramond" w:hAnsi="AGaramond"/>
          <w:sz w:val="22"/>
          <w:szCs w:val="22"/>
        </w:rPr>
        <w:t xml:space="preserve">Por tanto, en el lapso 2005-2010, la población total </w:t>
      </w:r>
      <w:proofErr w:type="spellStart"/>
      <w:r w:rsidRPr="00083019">
        <w:rPr>
          <w:rFonts w:ascii="AGaramond" w:hAnsi="AGaramond"/>
          <w:sz w:val="22"/>
          <w:szCs w:val="22"/>
        </w:rPr>
        <w:t>playense</w:t>
      </w:r>
      <w:proofErr w:type="spellEnd"/>
      <w:r w:rsidRPr="00083019">
        <w:rPr>
          <w:rFonts w:ascii="AGaramond" w:hAnsi="AGaramond"/>
          <w:sz w:val="22"/>
          <w:szCs w:val="22"/>
        </w:rPr>
        <w:t xml:space="preserve"> ha pasado de 101</w:t>
      </w:r>
      <w:r w:rsidR="00DA5005" w:rsidRPr="00083019">
        <w:rPr>
          <w:rFonts w:ascii="Times New Roman" w:hAnsi="Times New Roman" w:cs="Times New Roman"/>
          <w:sz w:val="22"/>
          <w:szCs w:val="22"/>
        </w:rPr>
        <w:t> </w:t>
      </w:r>
      <w:r w:rsidRPr="00083019">
        <w:rPr>
          <w:rFonts w:ascii="AGaramond" w:hAnsi="AGaramond"/>
          <w:sz w:val="22"/>
          <w:szCs w:val="22"/>
        </w:rPr>
        <w:t>753 a 144</w:t>
      </w:r>
      <w:r w:rsidR="00DA5005" w:rsidRPr="00083019">
        <w:rPr>
          <w:rFonts w:ascii="Times New Roman" w:hAnsi="Times New Roman" w:cs="Times New Roman"/>
          <w:sz w:val="22"/>
          <w:szCs w:val="22"/>
        </w:rPr>
        <w:t> </w:t>
      </w:r>
      <w:r w:rsidRPr="00083019">
        <w:rPr>
          <w:rFonts w:ascii="AGaramond" w:hAnsi="AGaramond"/>
          <w:sz w:val="22"/>
          <w:szCs w:val="22"/>
        </w:rPr>
        <w:t>680 individuos</w:t>
      </w:r>
      <w:r w:rsidRPr="00083019">
        <w:rPr>
          <w:rStyle w:val="Refdenotaalpie"/>
          <w:rFonts w:ascii="AGaramond" w:hAnsi="AGaramond"/>
          <w:sz w:val="22"/>
          <w:szCs w:val="22"/>
        </w:rPr>
        <w:footnoteReference w:id="5"/>
      </w:r>
      <w:r w:rsidR="00251B74" w:rsidRPr="00083019">
        <w:rPr>
          <w:rFonts w:ascii="AGaramond" w:hAnsi="AGaramond"/>
          <w:sz w:val="22"/>
          <w:szCs w:val="22"/>
        </w:rPr>
        <w:t>.</w:t>
      </w:r>
      <w:r w:rsidRPr="00083019">
        <w:rPr>
          <w:rFonts w:ascii="AGaramond" w:hAnsi="AGaramond"/>
          <w:sz w:val="22"/>
          <w:szCs w:val="22"/>
        </w:rPr>
        <w:t xml:space="preserve"> Los inmigrantes fueron 47</w:t>
      </w:r>
      <w:r w:rsidR="00DA5005" w:rsidRPr="00083019">
        <w:rPr>
          <w:rFonts w:ascii="Times New Roman" w:hAnsi="Times New Roman" w:cs="Times New Roman"/>
          <w:sz w:val="22"/>
          <w:szCs w:val="22"/>
        </w:rPr>
        <w:t> </w:t>
      </w:r>
      <w:r w:rsidR="00DA5005" w:rsidRPr="00083019">
        <w:rPr>
          <w:rFonts w:ascii="AGaramond" w:hAnsi="AGaramond" w:cs="Times New Roman"/>
          <w:sz w:val="22"/>
          <w:szCs w:val="22"/>
        </w:rPr>
        <w:t>0</w:t>
      </w:r>
      <w:r w:rsidRPr="00083019">
        <w:rPr>
          <w:rFonts w:ascii="AGaramond" w:hAnsi="AGaramond"/>
          <w:sz w:val="22"/>
          <w:szCs w:val="22"/>
        </w:rPr>
        <w:t>72</w:t>
      </w:r>
      <w:r w:rsidR="004C5979">
        <w:rPr>
          <w:rFonts w:ascii="AGaramond" w:hAnsi="AGaramond"/>
          <w:sz w:val="22"/>
          <w:szCs w:val="22"/>
        </w:rPr>
        <w:t>;</w:t>
      </w:r>
      <w:r w:rsidRPr="00083019">
        <w:rPr>
          <w:rFonts w:ascii="AGaramond" w:hAnsi="AGaramond"/>
          <w:sz w:val="22"/>
          <w:szCs w:val="22"/>
        </w:rPr>
        <w:t xml:space="preserve"> es decir, personas que 5 años antes vivían en cualquier lugar del país externo a Playa del Carmen, mientras que los emigrantes fueron 4145, individuos que en 2005 vivían en la ciudad, pero en 2010 en cualquier otra parte de México. Dada esa movilidad territorial, la migración neta interna del centro urbano fue de 42</w:t>
      </w:r>
      <w:r w:rsidR="00DA5005" w:rsidRPr="00083019">
        <w:rPr>
          <w:rFonts w:ascii="Times New Roman" w:hAnsi="Times New Roman" w:cs="Times New Roman"/>
          <w:sz w:val="22"/>
          <w:szCs w:val="22"/>
        </w:rPr>
        <w:t> </w:t>
      </w:r>
      <w:r w:rsidRPr="00083019">
        <w:rPr>
          <w:rFonts w:ascii="AGaramond" w:hAnsi="AGaramond"/>
          <w:sz w:val="22"/>
          <w:szCs w:val="22"/>
        </w:rPr>
        <w:t>927 personas en 2005-2010. Las mayores proporciones de inmigrantes en la ciudad caribeña se han acumulado en los grupos de edades inferiores a los 40 años</w:t>
      </w:r>
      <w:r w:rsidR="004C5979">
        <w:rPr>
          <w:rFonts w:ascii="AGaramond" w:hAnsi="AGaramond"/>
          <w:sz w:val="22"/>
          <w:szCs w:val="22"/>
        </w:rPr>
        <w:t>;</w:t>
      </w:r>
      <w:r w:rsidRPr="00083019">
        <w:rPr>
          <w:rFonts w:ascii="AGaramond" w:hAnsi="AGaramond"/>
          <w:sz w:val="22"/>
          <w:szCs w:val="22"/>
        </w:rPr>
        <w:t xml:space="preserve"> es decir, jóvenes y adultos jóvenes, principalmente, junto a la población infantil, lo cual ha sido un indicador de la migración de grupos familiares completos, pues por lo general </w:t>
      </w:r>
      <w:proofErr w:type="gramStart"/>
      <w:r w:rsidRPr="00083019">
        <w:rPr>
          <w:rFonts w:ascii="AGaramond" w:hAnsi="AGaramond"/>
          <w:sz w:val="22"/>
          <w:szCs w:val="22"/>
        </w:rPr>
        <w:t>los niños y niñas</w:t>
      </w:r>
      <w:proofErr w:type="gramEnd"/>
      <w:r w:rsidRPr="00083019">
        <w:rPr>
          <w:rFonts w:ascii="AGaramond" w:hAnsi="AGaramond"/>
          <w:sz w:val="22"/>
          <w:szCs w:val="22"/>
        </w:rPr>
        <w:t xml:space="preserve"> han migrado acompañados (véase Cuadro 6).</w:t>
      </w:r>
    </w:p>
    <w:p w14:paraId="5E36BB86" w14:textId="77777777" w:rsidR="00A042B1" w:rsidRPr="00083019" w:rsidRDefault="00A042B1">
      <w:pPr>
        <w:rPr>
          <w:rFonts w:ascii="AGaramond" w:hAnsi="AGaramond"/>
          <w:sz w:val="22"/>
          <w:szCs w:val="22"/>
        </w:rPr>
      </w:pPr>
      <w:r w:rsidRPr="00083019">
        <w:rPr>
          <w:rFonts w:ascii="AGaramond" w:hAnsi="AGaramond"/>
          <w:sz w:val="22"/>
          <w:szCs w:val="22"/>
        </w:rPr>
        <w:br w:type="page"/>
      </w:r>
    </w:p>
    <w:p w14:paraId="39ABA068" w14:textId="77777777" w:rsidR="0010523F" w:rsidRPr="00083019" w:rsidRDefault="0010523F" w:rsidP="0010523F">
      <w:pPr>
        <w:autoSpaceDE w:val="0"/>
        <w:autoSpaceDN w:val="0"/>
        <w:adjustRightInd w:val="0"/>
        <w:spacing w:line="360" w:lineRule="auto"/>
        <w:jc w:val="center"/>
        <w:rPr>
          <w:rFonts w:ascii="AGaramond" w:eastAsia="Yu Mincho" w:hAnsi="AGaramond" w:cs="Times New Roman"/>
          <w:sz w:val="22"/>
          <w:szCs w:val="22"/>
          <w:lang w:val="es-MX" w:eastAsia="es-MX"/>
        </w:rPr>
      </w:pPr>
      <w:r w:rsidRPr="00083019">
        <w:rPr>
          <w:rFonts w:ascii="AGaramond" w:eastAsia="Yu Mincho" w:hAnsi="AGaramond" w:cs="Times New Roman"/>
          <w:sz w:val="22"/>
          <w:szCs w:val="22"/>
          <w:lang w:val="es-MX" w:eastAsia="es-MX"/>
        </w:rPr>
        <w:lastRenderedPageBreak/>
        <w:t>Cuadro 4. Migración superviviente masculina hacia y desde Playa del Carmen por edad, 2005-2010</w:t>
      </w:r>
    </w:p>
    <w:p w14:paraId="08359252" w14:textId="77777777" w:rsidR="0010523F" w:rsidRPr="00083019" w:rsidRDefault="0010523F" w:rsidP="0010523F">
      <w:pPr>
        <w:autoSpaceDE w:val="0"/>
        <w:autoSpaceDN w:val="0"/>
        <w:adjustRightInd w:val="0"/>
        <w:spacing w:after="60" w:line="360" w:lineRule="auto"/>
        <w:jc w:val="center"/>
        <w:rPr>
          <w:rFonts w:ascii="AGaramond" w:eastAsia="Yu Mincho" w:hAnsi="AGaramond" w:cs="Times New Roman"/>
          <w:sz w:val="22"/>
          <w:szCs w:val="22"/>
          <w:lang w:val="es-MX" w:eastAsia="es-MX"/>
        </w:rPr>
      </w:pPr>
      <w:r w:rsidRPr="00083019">
        <w:rPr>
          <w:rFonts w:ascii="AGaramond" w:eastAsia="Yu Mincho" w:hAnsi="AGaramond" w:cs="Times New Roman"/>
          <w:noProof/>
          <w:lang w:val="es-ES" w:eastAsia="es-ES"/>
        </w:rPr>
        <w:drawing>
          <wp:inline distT="0" distB="0" distL="0" distR="0" wp14:anchorId="41CF43CB" wp14:editId="4768A8B9">
            <wp:extent cx="5580000" cy="7380000"/>
            <wp:effectExtent l="0" t="0" r="1905" b="0"/>
            <wp:docPr id="32" name="Imagen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0000" cy="7380000"/>
                    </a:xfrm>
                    <a:prstGeom prst="rect">
                      <a:avLst/>
                    </a:prstGeom>
                    <a:noFill/>
                    <a:ln>
                      <a:noFill/>
                    </a:ln>
                  </pic:spPr>
                </pic:pic>
              </a:graphicData>
            </a:graphic>
          </wp:inline>
        </w:drawing>
      </w:r>
    </w:p>
    <w:p w14:paraId="0A3B13C8" w14:textId="24DAA048" w:rsidR="0010523F" w:rsidRPr="00083019" w:rsidRDefault="0010523F" w:rsidP="0010523F">
      <w:pPr>
        <w:autoSpaceDE w:val="0"/>
        <w:autoSpaceDN w:val="0"/>
        <w:adjustRightInd w:val="0"/>
        <w:spacing w:after="60" w:line="360" w:lineRule="auto"/>
        <w:jc w:val="both"/>
        <w:rPr>
          <w:rFonts w:ascii="AGaramond" w:eastAsia="Times New Roman" w:hAnsi="AGaramond" w:cs="Times New Roman"/>
          <w:sz w:val="20"/>
          <w:szCs w:val="20"/>
          <w:lang w:val="es-MX" w:eastAsia="es-MX"/>
        </w:rPr>
      </w:pPr>
      <w:r w:rsidRPr="00083019">
        <w:rPr>
          <w:rFonts w:ascii="AGaramond" w:eastAsia="Times New Roman" w:hAnsi="AGaramond" w:cs="Times New Roman"/>
          <w:sz w:val="20"/>
          <w:szCs w:val="20"/>
          <w:lang w:val="es-MX" w:eastAsia="es-MX"/>
        </w:rPr>
        <w:t>Fuente: XIII Censo General de Población y Vivienda 2010 (microdatos) y estimaciones del autor para los niños de 0-4 años.</w:t>
      </w:r>
    </w:p>
    <w:p w14:paraId="06451F9E" w14:textId="77777777" w:rsidR="0010523F" w:rsidRPr="00083019" w:rsidRDefault="0010523F">
      <w:pPr>
        <w:rPr>
          <w:rFonts w:ascii="AGaramond" w:eastAsia="Times New Roman" w:hAnsi="AGaramond" w:cs="Times New Roman"/>
          <w:sz w:val="20"/>
          <w:szCs w:val="20"/>
          <w:lang w:val="es-MX" w:eastAsia="es-MX"/>
        </w:rPr>
      </w:pPr>
      <w:r w:rsidRPr="00083019">
        <w:rPr>
          <w:rFonts w:ascii="AGaramond" w:eastAsia="Times New Roman" w:hAnsi="AGaramond" w:cs="Times New Roman"/>
          <w:sz w:val="20"/>
          <w:szCs w:val="20"/>
          <w:lang w:val="es-MX" w:eastAsia="es-MX"/>
        </w:rPr>
        <w:br w:type="page"/>
      </w:r>
    </w:p>
    <w:p w14:paraId="177297C8" w14:textId="77777777" w:rsidR="0010523F" w:rsidRPr="00083019" w:rsidRDefault="0010523F" w:rsidP="0010523F">
      <w:pPr>
        <w:autoSpaceDE w:val="0"/>
        <w:autoSpaceDN w:val="0"/>
        <w:adjustRightInd w:val="0"/>
        <w:spacing w:line="360" w:lineRule="auto"/>
        <w:jc w:val="center"/>
        <w:rPr>
          <w:rFonts w:ascii="AGaramond" w:eastAsia="Times New Roman" w:hAnsi="AGaramond" w:cs="Times New Roman"/>
          <w:sz w:val="22"/>
          <w:szCs w:val="22"/>
          <w:lang w:val="es-MX" w:eastAsia="es-MX"/>
        </w:rPr>
      </w:pPr>
      <w:r w:rsidRPr="00083019">
        <w:rPr>
          <w:rFonts w:ascii="AGaramond" w:eastAsia="Yu Mincho" w:hAnsi="AGaramond" w:cs="Times New Roman"/>
          <w:sz w:val="22"/>
          <w:szCs w:val="22"/>
          <w:lang w:val="es-MX" w:eastAsia="es-MX"/>
        </w:rPr>
        <w:lastRenderedPageBreak/>
        <w:t>Cuadro 5. Migración superviviente femenina hacia y desde Playa del Carmen por edad, 2005-2010</w:t>
      </w:r>
    </w:p>
    <w:p w14:paraId="22358902" w14:textId="77777777" w:rsidR="0010523F" w:rsidRPr="00083019" w:rsidRDefault="0010523F" w:rsidP="0010523F">
      <w:pPr>
        <w:autoSpaceDE w:val="0"/>
        <w:autoSpaceDN w:val="0"/>
        <w:adjustRightInd w:val="0"/>
        <w:spacing w:after="60" w:line="360" w:lineRule="auto"/>
        <w:jc w:val="center"/>
        <w:rPr>
          <w:rFonts w:ascii="AGaramond" w:eastAsia="Yu Mincho" w:hAnsi="AGaramond" w:cs="Times New Roman"/>
          <w:sz w:val="22"/>
          <w:szCs w:val="22"/>
          <w:lang w:val="es-MX" w:eastAsia="es-MX"/>
        </w:rPr>
      </w:pPr>
      <w:r w:rsidRPr="00083019">
        <w:rPr>
          <w:rFonts w:ascii="AGaramond" w:eastAsia="Yu Mincho" w:hAnsi="AGaramond" w:cs="Times New Roman"/>
          <w:noProof/>
          <w:lang w:val="es-ES" w:eastAsia="es-ES"/>
        </w:rPr>
        <w:drawing>
          <wp:inline distT="0" distB="0" distL="0" distR="0" wp14:anchorId="151DA337" wp14:editId="2D0B3EF0">
            <wp:extent cx="5580000" cy="7380000"/>
            <wp:effectExtent l="0" t="0" r="1905" b="0"/>
            <wp:docPr id="31" name="Imagen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0000" cy="7380000"/>
                    </a:xfrm>
                    <a:prstGeom prst="rect">
                      <a:avLst/>
                    </a:prstGeom>
                    <a:noFill/>
                    <a:ln>
                      <a:noFill/>
                    </a:ln>
                  </pic:spPr>
                </pic:pic>
              </a:graphicData>
            </a:graphic>
          </wp:inline>
        </w:drawing>
      </w:r>
    </w:p>
    <w:p w14:paraId="7AD5D1C9" w14:textId="7D1B51E8" w:rsidR="0010523F" w:rsidRPr="00083019" w:rsidRDefault="0010523F" w:rsidP="0010523F">
      <w:pPr>
        <w:autoSpaceDE w:val="0"/>
        <w:autoSpaceDN w:val="0"/>
        <w:adjustRightInd w:val="0"/>
        <w:spacing w:after="60" w:line="360" w:lineRule="auto"/>
        <w:jc w:val="both"/>
        <w:rPr>
          <w:rFonts w:ascii="AGaramond" w:eastAsia="Times New Roman" w:hAnsi="AGaramond" w:cs="Times New Roman"/>
          <w:sz w:val="20"/>
          <w:szCs w:val="20"/>
          <w:lang w:val="es-MX" w:eastAsia="es-MX"/>
        </w:rPr>
      </w:pPr>
      <w:r w:rsidRPr="00083019">
        <w:rPr>
          <w:rFonts w:ascii="AGaramond" w:eastAsia="Times New Roman" w:hAnsi="AGaramond" w:cs="Times New Roman"/>
          <w:sz w:val="20"/>
          <w:szCs w:val="20"/>
          <w:lang w:val="es-MX" w:eastAsia="es-MX"/>
        </w:rPr>
        <w:t>Fuente: XIII Censo General de Población y Vivienda 2010 (microdatos) y estimaciones del autor para las niñas de 0-4 años.</w:t>
      </w:r>
    </w:p>
    <w:p w14:paraId="1C2229D8" w14:textId="77777777" w:rsidR="0010523F" w:rsidRPr="00083019" w:rsidRDefault="0010523F">
      <w:pPr>
        <w:rPr>
          <w:rFonts w:ascii="AGaramond" w:eastAsia="Times New Roman" w:hAnsi="AGaramond" w:cs="Times New Roman"/>
          <w:sz w:val="20"/>
          <w:szCs w:val="20"/>
          <w:lang w:val="es-MX" w:eastAsia="es-MX"/>
        </w:rPr>
      </w:pPr>
      <w:r w:rsidRPr="00083019">
        <w:rPr>
          <w:rFonts w:ascii="AGaramond" w:eastAsia="Times New Roman" w:hAnsi="AGaramond" w:cs="Times New Roman"/>
          <w:sz w:val="20"/>
          <w:szCs w:val="20"/>
          <w:lang w:val="es-MX" w:eastAsia="es-MX"/>
        </w:rPr>
        <w:br w:type="page"/>
      </w:r>
    </w:p>
    <w:p w14:paraId="77DE17D5" w14:textId="77777777" w:rsidR="0010523F" w:rsidRPr="00083019" w:rsidRDefault="0010523F" w:rsidP="0010523F">
      <w:pPr>
        <w:autoSpaceDE w:val="0"/>
        <w:autoSpaceDN w:val="0"/>
        <w:adjustRightInd w:val="0"/>
        <w:spacing w:line="360" w:lineRule="auto"/>
        <w:jc w:val="center"/>
        <w:rPr>
          <w:rFonts w:ascii="AGaramond" w:eastAsia="Yu Mincho" w:hAnsi="AGaramond" w:cs="Times New Roman"/>
          <w:sz w:val="22"/>
          <w:szCs w:val="22"/>
          <w:lang w:val="es-MX" w:eastAsia="es-MX"/>
        </w:rPr>
      </w:pPr>
      <w:r w:rsidRPr="00083019">
        <w:rPr>
          <w:rFonts w:ascii="AGaramond" w:eastAsia="Yu Mincho" w:hAnsi="AGaramond" w:cs="Times New Roman"/>
          <w:sz w:val="22"/>
          <w:szCs w:val="22"/>
          <w:lang w:val="es-MX" w:eastAsia="es-MX"/>
        </w:rPr>
        <w:lastRenderedPageBreak/>
        <w:t>Cuadro 6. Migración superviviente hacia y desde Playa del Carmen por edad, 2005-2010</w:t>
      </w:r>
    </w:p>
    <w:p w14:paraId="1E45447C" w14:textId="77777777" w:rsidR="0010523F" w:rsidRPr="00083019" w:rsidRDefault="0010523F" w:rsidP="0010523F">
      <w:pPr>
        <w:autoSpaceDE w:val="0"/>
        <w:autoSpaceDN w:val="0"/>
        <w:adjustRightInd w:val="0"/>
        <w:spacing w:after="60" w:line="360" w:lineRule="auto"/>
        <w:jc w:val="center"/>
        <w:rPr>
          <w:rFonts w:ascii="AGaramond" w:eastAsia="Times New Roman" w:hAnsi="AGaramond" w:cs="Times New Roman"/>
          <w:noProof/>
          <w:sz w:val="22"/>
          <w:szCs w:val="22"/>
          <w:lang w:val="es-MX" w:eastAsia="es-MX"/>
        </w:rPr>
      </w:pPr>
      <w:r w:rsidRPr="00083019">
        <w:rPr>
          <w:rFonts w:ascii="AGaramond" w:eastAsia="Yu Mincho" w:hAnsi="AGaramond" w:cs="Times New Roman"/>
          <w:noProof/>
          <w:lang w:val="es-ES" w:eastAsia="es-ES"/>
        </w:rPr>
        <w:drawing>
          <wp:inline distT="0" distB="0" distL="0" distR="0" wp14:anchorId="237A3B61" wp14:editId="2344C8F0">
            <wp:extent cx="5580000" cy="7380000"/>
            <wp:effectExtent l="0" t="0" r="1905" b="0"/>
            <wp:docPr id="30"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0000" cy="7380000"/>
                    </a:xfrm>
                    <a:prstGeom prst="rect">
                      <a:avLst/>
                    </a:prstGeom>
                    <a:noFill/>
                    <a:ln>
                      <a:noFill/>
                    </a:ln>
                  </pic:spPr>
                </pic:pic>
              </a:graphicData>
            </a:graphic>
          </wp:inline>
        </w:drawing>
      </w:r>
    </w:p>
    <w:p w14:paraId="6261177F" w14:textId="78194235" w:rsidR="0010523F" w:rsidRPr="00083019" w:rsidRDefault="0010523F" w:rsidP="0010523F">
      <w:pPr>
        <w:autoSpaceDE w:val="0"/>
        <w:autoSpaceDN w:val="0"/>
        <w:adjustRightInd w:val="0"/>
        <w:spacing w:after="60" w:line="360" w:lineRule="auto"/>
        <w:jc w:val="both"/>
        <w:rPr>
          <w:rFonts w:ascii="AGaramond" w:eastAsia="Times New Roman" w:hAnsi="AGaramond" w:cs="Times New Roman"/>
          <w:sz w:val="22"/>
          <w:szCs w:val="22"/>
          <w:lang w:val="es-MX" w:eastAsia="es-MX"/>
        </w:rPr>
      </w:pPr>
      <w:r w:rsidRPr="00083019">
        <w:rPr>
          <w:rFonts w:ascii="AGaramond" w:eastAsia="Times New Roman" w:hAnsi="AGaramond" w:cs="Times New Roman"/>
          <w:sz w:val="20"/>
          <w:szCs w:val="20"/>
          <w:lang w:val="es-MX" w:eastAsia="es-MX"/>
        </w:rPr>
        <w:t xml:space="preserve">Fuente: XIII Censo General de Población y Vivienda 2010 (microdatos) y estimaciones del autor para </w:t>
      </w:r>
      <w:proofErr w:type="gramStart"/>
      <w:r w:rsidRPr="00083019">
        <w:rPr>
          <w:rFonts w:ascii="AGaramond" w:eastAsia="Times New Roman" w:hAnsi="AGaramond" w:cs="Times New Roman"/>
          <w:sz w:val="20"/>
          <w:szCs w:val="20"/>
          <w:lang w:val="es-MX" w:eastAsia="es-MX"/>
        </w:rPr>
        <w:t>los niños y las niñas</w:t>
      </w:r>
      <w:proofErr w:type="gramEnd"/>
      <w:r w:rsidRPr="00083019">
        <w:rPr>
          <w:rFonts w:ascii="AGaramond" w:eastAsia="Times New Roman" w:hAnsi="AGaramond" w:cs="Times New Roman"/>
          <w:sz w:val="20"/>
          <w:szCs w:val="20"/>
          <w:lang w:val="es-MX" w:eastAsia="es-MX"/>
        </w:rPr>
        <w:t xml:space="preserve"> de 0-4 años.</w:t>
      </w:r>
    </w:p>
    <w:p w14:paraId="0D1493D5" w14:textId="605F1678" w:rsidR="00E87795" w:rsidRPr="00083019" w:rsidRDefault="00E87795" w:rsidP="002D23C8">
      <w:pPr>
        <w:pStyle w:val="Textonotapie"/>
        <w:spacing w:after="240" w:line="360" w:lineRule="auto"/>
        <w:ind w:firstLine="284"/>
        <w:jc w:val="both"/>
        <w:rPr>
          <w:rFonts w:ascii="AGaramond" w:hAnsi="AGaramond"/>
          <w:sz w:val="22"/>
          <w:szCs w:val="22"/>
        </w:rPr>
      </w:pPr>
      <w:r w:rsidRPr="00083019">
        <w:rPr>
          <w:rFonts w:ascii="AGaramond" w:hAnsi="AGaramond"/>
          <w:sz w:val="22"/>
          <w:szCs w:val="22"/>
        </w:rPr>
        <w:lastRenderedPageBreak/>
        <w:t>Así, Playa del Carmen entre 2005-2010 ya era “una comunidad de considerable magnitud y elevada densidad de población que alberga a una gran variedad de trabajadores especializados no agrícolas, así como a una elite cultural” (</w:t>
      </w:r>
      <w:proofErr w:type="spellStart"/>
      <w:r w:rsidR="008F7824">
        <w:rPr>
          <w:rFonts w:ascii="AGaramond" w:hAnsi="AGaramond"/>
          <w:sz w:val="22"/>
          <w:szCs w:val="22"/>
        </w:rPr>
        <w:t>Sjöberg</w:t>
      </w:r>
      <w:proofErr w:type="spellEnd"/>
      <w:r w:rsidRPr="00083019">
        <w:rPr>
          <w:rFonts w:ascii="AGaramond" w:hAnsi="AGaramond"/>
          <w:sz w:val="22"/>
          <w:szCs w:val="22"/>
        </w:rPr>
        <w:t>, 1965, p. 38)</w:t>
      </w:r>
      <w:r w:rsidR="004C5979">
        <w:rPr>
          <w:rFonts w:ascii="AGaramond" w:hAnsi="AGaramond"/>
          <w:sz w:val="22"/>
          <w:szCs w:val="22"/>
        </w:rPr>
        <w:t xml:space="preserve">; </w:t>
      </w:r>
      <w:r w:rsidRPr="00083019">
        <w:rPr>
          <w:rFonts w:ascii="AGaramond" w:hAnsi="AGaramond"/>
          <w:sz w:val="22"/>
          <w:szCs w:val="22"/>
        </w:rPr>
        <w:t>es decir, una ciudad. Inclusive, había superado los 100</w:t>
      </w:r>
      <w:r w:rsidR="005C340A" w:rsidRPr="00083019">
        <w:rPr>
          <w:rFonts w:ascii="Times New Roman" w:hAnsi="Times New Roman" w:cs="Times New Roman"/>
          <w:sz w:val="22"/>
          <w:szCs w:val="22"/>
        </w:rPr>
        <w:t> </w:t>
      </w:r>
      <w:r w:rsidR="005C340A" w:rsidRPr="00083019">
        <w:rPr>
          <w:rFonts w:ascii="AGaramond" w:hAnsi="AGaramond" w:cs="Times New Roman"/>
          <w:sz w:val="22"/>
          <w:szCs w:val="22"/>
        </w:rPr>
        <w:t>000</w:t>
      </w:r>
      <w:r w:rsidR="005C340A" w:rsidRPr="00083019">
        <w:rPr>
          <w:rFonts w:ascii="AGaramond" w:hAnsi="AGaramond"/>
          <w:sz w:val="22"/>
          <w:szCs w:val="22"/>
        </w:rPr>
        <w:t xml:space="preserve"> </w:t>
      </w:r>
      <w:r w:rsidRPr="00083019">
        <w:rPr>
          <w:rFonts w:ascii="AGaramond" w:hAnsi="AGaramond"/>
          <w:sz w:val="22"/>
          <w:szCs w:val="22"/>
        </w:rPr>
        <w:t>habitantes, un criterio cuantitativo sobre el cual ha habido consenso en cuanto al tamaño de aglomeraciones urbanas que han correspondido a ciudades (</w:t>
      </w:r>
      <w:proofErr w:type="spellStart"/>
      <w:r w:rsidRPr="00083019">
        <w:rPr>
          <w:rFonts w:ascii="AGaramond" w:hAnsi="AGaramond"/>
          <w:sz w:val="22"/>
          <w:szCs w:val="22"/>
        </w:rPr>
        <w:t>Geigel</w:t>
      </w:r>
      <w:proofErr w:type="spellEnd"/>
      <w:r w:rsidRPr="00083019">
        <w:rPr>
          <w:rFonts w:ascii="AGaramond" w:hAnsi="AGaramond"/>
          <w:sz w:val="22"/>
          <w:szCs w:val="22"/>
        </w:rPr>
        <w:t>, 1993, p. 13; CELADE-CEPAL-ONU, 2009, p. 21).</w:t>
      </w:r>
    </w:p>
    <w:p w14:paraId="69781D01" w14:textId="735B6CF6" w:rsidR="00E87795" w:rsidRPr="00083019" w:rsidRDefault="00E87795" w:rsidP="002D23C8">
      <w:pPr>
        <w:pStyle w:val="Textonotapie"/>
        <w:spacing w:after="240" w:line="360" w:lineRule="auto"/>
        <w:ind w:firstLine="284"/>
        <w:jc w:val="both"/>
        <w:rPr>
          <w:rFonts w:ascii="AGaramond" w:hAnsi="AGaramond"/>
          <w:sz w:val="22"/>
          <w:szCs w:val="22"/>
        </w:rPr>
      </w:pPr>
      <w:r w:rsidRPr="00083019">
        <w:rPr>
          <w:rFonts w:ascii="AGaramond" w:hAnsi="AGaramond"/>
          <w:sz w:val="22"/>
          <w:szCs w:val="22"/>
        </w:rPr>
        <w:t>Entre 2010 y 2015, 24</w:t>
      </w:r>
      <w:r w:rsidR="005C340A" w:rsidRPr="00083019">
        <w:rPr>
          <w:rFonts w:ascii="Times New Roman" w:hAnsi="Times New Roman" w:cs="Times New Roman"/>
          <w:sz w:val="22"/>
          <w:szCs w:val="22"/>
        </w:rPr>
        <w:t> </w:t>
      </w:r>
      <w:r w:rsidRPr="00083019">
        <w:rPr>
          <w:rFonts w:ascii="AGaramond" w:hAnsi="AGaramond"/>
          <w:sz w:val="22"/>
          <w:szCs w:val="22"/>
        </w:rPr>
        <w:t xml:space="preserve">271 inmigrantes hombres han arribado a Playa de Carmen desde el resto del territorio mexicano y 3244 varones emigrantes han dejado la ciudad hacia otros lugares de México, quiere decir esto que los migrantes </w:t>
      </w:r>
      <w:r w:rsidRPr="00083019">
        <w:rPr>
          <w:rFonts w:ascii="AGaramond" w:eastAsia="Times New Roman" w:hAnsi="AGaramond"/>
          <w:noProof/>
          <w:sz w:val="22"/>
          <w:szCs w:val="22"/>
        </w:rPr>
        <w:t>varones</w:t>
      </w:r>
      <w:r w:rsidRPr="00083019">
        <w:rPr>
          <w:rFonts w:ascii="AGaramond" w:hAnsi="AGaramond"/>
          <w:sz w:val="22"/>
          <w:szCs w:val="22"/>
        </w:rPr>
        <w:t xml:space="preserve"> netos durante el último lustro bajo estudio fueron 21</w:t>
      </w:r>
      <w:r w:rsidR="005C340A" w:rsidRPr="00083019">
        <w:rPr>
          <w:rFonts w:ascii="Times New Roman" w:hAnsi="Times New Roman" w:cs="Times New Roman"/>
          <w:sz w:val="22"/>
          <w:szCs w:val="22"/>
        </w:rPr>
        <w:t> </w:t>
      </w:r>
      <w:r w:rsidR="005C340A" w:rsidRPr="00083019">
        <w:rPr>
          <w:rFonts w:ascii="AGaramond" w:hAnsi="AGaramond" w:cs="Times New Roman"/>
          <w:sz w:val="22"/>
          <w:szCs w:val="22"/>
        </w:rPr>
        <w:t>0</w:t>
      </w:r>
      <w:r w:rsidRPr="00083019">
        <w:rPr>
          <w:rFonts w:ascii="AGaramond" w:hAnsi="AGaramond"/>
          <w:sz w:val="22"/>
          <w:szCs w:val="22"/>
        </w:rPr>
        <w:t xml:space="preserve">27 individuos. Las más altas proporciones de estos migrantes internos masculinos se han reunido entre los 15 y 39 </w:t>
      </w:r>
      <w:proofErr w:type="gramStart"/>
      <w:r w:rsidRPr="00083019">
        <w:rPr>
          <w:rFonts w:ascii="AGaramond" w:hAnsi="AGaramond"/>
          <w:sz w:val="22"/>
          <w:szCs w:val="22"/>
        </w:rPr>
        <w:t>años de edad</w:t>
      </w:r>
      <w:proofErr w:type="gramEnd"/>
      <w:r w:rsidRPr="00083019">
        <w:rPr>
          <w:rFonts w:ascii="AGaramond" w:hAnsi="AGaramond"/>
          <w:sz w:val="22"/>
          <w:szCs w:val="22"/>
        </w:rPr>
        <w:t>. Los hombres residentes en Playa del Carmen han pasado de 75</w:t>
      </w:r>
      <w:r w:rsidR="005C340A" w:rsidRPr="00083019">
        <w:rPr>
          <w:rFonts w:ascii="Times New Roman" w:hAnsi="Times New Roman" w:cs="Times New Roman"/>
          <w:sz w:val="22"/>
          <w:szCs w:val="22"/>
        </w:rPr>
        <w:t> </w:t>
      </w:r>
      <w:r w:rsidRPr="00083019">
        <w:rPr>
          <w:rFonts w:ascii="AGaramond" w:hAnsi="AGaramond"/>
          <w:sz w:val="22"/>
          <w:szCs w:val="22"/>
        </w:rPr>
        <w:t>475 en 2010 a 96</w:t>
      </w:r>
      <w:r w:rsidR="005C340A" w:rsidRPr="00083019">
        <w:rPr>
          <w:rFonts w:ascii="Times New Roman" w:hAnsi="Times New Roman" w:cs="Times New Roman"/>
          <w:sz w:val="22"/>
          <w:szCs w:val="22"/>
        </w:rPr>
        <w:t> </w:t>
      </w:r>
      <w:r w:rsidRPr="00083019">
        <w:rPr>
          <w:rFonts w:ascii="AGaramond" w:hAnsi="AGaramond"/>
          <w:sz w:val="22"/>
          <w:szCs w:val="22"/>
        </w:rPr>
        <w:t>502 en 2015 (véase Cuadro 7).</w:t>
      </w:r>
    </w:p>
    <w:p w14:paraId="3FFDAC45" w14:textId="1DB06D4B" w:rsidR="00E87795" w:rsidRPr="00083019" w:rsidRDefault="00E87795" w:rsidP="002D23C8">
      <w:pPr>
        <w:pStyle w:val="Textonotapie"/>
        <w:spacing w:after="240" w:line="360" w:lineRule="auto"/>
        <w:ind w:firstLine="284"/>
        <w:jc w:val="both"/>
        <w:rPr>
          <w:rFonts w:ascii="AGaramond" w:eastAsia="Times New Roman" w:hAnsi="AGaramond"/>
          <w:sz w:val="22"/>
          <w:szCs w:val="22"/>
        </w:rPr>
      </w:pPr>
      <w:r w:rsidRPr="00083019">
        <w:rPr>
          <w:rFonts w:ascii="AGaramond" w:eastAsia="Times New Roman" w:hAnsi="AGaramond"/>
          <w:sz w:val="22"/>
          <w:szCs w:val="22"/>
        </w:rPr>
        <w:t>En el caso de las mujeres inmigrantes fueron 21</w:t>
      </w:r>
      <w:r w:rsidR="005C340A" w:rsidRPr="00083019">
        <w:rPr>
          <w:rFonts w:ascii="Times New Roman" w:eastAsia="Times New Roman" w:hAnsi="Times New Roman" w:cs="Times New Roman"/>
          <w:sz w:val="22"/>
          <w:szCs w:val="22"/>
        </w:rPr>
        <w:t> </w:t>
      </w:r>
      <w:r w:rsidRPr="00083019">
        <w:rPr>
          <w:rFonts w:ascii="AGaramond" w:eastAsia="Times New Roman" w:hAnsi="AGaramond"/>
          <w:sz w:val="22"/>
          <w:szCs w:val="22"/>
        </w:rPr>
        <w:t>478 en Playa de Carmen en 2010-2015 y las emigrantes desde dicha ciudad hacia el resto del territorio mexicano fueron 2656, entonces, las migrantes internas netas fueron 18</w:t>
      </w:r>
      <w:r w:rsidR="005C340A" w:rsidRPr="00083019">
        <w:rPr>
          <w:rFonts w:ascii="Times New Roman" w:eastAsia="Times New Roman" w:hAnsi="Times New Roman" w:cs="Times New Roman"/>
          <w:sz w:val="22"/>
          <w:szCs w:val="22"/>
        </w:rPr>
        <w:t> </w:t>
      </w:r>
      <w:r w:rsidRPr="00083019">
        <w:rPr>
          <w:rFonts w:ascii="AGaramond" w:eastAsia="Times New Roman" w:hAnsi="AGaramond"/>
          <w:sz w:val="22"/>
          <w:szCs w:val="22"/>
        </w:rPr>
        <w:t xml:space="preserve">822 mujeres. Las más altas proporciones de estas migrantes internas se han agrupado entre los 15 y 39 </w:t>
      </w:r>
      <w:proofErr w:type="gramStart"/>
      <w:r w:rsidRPr="00083019">
        <w:rPr>
          <w:rFonts w:ascii="AGaramond" w:eastAsia="Times New Roman" w:hAnsi="AGaramond"/>
          <w:sz w:val="22"/>
          <w:szCs w:val="22"/>
        </w:rPr>
        <w:t>años de edad</w:t>
      </w:r>
      <w:proofErr w:type="gramEnd"/>
      <w:r w:rsidRPr="00083019">
        <w:rPr>
          <w:rFonts w:ascii="AGaramond" w:eastAsia="Times New Roman" w:hAnsi="AGaramond"/>
          <w:sz w:val="22"/>
          <w:szCs w:val="22"/>
        </w:rPr>
        <w:t xml:space="preserve">, quiere decir ello, que eran migrantes jóvenes y adultas jóvenes, primordialmente. La población femenina residente en Playa </w:t>
      </w:r>
      <w:r w:rsidRPr="00083019">
        <w:rPr>
          <w:rFonts w:ascii="AGaramond" w:eastAsia="Times New Roman" w:hAnsi="AGaramond"/>
          <w:noProof/>
          <w:sz w:val="22"/>
          <w:szCs w:val="22"/>
        </w:rPr>
        <w:t>del</w:t>
      </w:r>
      <w:r w:rsidRPr="00083019">
        <w:rPr>
          <w:rFonts w:ascii="AGaramond" w:eastAsia="Times New Roman" w:hAnsi="AGaramond"/>
          <w:sz w:val="22"/>
          <w:szCs w:val="22"/>
        </w:rPr>
        <w:t xml:space="preserve"> Carmen ha pasado de 72</w:t>
      </w:r>
      <w:r w:rsidR="005C340A" w:rsidRPr="00083019">
        <w:rPr>
          <w:rFonts w:ascii="Times New Roman" w:eastAsia="Times New Roman" w:hAnsi="Times New Roman" w:cs="Times New Roman"/>
          <w:sz w:val="22"/>
          <w:szCs w:val="22"/>
        </w:rPr>
        <w:t> </w:t>
      </w:r>
      <w:r w:rsidRPr="00083019">
        <w:rPr>
          <w:rFonts w:ascii="AGaramond" w:eastAsia="Times New Roman" w:hAnsi="AGaramond"/>
          <w:sz w:val="22"/>
          <w:szCs w:val="22"/>
        </w:rPr>
        <w:t>250 a 91</w:t>
      </w:r>
      <w:r w:rsidR="005C340A" w:rsidRPr="00083019">
        <w:rPr>
          <w:rFonts w:ascii="Times New Roman" w:eastAsia="Times New Roman" w:hAnsi="Times New Roman" w:cs="Times New Roman"/>
          <w:sz w:val="22"/>
          <w:szCs w:val="22"/>
        </w:rPr>
        <w:t> </w:t>
      </w:r>
      <w:r w:rsidR="005C340A" w:rsidRPr="00083019">
        <w:rPr>
          <w:rFonts w:ascii="AGaramond" w:eastAsia="Times New Roman" w:hAnsi="AGaramond" w:cs="Times New Roman"/>
          <w:sz w:val="22"/>
          <w:szCs w:val="22"/>
        </w:rPr>
        <w:t>0</w:t>
      </w:r>
      <w:r w:rsidRPr="00083019">
        <w:rPr>
          <w:rFonts w:ascii="AGaramond" w:eastAsia="Times New Roman" w:hAnsi="AGaramond"/>
          <w:sz w:val="22"/>
          <w:szCs w:val="22"/>
        </w:rPr>
        <w:t>72 mujeres entre 2010 y 2015, respectivamente (véase Cuadro 8).</w:t>
      </w:r>
    </w:p>
    <w:p w14:paraId="01C6A50B" w14:textId="556FA5F9" w:rsidR="00E87795" w:rsidRPr="00083019" w:rsidRDefault="00E87795" w:rsidP="002D23C8">
      <w:pPr>
        <w:pStyle w:val="Textonotapie"/>
        <w:spacing w:after="240" w:line="360" w:lineRule="auto"/>
        <w:ind w:firstLine="284"/>
        <w:jc w:val="both"/>
        <w:rPr>
          <w:rFonts w:ascii="AGaramond" w:eastAsia="Times New Roman" w:hAnsi="AGaramond"/>
          <w:color w:val="FF0000"/>
          <w:sz w:val="22"/>
          <w:szCs w:val="22"/>
        </w:rPr>
      </w:pPr>
      <w:r w:rsidRPr="00083019">
        <w:rPr>
          <w:rFonts w:ascii="AGaramond" w:eastAsia="Times New Roman" w:hAnsi="AGaramond"/>
          <w:sz w:val="22"/>
          <w:szCs w:val="22"/>
        </w:rPr>
        <w:t>Entonces, en el tercer y último lustro bajo análisis la población total residente ha pasado de 147</w:t>
      </w:r>
      <w:r w:rsidR="005C340A" w:rsidRPr="00083019">
        <w:rPr>
          <w:rFonts w:ascii="Times New Roman" w:eastAsia="Times New Roman" w:hAnsi="Times New Roman" w:cs="Times New Roman"/>
          <w:sz w:val="22"/>
          <w:szCs w:val="22"/>
        </w:rPr>
        <w:t> </w:t>
      </w:r>
      <w:r w:rsidRPr="00083019">
        <w:rPr>
          <w:rFonts w:ascii="AGaramond" w:eastAsia="Times New Roman" w:hAnsi="AGaramond"/>
          <w:sz w:val="22"/>
          <w:szCs w:val="22"/>
        </w:rPr>
        <w:t>725 en 2010 a 187</w:t>
      </w:r>
      <w:r w:rsidR="005C340A" w:rsidRPr="00083019">
        <w:rPr>
          <w:rFonts w:ascii="Times New Roman" w:eastAsia="Times New Roman" w:hAnsi="Times New Roman" w:cs="Times New Roman"/>
          <w:sz w:val="22"/>
          <w:szCs w:val="22"/>
        </w:rPr>
        <w:t> </w:t>
      </w:r>
      <w:r w:rsidRPr="00083019">
        <w:rPr>
          <w:rFonts w:ascii="AGaramond" w:eastAsia="Times New Roman" w:hAnsi="AGaramond"/>
          <w:sz w:val="22"/>
          <w:szCs w:val="22"/>
        </w:rPr>
        <w:t>574 personas para 2015 en Playa del Carmen</w:t>
      </w:r>
      <w:r w:rsidRPr="00083019">
        <w:rPr>
          <w:rStyle w:val="Refdenotaalpie"/>
          <w:rFonts w:ascii="AGaramond" w:eastAsia="Times New Roman" w:hAnsi="AGaramond"/>
          <w:sz w:val="22"/>
          <w:szCs w:val="22"/>
        </w:rPr>
        <w:footnoteReference w:id="6"/>
      </w:r>
      <w:r w:rsidR="00D3589A" w:rsidRPr="00083019">
        <w:rPr>
          <w:rFonts w:ascii="AGaramond" w:eastAsia="Times New Roman" w:hAnsi="AGaramond"/>
          <w:sz w:val="22"/>
          <w:szCs w:val="22"/>
        </w:rPr>
        <w:t>.</w:t>
      </w:r>
      <w:r w:rsidRPr="00083019">
        <w:rPr>
          <w:rFonts w:ascii="AGaramond" w:eastAsia="Times New Roman" w:hAnsi="AGaramond"/>
          <w:sz w:val="22"/>
          <w:szCs w:val="22"/>
        </w:rPr>
        <w:t xml:space="preserve"> El saldo neto de migrantes internos fue 39</w:t>
      </w:r>
      <w:r w:rsidR="005C340A" w:rsidRPr="00083019">
        <w:rPr>
          <w:rFonts w:ascii="Times New Roman" w:eastAsia="Times New Roman" w:hAnsi="Times New Roman" w:cs="Times New Roman"/>
          <w:sz w:val="22"/>
          <w:szCs w:val="22"/>
        </w:rPr>
        <w:t> </w:t>
      </w:r>
      <w:r w:rsidRPr="00083019">
        <w:rPr>
          <w:rFonts w:ascii="AGaramond" w:eastAsia="Times New Roman" w:hAnsi="AGaramond"/>
          <w:sz w:val="22"/>
          <w:szCs w:val="22"/>
        </w:rPr>
        <w:t>849 sujetos, resultado de la diferencia de los 45</w:t>
      </w:r>
      <w:r w:rsidR="005C340A" w:rsidRPr="00083019">
        <w:rPr>
          <w:rFonts w:ascii="Times New Roman" w:eastAsia="Times New Roman" w:hAnsi="Times New Roman" w:cs="Times New Roman"/>
          <w:sz w:val="22"/>
          <w:szCs w:val="22"/>
        </w:rPr>
        <w:t> </w:t>
      </w:r>
      <w:r w:rsidRPr="00083019">
        <w:rPr>
          <w:rFonts w:ascii="AGaramond" w:eastAsia="Times New Roman" w:hAnsi="AGaramond"/>
          <w:sz w:val="22"/>
          <w:szCs w:val="22"/>
        </w:rPr>
        <w:t xml:space="preserve">749 inmigrantes y los 5900 emigrantes de la ciudad. Las mayores proporciones de </w:t>
      </w:r>
      <w:r w:rsidRPr="00083019">
        <w:rPr>
          <w:rFonts w:ascii="AGaramond" w:eastAsia="Times New Roman" w:hAnsi="AGaramond"/>
          <w:noProof/>
          <w:sz w:val="22"/>
          <w:szCs w:val="22"/>
        </w:rPr>
        <w:t>inmigrantes</w:t>
      </w:r>
      <w:r w:rsidRPr="00083019">
        <w:rPr>
          <w:rFonts w:ascii="AGaramond" w:eastAsia="Times New Roman" w:hAnsi="AGaramond"/>
          <w:sz w:val="22"/>
          <w:szCs w:val="22"/>
        </w:rPr>
        <w:t xml:space="preserve"> se han juntado en los grupos quinquenales inferiores a los 45 </w:t>
      </w:r>
      <w:proofErr w:type="gramStart"/>
      <w:r w:rsidRPr="00083019">
        <w:rPr>
          <w:rFonts w:ascii="AGaramond" w:eastAsia="Times New Roman" w:hAnsi="AGaramond"/>
          <w:sz w:val="22"/>
          <w:szCs w:val="22"/>
        </w:rPr>
        <w:t>años de edad</w:t>
      </w:r>
      <w:proofErr w:type="gramEnd"/>
      <w:r w:rsidR="004C5979">
        <w:rPr>
          <w:rFonts w:ascii="AGaramond" w:eastAsia="Times New Roman" w:hAnsi="AGaramond"/>
          <w:sz w:val="22"/>
          <w:szCs w:val="22"/>
        </w:rPr>
        <w:t>;</w:t>
      </w:r>
      <w:r w:rsidRPr="00083019">
        <w:rPr>
          <w:rFonts w:ascii="AGaramond" w:eastAsia="Times New Roman" w:hAnsi="AGaramond"/>
          <w:sz w:val="22"/>
          <w:szCs w:val="22"/>
        </w:rPr>
        <w:t xml:space="preserve"> es decir, individuos infantes, jóvenes y adultos jóvenes, básicamente (véase Cuadro 9).</w:t>
      </w:r>
    </w:p>
    <w:p w14:paraId="7C0DE442" w14:textId="3DD8D9AE" w:rsidR="00970AA8" w:rsidRPr="00083019" w:rsidRDefault="00E87795" w:rsidP="00E87795">
      <w:pPr>
        <w:pStyle w:val="Textoindependiente"/>
        <w:spacing w:line="360" w:lineRule="auto"/>
        <w:ind w:firstLine="284"/>
        <w:jc w:val="both"/>
        <w:rPr>
          <w:rFonts w:ascii="AGaramond" w:eastAsia="Times New Roman" w:hAnsi="AGaramond"/>
          <w:noProof/>
          <w:sz w:val="22"/>
          <w:szCs w:val="22"/>
        </w:rPr>
      </w:pPr>
      <w:r w:rsidRPr="00083019">
        <w:rPr>
          <w:rFonts w:ascii="AGaramond" w:eastAsia="Times New Roman" w:hAnsi="AGaramond"/>
          <w:sz w:val="22"/>
          <w:szCs w:val="22"/>
        </w:rPr>
        <w:t xml:space="preserve">En el análisis demográfico se han distinguido varios tipos de tasas para dar cuenta de la frecuencia relativa con que se ha presentado un evento dentro de una población o un subconjunto de ella, durante un </w:t>
      </w:r>
      <w:proofErr w:type="gramStart"/>
      <w:r w:rsidRPr="00083019">
        <w:rPr>
          <w:rFonts w:ascii="AGaramond" w:eastAsia="Times New Roman" w:hAnsi="AGaramond"/>
          <w:sz w:val="22"/>
          <w:szCs w:val="22"/>
        </w:rPr>
        <w:t>lapso de tiempo</w:t>
      </w:r>
      <w:proofErr w:type="gramEnd"/>
      <w:r w:rsidRPr="00083019">
        <w:rPr>
          <w:rFonts w:ascii="AGaramond" w:eastAsia="Times New Roman" w:hAnsi="AGaramond"/>
          <w:sz w:val="22"/>
          <w:szCs w:val="22"/>
        </w:rPr>
        <w:t xml:space="preserve"> determinado. Una primera de estas distinciones ha sido en tasas brutas, cuando “se refieren a toda la población en su conjunto”</w:t>
      </w:r>
      <w:r w:rsidRPr="00083019">
        <w:rPr>
          <w:rFonts w:ascii="AGaramond" w:eastAsia="Times New Roman" w:hAnsi="AGaramond"/>
          <w:noProof/>
          <w:sz w:val="22"/>
          <w:szCs w:val="22"/>
        </w:rPr>
        <w:t xml:space="preserve"> (Welti </w:t>
      </w:r>
      <w:r w:rsidR="00A341D3" w:rsidRPr="00083019">
        <w:rPr>
          <w:rFonts w:ascii="AGaramond" w:eastAsia="Times New Roman" w:hAnsi="AGaramond"/>
          <w:i/>
          <w:iCs/>
          <w:noProof/>
          <w:sz w:val="22"/>
          <w:szCs w:val="22"/>
        </w:rPr>
        <w:t>et al.</w:t>
      </w:r>
      <w:r w:rsidRPr="00083019">
        <w:rPr>
          <w:rFonts w:ascii="AGaramond" w:eastAsia="Times New Roman" w:hAnsi="AGaramond"/>
          <w:noProof/>
          <w:sz w:val="22"/>
          <w:szCs w:val="22"/>
        </w:rPr>
        <w:t>, 1997</w:t>
      </w:r>
      <w:r w:rsidR="00A341D3" w:rsidRPr="00083019">
        <w:rPr>
          <w:rFonts w:ascii="AGaramond" w:eastAsia="Times New Roman" w:hAnsi="AGaramond"/>
          <w:noProof/>
          <w:sz w:val="22"/>
          <w:szCs w:val="22"/>
        </w:rPr>
        <w:t>, p.</w:t>
      </w:r>
      <w:r w:rsidRPr="00083019">
        <w:rPr>
          <w:rFonts w:ascii="AGaramond" w:eastAsia="Times New Roman" w:hAnsi="AGaramond"/>
          <w:noProof/>
          <w:sz w:val="22"/>
          <w:szCs w:val="22"/>
        </w:rPr>
        <w:t xml:space="preserve"> 60) y en tasas específicas cuando “se refieren a subgrupos de la población diferenciados por distintas características (edad, estado civil, sexo, nacionalidad, estrato, etc.)” (Welti </w:t>
      </w:r>
      <w:r w:rsidR="00A341D3" w:rsidRPr="00083019">
        <w:rPr>
          <w:rFonts w:ascii="AGaramond" w:eastAsia="Times New Roman" w:hAnsi="AGaramond"/>
          <w:i/>
          <w:iCs/>
          <w:noProof/>
          <w:sz w:val="22"/>
          <w:szCs w:val="22"/>
        </w:rPr>
        <w:t>et al.</w:t>
      </w:r>
      <w:r w:rsidRPr="00083019">
        <w:rPr>
          <w:rFonts w:ascii="AGaramond" w:eastAsia="Times New Roman" w:hAnsi="AGaramond"/>
          <w:noProof/>
          <w:sz w:val="22"/>
          <w:szCs w:val="22"/>
        </w:rPr>
        <w:t>, 1997</w:t>
      </w:r>
      <w:r w:rsidR="00A341D3" w:rsidRPr="00083019">
        <w:rPr>
          <w:rFonts w:ascii="AGaramond" w:eastAsia="Times New Roman" w:hAnsi="AGaramond"/>
          <w:noProof/>
          <w:sz w:val="22"/>
          <w:szCs w:val="22"/>
        </w:rPr>
        <w:t>, p.</w:t>
      </w:r>
      <w:r w:rsidRPr="00083019">
        <w:rPr>
          <w:rFonts w:ascii="AGaramond" w:eastAsia="Times New Roman" w:hAnsi="AGaramond"/>
          <w:noProof/>
          <w:sz w:val="22"/>
          <w:szCs w:val="22"/>
        </w:rPr>
        <w:t xml:space="preserve"> 60).</w:t>
      </w:r>
    </w:p>
    <w:p w14:paraId="4323C32D" w14:textId="77777777" w:rsidR="00970AA8" w:rsidRPr="00083019" w:rsidRDefault="00970AA8">
      <w:pPr>
        <w:rPr>
          <w:rFonts w:ascii="AGaramond" w:eastAsia="Times New Roman" w:hAnsi="AGaramond"/>
          <w:noProof/>
          <w:sz w:val="22"/>
          <w:szCs w:val="22"/>
        </w:rPr>
      </w:pPr>
      <w:r w:rsidRPr="00083019">
        <w:rPr>
          <w:rFonts w:ascii="AGaramond" w:eastAsia="Times New Roman" w:hAnsi="AGaramond"/>
          <w:noProof/>
          <w:sz w:val="22"/>
          <w:szCs w:val="22"/>
        </w:rPr>
        <w:br w:type="page"/>
      </w:r>
    </w:p>
    <w:p w14:paraId="558A57F9" w14:textId="77777777" w:rsidR="00970AA8" w:rsidRPr="00083019" w:rsidRDefault="00970AA8" w:rsidP="00970AA8">
      <w:pPr>
        <w:spacing w:line="360" w:lineRule="auto"/>
        <w:jc w:val="center"/>
        <w:rPr>
          <w:rFonts w:ascii="AGaramond" w:eastAsia="Arial" w:hAnsi="AGaramond" w:cs="Times New Roman"/>
          <w:iCs/>
          <w:sz w:val="22"/>
          <w:szCs w:val="22"/>
          <w:lang w:val="es-MX" w:eastAsia="es-ES"/>
        </w:rPr>
      </w:pPr>
      <w:r w:rsidRPr="00083019">
        <w:rPr>
          <w:rFonts w:ascii="AGaramond" w:eastAsia="Arial" w:hAnsi="AGaramond" w:cs="Times New Roman"/>
          <w:iCs/>
          <w:sz w:val="22"/>
          <w:szCs w:val="22"/>
          <w:lang w:val="es-MX" w:eastAsia="es-ES"/>
        </w:rPr>
        <w:lastRenderedPageBreak/>
        <w:t>Cuadro 7. Migración superviviente masculina hacia y desde Playa del Carmen por edad, 2010-2015</w:t>
      </w:r>
    </w:p>
    <w:p w14:paraId="375DDACD" w14:textId="77777777" w:rsidR="00970AA8" w:rsidRPr="00083019" w:rsidRDefault="00970AA8" w:rsidP="00970AA8">
      <w:pPr>
        <w:spacing w:line="276" w:lineRule="auto"/>
        <w:jc w:val="center"/>
        <w:rPr>
          <w:rFonts w:ascii="AGaramond" w:eastAsia="Arial" w:hAnsi="AGaramond" w:cs="Arial"/>
          <w:color w:val="000000"/>
          <w:sz w:val="22"/>
          <w:szCs w:val="22"/>
          <w:lang w:val="es-MX" w:eastAsia="es-ES"/>
        </w:rPr>
      </w:pPr>
      <w:r w:rsidRPr="00083019">
        <w:rPr>
          <w:rFonts w:ascii="AGaramond" w:eastAsia="Arial" w:hAnsi="AGaramond" w:cs="Arial"/>
          <w:noProof/>
          <w:color w:val="000000"/>
          <w:sz w:val="22"/>
          <w:szCs w:val="22"/>
          <w:lang w:val="es-ES" w:eastAsia="es-ES"/>
        </w:rPr>
        <w:drawing>
          <wp:inline distT="0" distB="0" distL="0" distR="0" wp14:anchorId="59C2482A" wp14:editId="0D576048">
            <wp:extent cx="5580000" cy="7380000"/>
            <wp:effectExtent l="0" t="0" r="1905" b="0"/>
            <wp:docPr id="27" name="Imagen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0000" cy="7380000"/>
                    </a:xfrm>
                    <a:prstGeom prst="rect">
                      <a:avLst/>
                    </a:prstGeom>
                    <a:noFill/>
                    <a:ln>
                      <a:noFill/>
                    </a:ln>
                  </pic:spPr>
                </pic:pic>
              </a:graphicData>
            </a:graphic>
          </wp:inline>
        </w:drawing>
      </w:r>
    </w:p>
    <w:p w14:paraId="571438EE" w14:textId="2CCF3B58" w:rsidR="00970AA8" w:rsidRPr="00083019" w:rsidRDefault="00970AA8" w:rsidP="00970AA8">
      <w:pPr>
        <w:pStyle w:val="Textoindependiente"/>
        <w:spacing w:line="360" w:lineRule="auto"/>
        <w:ind w:firstLine="284"/>
        <w:jc w:val="both"/>
        <w:rPr>
          <w:rFonts w:ascii="AGaramond" w:eastAsia="Times New Roman" w:hAnsi="AGaramond" w:cs="Times New Roman"/>
          <w:sz w:val="20"/>
          <w:szCs w:val="20"/>
          <w:lang w:val="es-MX" w:eastAsia="es-ES"/>
        </w:rPr>
      </w:pPr>
      <w:r w:rsidRPr="00083019">
        <w:rPr>
          <w:rFonts w:ascii="AGaramond" w:eastAsia="Times New Roman" w:hAnsi="AGaramond" w:cs="Times New Roman"/>
          <w:sz w:val="20"/>
          <w:szCs w:val="20"/>
          <w:lang w:val="es-MX" w:eastAsia="es-ES"/>
        </w:rPr>
        <w:t>Fuente: Encuesta Intercensal 2015 (microdatos) y estimaciones del autor para los niños de 0-4 años.</w:t>
      </w:r>
    </w:p>
    <w:p w14:paraId="252468A0" w14:textId="77777777" w:rsidR="00970AA8" w:rsidRPr="00083019" w:rsidRDefault="00970AA8">
      <w:pPr>
        <w:rPr>
          <w:rFonts w:ascii="AGaramond" w:eastAsia="Times New Roman" w:hAnsi="AGaramond" w:cs="Times New Roman"/>
          <w:sz w:val="20"/>
          <w:szCs w:val="20"/>
          <w:lang w:val="es-MX" w:eastAsia="es-ES"/>
        </w:rPr>
      </w:pPr>
      <w:r w:rsidRPr="00083019">
        <w:rPr>
          <w:rFonts w:ascii="AGaramond" w:eastAsia="Times New Roman" w:hAnsi="AGaramond" w:cs="Times New Roman"/>
          <w:sz w:val="20"/>
          <w:szCs w:val="20"/>
          <w:lang w:val="es-MX" w:eastAsia="es-ES"/>
        </w:rPr>
        <w:br w:type="page"/>
      </w:r>
    </w:p>
    <w:p w14:paraId="41FCEC62" w14:textId="77777777" w:rsidR="00970AA8" w:rsidRPr="00083019" w:rsidRDefault="00970AA8" w:rsidP="00970AA8">
      <w:pPr>
        <w:spacing w:line="360" w:lineRule="auto"/>
        <w:jc w:val="center"/>
        <w:rPr>
          <w:rFonts w:ascii="AGaramond" w:eastAsia="Arial" w:hAnsi="AGaramond" w:cs="Times New Roman"/>
          <w:iCs/>
          <w:sz w:val="22"/>
          <w:szCs w:val="22"/>
          <w:lang w:val="es-MX" w:eastAsia="es-ES"/>
        </w:rPr>
      </w:pPr>
      <w:r w:rsidRPr="00083019">
        <w:rPr>
          <w:rFonts w:ascii="AGaramond" w:eastAsia="Arial" w:hAnsi="AGaramond" w:cs="Times New Roman"/>
          <w:iCs/>
          <w:sz w:val="22"/>
          <w:szCs w:val="22"/>
          <w:lang w:val="es-MX" w:eastAsia="es-ES"/>
        </w:rPr>
        <w:lastRenderedPageBreak/>
        <w:t>Cuadro 8. Migración superviviente femenina hacia y desde Playa del Carmen por edad, 2010-2015</w:t>
      </w:r>
    </w:p>
    <w:p w14:paraId="1F053329" w14:textId="77777777" w:rsidR="00970AA8" w:rsidRPr="00083019" w:rsidRDefault="00970AA8" w:rsidP="00970AA8">
      <w:pPr>
        <w:spacing w:line="276" w:lineRule="auto"/>
        <w:jc w:val="center"/>
        <w:rPr>
          <w:rFonts w:ascii="AGaramond" w:eastAsia="Arial" w:hAnsi="AGaramond" w:cs="Arial"/>
          <w:color w:val="000000"/>
          <w:sz w:val="22"/>
          <w:szCs w:val="22"/>
          <w:lang w:val="es-MX" w:eastAsia="es-ES"/>
        </w:rPr>
      </w:pPr>
      <w:r w:rsidRPr="00083019">
        <w:rPr>
          <w:rFonts w:ascii="AGaramond" w:eastAsia="Arial" w:hAnsi="AGaramond" w:cs="Arial"/>
          <w:noProof/>
          <w:color w:val="000000"/>
          <w:sz w:val="22"/>
          <w:szCs w:val="22"/>
          <w:lang w:val="es-ES" w:eastAsia="es-ES"/>
        </w:rPr>
        <w:drawing>
          <wp:inline distT="0" distB="0" distL="0" distR="0" wp14:anchorId="7E6E9245" wp14:editId="72EE6D54">
            <wp:extent cx="5580000" cy="7380000"/>
            <wp:effectExtent l="0" t="0" r="1905" b="0"/>
            <wp:docPr id="26"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0000" cy="7380000"/>
                    </a:xfrm>
                    <a:prstGeom prst="rect">
                      <a:avLst/>
                    </a:prstGeom>
                    <a:noFill/>
                    <a:ln>
                      <a:noFill/>
                    </a:ln>
                  </pic:spPr>
                </pic:pic>
              </a:graphicData>
            </a:graphic>
          </wp:inline>
        </w:drawing>
      </w:r>
    </w:p>
    <w:p w14:paraId="25887148" w14:textId="6D9ECA71" w:rsidR="00970AA8" w:rsidRPr="00083019" w:rsidRDefault="00970AA8" w:rsidP="00970AA8">
      <w:pPr>
        <w:jc w:val="both"/>
        <w:rPr>
          <w:rFonts w:ascii="AGaramond" w:eastAsia="Times New Roman" w:hAnsi="AGaramond" w:cs="Times New Roman"/>
          <w:sz w:val="20"/>
          <w:szCs w:val="20"/>
          <w:lang w:val="es-ES" w:eastAsia="es-ES"/>
        </w:rPr>
      </w:pPr>
      <w:r w:rsidRPr="00083019">
        <w:rPr>
          <w:rFonts w:ascii="AGaramond" w:eastAsia="Times New Roman" w:hAnsi="AGaramond" w:cs="Times New Roman"/>
          <w:sz w:val="20"/>
          <w:szCs w:val="20"/>
          <w:lang w:val="es-ES" w:eastAsia="es-ES"/>
        </w:rPr>
        <w:t>Fuente: Encuesta Intercensal 2015 (microdatos) y estimaciones del autor para las niñas de 0-4 años.</w:t>
      </w:r>
    </w:p>
    <w:p w14:paraId="7FC953F2" w14:textId="77777777" w:rsidR="00970AA8" w:rsidRPr="00083019" w:rsidRDefault="00970AA8">
      <w:pPr>
        <w:rPr>
          <w:rFonts w:ascii="AGaramond" w:eastAsia="Times New Roman" w:hAnsi="AGaramond" w:cs="Times New Roman"/>
          <w:sz w:val="20"/>
          <w:szCs w:val="20"/>
          <w:lang w:val="es-ES" w:eastAsia="es-ES"/>
        </w:rPr>
      </w:pPr>
      <w:r w:rsidRPr="00083019">
        <w:rPr>
          <w:rFonts w:ascii="AGaramond" w:eastAsia="Times New Roman" w:hAnsi="AGaramond" w:cs="Times New Roman"/>
          <w:sz w:val="20"/>
          <w:szCs w:val="20"/>
          <w:lang w:val="es-ES" w:eastAsia="es-ES"/>
        </w:rPr>
        <w:br w:type="page"/>
      </w:r>
    </w:p>
    <w:p w14:paraId="2A898C9E" w14:textId="77777777" w:rsidR="00DC5BE8" w:rsidRPr="00083019" w:rsidRDefault="00DC5BE8" w:rsidP="00DC5BE8">
      <w:pPr>
        <w:pStyle w:val="Descripcin"/>
        <w:spacing w:line="360" w:lineRule="auto"/>
        <w:rPr>
          <w:rFonts w:ascii="AGaramond" w:hAnsi="AGaramond"/>
          <w:b w:val="0"/>
          <w:bCs/>
          <w:i/>
          <w:szCs w:val="22"/>
        </w:rPr>
      </w:pPr>
      <w:r w:rsidRPr="00083019">
        <w:rPr>
          <w:rFonts w:ascii="AGaramond" w:hAnsi="AGaramond"/>
          <w:b w:val="0"/>
          <w:bCs/>
          <w:szCs w:val="22"/>
        </w:rPr>
        <w:lastRenderedPageBreak/>
        <w:t>Cuadro 9. Migración superviviente hacia y desde Playa del Carmen por edad, 2010-2015</w:t>
      </w:r>
    </w:p>
    <w:p w14:paraId="79E4499C" w14:textId="77777777" w:rsidR="00DC5BE8" w:rsidRPr="00083019" w:rsidRDefault="00DC5BE8" w:rsidP="00DC5BE8">
      <w:pPr>
        <w:pStyle w:val="Normal1"/>
        <w:spacing w:line="240" w:lineRule="auto"/>
        <w:jc w:val="center"/>
        <w:rPr>
          <w:rFonts w:ascii="AGaramond" w:hAnsi="AGaramond"/>
          <w:sz w:val="20"/>
          <w:szCs w:val="20"/>
        </w:rPr>
      </w:pPr>
      <w:r w:rsidRPr="00083019">
        <w:rPr>
          <w:rFonts w:ascii="AGaramond" w:hAnsi="AGaramond"/>
          <w:noProof/>
        </w:rPr>
        <w:drawing>
          <wp:inline distT="0" distB="0" distL="0" distR="0" wp14:anchorId="10DC0A2A" wp14:editId="647EAE72">
            <wp:extent cx="5580000" cy="7380000"/>
            <wp:effectExtent l="0" t="0" r="1905" b="0"/>
            <wp:docPr id="25" name="Imagen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0000" cy="7380000"/>
                    </a:xfrm>
                    <a:prstGeom prst="rect">
                      <a:avLst/>
                    </a:prstGeom>
                    <a:noFill/>
                    <a:ln>
                      <a:noFill/>
                    </a:ln>
                  </pic:spPr>
                </pic:pic>
              </a:graphicData>
            </a:graphic>
          </wp:inline>
        </w:drawing>
      </w:r>
    </w:p>
    <w:p w14:paraId="30FD5749" w14:textId="6A428681" w:rsidR="00873FAC" w:rsidRPr="00083019" w:rsidRDefault="00DC5BE8" w:rsidP="00873FAC">
      <w:pPr>
        <w:pStyle w:val="Normal1"/>
        <w:spacing w:after="240" w:line="360" w:lineRule="auto"/>
        <w:rPr>
          <w:rFonts w:ascii="AGaramond" w:hAnsi="AGaramond"/>
          <w:sz w:val="22"/>
          <w:szCs w:val="22"/>
        </w:rPr>
      </w:pPr>
      <w:r w:rsidRPr="00083019">
        <w:rPr>
          <w:rFonts w:ascii="AGaramond" w:hAnsi="AGaramond"/>
          <w:sz w:val="20"/>
          <w:szCs w:val="20"/>
        </w:rPr>
        <w:t xml:space="preserve">Fuente: Encuesta Intercensal 2015 (microdatos) y estimaciones del autor para </w:t>
      </w:r>
      <w:proofErr w:type="gramStart"/>
      <w:r w:rsidRPr="00083019">
        <w:rPr>
          <w:rFonts w:ascii="AGaramond" w:hAnsi="AGaramond"/>
          <w:sz w:val="20"/>
          <w:szCs w:val="20"/>
        </w:rPr>
        <w:t>los niños y las niñas</w:t>
      </w:r>
      <w:proofErr w:type="gramEnd"/>
      <w:r w:rsidRPr="00083019">
        <w:rPr>
          <w:rFonts w:ascii="AGaramond" w:hAnsi="AGaramond"/>
          <w:sz w:val="20"/>
          <w:szCs w:val="20"/>
        </w:rPr>
        <w:t xml:space="preserve"> de 0-4 años.</w:t>
      </w:r>
    </w:p>
    <w:p w14:paraId="152EF090" w14:textId="77777777" w:rsidR="00873FAC" w:rsidRPr="00083019" w:rsidRDefault="00873FAC">
      <w:pPr>
        <w:rPr>
          <w:rFonts w:ascii="AGaramond" w:eastAsia="Times New Roman" w:hAnsi="AGaramond" w:cs="Times New Roman"/>
          <w:sz w:val="22"/>
          <w:szCs w:val="22"/>
          <w:lang w:val="es-VE" w:eastAsia="es-VE"/>
        </w:rPr>
      </w:pPr>
      <w:r w:rsidRPr="00083019">
        <w:rPr>
          <w:rFonts w:ascii="AGaramond" w:hAnsi="AGaramond"/>
          <w:sz w:val="22"/>
          <w:szCs w:val="22"/>
        </w:rPr>
        <w:br w:type="page"/>
      </w:r>
    </w:p>
    <w:p w14:paraId="574C1740" w14:textId="77DA54D9" w:rsidR="00873FAC" w:rsidRPr="00083019" w:rsidRDefault="00873FAC" w:rsidP="002D23C8">
      <w:pPr>
        <w:pStyle w:val="Textonotapie"/>
        <w:spacing w:after="240" w:line="360" w:lineRule="auto"/>
        <w:ind w:firstLine="284"/>
        <w:jc w:val="both"/>
        <w:rPr>
          <w:rFonts w:ascii="AGaramond" w:eastAsia="Times New Roman" w:hAnsi="AGaramond"/>
          <w:noProof/>
          <w:sz w:val="22"/>
          <w:szCs w:val="22"/>
        </w:rPr>
      </w:pPr>
      <w:r w:rsidRPr="00083019">
        <w:rPr>
          <w:rFonts w:ascii="AGaramond" w:eastAsia="Times New Roman" w:hAnsi="AGaramond"/>
          <w:noProof/>
          <w:sz w:val="22"/>
          <w:szCs w:val="22"/>
        </w:rPr>
        <w:lastRenderedPageBreak/>
        <w:t>Así, en el análisis de la migración interna se han utilizado: la tasa bruta de inmigración, la tasa bruta de emigración y la tasa bruta de migración neta.</w:t>
      </w:r>
      <w:r w:rsidRPr="00083019">
        <w:rPr>
          <w:rStyle w:val="Refdenotaalpie"/>
          <w:rFonts w:ascii="AGaramond" w:eastAsia="Times New Roman" w:hAnsi="AGaramond"/>
          <w:noProof/>
          <w:sz w:val="22"/>
          <w:szCs w:val="22"/>
        </w:rPr>
        <w:footnoteReference w:id="7"/>
      </w:r>
      <w:r w:rsidRPr="00083019">
        <w:rPr>
          <w:rFonts w:ascii="AGaramond" w:eastAsia="Times New Roman" w:hAnsi="AGaramond"/>
          <w:noProof/>
          <w:sz w:val="22"/>
          <w:szCs w:val="22"/>
        </w:rPr>
        <w:t xml:space="preserve"> Para su cálculo se han empleado las siguientes expresiones matemáticas,</w:t>
      </w:r>
      <w:r w:rsidRPr="00083019">
        <w:rPr>
          <w:rFonts w:ascii="AGaramond" w:eastAsia="Times New Roman" w:hAnsi="AGaramond"/>
          <w:sz w:val="22"/>
          <w:szCs w:val="22"/>
        </w:rPr>
        <w:t xml:space="preserve"> entre los momentos t y t + h</w:t>
      </w:r>
      <w:r w:rsidRPr="00083019">
        <w:rPr>
          <w:rFonts w:ascii="AGaramond" w:eastAsia="Times New Roman" w:hAnsi="AGaramond"/>
          <w:noProof/>
          <w:sz w:val="22"/>
          <w:szCs w:val="22"/>
        </w:rPr>
        <w:t>:</w:t>
      </w:r>
    </w:p>
    <w:p w14:paraId="1D24CF3E" w14:textId="77777777" w:rsidR="00873FAC" w:rsidRPr="00083019" w:rsidRDefault="00873FAC" w:rsidP="00873FAC">
      <w:pPr>
        <w:pStyle w:val="Textoindependiente"/>
        <w:spacing w:line="360" w:lineRule="auto"/>
        <w:ind w:firstLine="284"/>
        <w:jc w:val="both"/>
        <w:rPr>
          <w:rFonts w:ascii="AGaramond" w:eastAsia="Times New Roman" w:hAnsi="AGaramond"/>
          <w:sz w:val="22"/>
          <w:szCs w:val="22"/>
        </w:rPr>
      </w:pPr>
      <w:r w:rsidRPr="00083019">
        <w:rPr>
          <w:rFonts w:ascii="AGaramond" w:eastAsia="Times New Roman" w:hAnsi="AGaramond"/>
          <w:sz w:val="22"/>
          <w:szCs w:val="22"/>
        </w:rPr>
        <w:t>Tasa bruta de inmigración,</w:t>
      </w:r>
    </w:p>
    <w:p w14:paraId="282F319A" w14:textId="77777777" w:rsidR="00873FAC" w:rsidRPr="00083019" w:rsidRDefault="00873FAC" w:rsidP="00873FAC">
      <w:pPr>
        <w:pStyle w:val="Textoindependiente"/>
        <w:spacing w:line="360" w:lineRule="auto"/>
        <w:jc w:val="center"/>
        <w:rPr>
          <w:rFonts w:ascii="AGaramond" w:eastAsia="Times New Roman" w:hAnsi="AGaramond"/>
          <w:sz w:val="22"/>
          <w:szCs w:val="22"/>
        </w:rPr>
      </w:pPr>
      <w:r w:rsidRPr="00083019">
        <w:rPr>
          <w:rFonts w:ascii="AGaramond" w:eastAsia="Times New Roman" w:hAnsi="AGaramond"/>
          <w:i/>
          <w:sz w:val="22"/>
          <w:szCs w:val="22"/>
        </w:rPr>
        <w:sym w:font="Symbol" w:char="F069"/>
      </w:r>
      <w:r w:rsidRPr="00083019">
        <w:rPr>
          <w:rFonts w:ascii="AGaramond" w:eastAsia="Times New Roman" w:hAnsi="AGaramond"/>
          <w:sz w:val="22"/>
          <w:szCs w:val="22"/>
        </w:rPr>
        <w:t xml:space="preserve"> (t, t + h) = I (t, t + h) /K (t, t + h)</w:t>
      </w:r>
    </w:p>
    <w:p w14:paraId="358E9DA3" w14:textId="77777777" w:rsidR="00873FAC" w:rsidRPr="00083019" w:rsidRDefault="00873FAC" w:rsidP="00873FAC">
      <w:pPr>
        <w:pStyle w:val="Textoindependiente"/>
        <w:spacing w:line="360" w:lineRule="auto"/>
        <w:ind w:firstLine="284"/>
        <w:jc w:val="both"/>
        <w:rPr>
          <w:rFonts w:ascii="AGaramond" w:eastAsia="Times New Roman" w:hAnsi="AGaramond"/>
          <w:sz w:val="22"/>
          <w:szCs w:val="22"/>
        </w:rPr>
      </w:pPr>
      <w:r w:rsidRPr="00083019">
        <w:rPr>
          <w:rFonts w:ascii="AGaramond" w:eastAsia="Times New Roman" w:hAnsi="AGaramond"/>
          <w:sz w:val="22"/>
          <w:szCs w:val="22"/>
        </w:rPr>
        <w:t xml:space="preserve">Tasa bruta de emigración, </w:t>
      </w:r>
    </w:p>
    <w:p w14:paraId="3B425500" w14:textId="77777777" w:rsidR="00873FAC" w:rsidRPr="00083019" w:rsidRDefault="00873FAC" w:rsidP="00873FAC">
      <w:pPr>
        <w:pStyle w:val="Textoindependiente"/>
        <w:spacing w:line="360" w:lineRule="auto"/>
        <w:jc w:val="center"/>
        <w:rPr>
          <w:rFonts w:ascii="AGaramond" w:eastAsia="Times New Roman" w:hAnsi="AGaramond"/>
          <w:sz w:val="22"/>
          <w:szCs w:val="22"/>
          <w:lang w:val="es-VE"/>
        </w:rPr>
      </w:pPr>
      <w:r w:rsidRPr="00083019">
        <w:rPr>
          <w:rFonts w:ascii="AGaramond" w:eastAsia="Times New Roman" w:hAnsi="AGaramond"/>
          <w:i/>
          <w:sz w:val="22"/>
          <w:szCs w:val="22"/>
        </w:rPr>
        <w:sym w:font="Symbol" w:char="F065"/>
      </w:r>
      <w:r w:rsidRPr="00083019">
        <w:rPr>
          <w:rFonts w:ascii="AGaramond" w:eastAsia="Times New Roman" w:hAnsi="AGaramond"/>
          <w:i/>
          <w:sz w:val="22"/>
          <w:szCs w:val="22"/>
          <w:lang w:val="es-VE"/>
        </w:rPr>
        <w:t xml:space="preserve"> </w:t>
      </w:r>
      <w:r w:rsidRPr="00083019">
        <w:rPr>
          <w:rFonts w:ascii="AGaramond" w:eastAsia="Times New Roman" w:hAnsi="AGaramond"/>
          <w:sz w:val="22"/>
          <w:szCs w:val="22"/>
          <w:lang w:val="es-VE"/>
        </w:rPr>
        <w:t>(t, t + h) = E (t, t + h) /K (t, t + h)</w:t>
      </w:r>
    </w:p>
    <w:p w14:paraId="7AC3B238" w14:textId="77777777" w:rsidR="00873FAC" w:rsidRPr="00083019" w:rsidRDefault="00873FAC" w:rsidP="00873FAC">
      <w:pPr>
        <w:pStyle w:val="Textoindependiente"/>
        <w:spacing w:line="360" w:lineRule="auto"/>
        <w:ind w:firstLine="284"/>
        <w:jc w:val="both"/>
        <w:rPr>
          <w:rFonts w:ascii="AGaramond" w:eastAsia="Times New Roman" w:hAnsi="AGaramond"/>
          <w:sz w:val="22"/>
          <w:szCs w:val="22"/>
        </w:rPr>
      </w:pPr>
      <w:r w:rsidRPr="00083019">
        <w:rPr>
          <w:rFonts w:ascii="AGaramond" w:eastAsia="Times New Roman" w:hAnsi="AGaramond"/>
          <w:sz w:val="22"/>
          <w:szCs w:val="22"/>
        </w:rPr>
        <w:t xml:space="preserve">Tasa </w:t>
      </w:r>
      <w:r w:rsidRPr="00083019">
        <w:rPr>
          <w:rFonts w:ascii="AGaramond" w:eastAsia="Times New Roman" w:hAnsi="AGaramond"/>
          <w:noProof/>
          <w:sz w:val="22"/>
          <w:szCs w:val="22"/>
        </w:rPr>
        <w:t>bruta</w:t>
      </w:r>
      <w:r w:rsidRPr="00083019">
        <w:rPr>
          <w:rFonts w:ascii="AGaramond" w:eastAsia="Times New Roman" w:hAnsi="AGaramond"/>
          <w:sz w:val="22"/>
          <w:szCs w:val="22"/>
        </w:rPr>
        <w:t xml:space="preserve"> de migración neta,</w:t>
      </w:r>
    </w:p>
    <w:p w14:paraId="40990AA6" w14:textId="77777777" w:rsidR="00873FAC" w:rsidRPr="00083019" w:rsidRDefault="00873FAC" w:rsidP="00873FAC">
      <w:pPr>
        <w:pStyle w:val="Textoindependiente"/>
        <w:spacing w:line="360" w:lineRule="auto"/>
        <w:jc w:val="center"/>
        <w:rPr>
          <w:rFonts w:ascii="AGaramond" w:eastAsia="Times New Roman" w:hAnsi="AGaramond"/>
          <w:sz w:val="22"/>
          <w:szCs w:val="22"/>
          <w:lang w:val="en-US"/>
        </w:rPr>
      </w:pPr>
      <w:r w:rsidRPr="00083019">
        <w:rPr>
          <w:rFonts w:ascii="AGaramond" w:eastAsia="Times New Roman" w:hAnsi="AGaramond"/>
          <w:i/>
          <w:sz w:val="22"/>
          <w:szCs w:val="22"/>
        </w:rPr>
        <w:sym w:font="Symbol" w:char="F068"/>
      </w:r>
      <w:r w:rsidRPr="00083019">
        <w:rPr>
          <w:rFonts w:ascii="AGaramond" w:eastAsia="Times New Roman" w:hAnsi="AGaramond"/>
          <w:i/>
          <w:sz w:val="22"/>
          <w:szCs w:val="22"/>
          <w:lang w:val="en-US"/>
        </w:rPr>
        <w:t xml:space="preserve"> </w:t>
      </w:r>
      <w:r w:rsidRPr="00083019">
        <w:rPr>
          <w:rFonts w:ascii="AGaramond" w:eastAsia="Times New Roman" w:hAnsi="AGaramond"/>
          <w:sz w:val="22"/>
          <w:szCs w:val="22"/>
          <w:lang w:val="en-US"/>
        </w:rPr>
        <w:t>(t, t + h) = MN (t, t + h) /K (t, t + h)</w:t>
      </w:r>
    </w:p>
    <w:p w14:paraId="4A3A6955" w14:textId="5FD1C252" w:rsidR="00873FAC" w:rsidRPr="00083019" w:rsidRDefault="0027345F" w:rsidP="00873FAC">
      <w:pPr>
        <w:pStyle w:val="Textoindependiente"/>
        <w:spacing w:line="360" w:lineRule="auto"/>
        <w:ind w:firstLine="284"/>
        <w:jc w:val="both"/>
        <w:rPr>
          <w:rFonts w:ascii="AGaramond" w:eastAsia="Times New Roman" w:hAnsi="AGaramond"/>
          <w:sz w:val="22"/>
          <w:szCs w:val="22"/>
        </w:rPr>
      </w:pPr>
      <w:r w:rsidRPr="00083019">
        <w:rPr>
          <w:rFonts w:ascii="AGaramond" w:eastAsia="Times New Roman" w:hAnsi="AGaramond"/>
          <w:noProof/>
          <w:sz w:val="22"/>
          <w:szCs w:val="22"/>
        </w:rPr>
        <w:t>d</w:t>
      </w:r>
      <w:r w:rsidR="00873FAC" w:rsidRPr="00083019">
        <w:rPr>
          <w:rFonts w:ascii="AGaramond" w:eastAsia="Times New Roman" w:hAnsi="AGaramond"/>
          <w:noProof/>
          <w:sz w:val="22"/>
          <w:szCs w:val="22"/>
        </w:rPr>
        <w:t>onde</w:t>
      </w:r>
      <w:r w:rsidR="00873FAC" w:rsidRPr="00083019">
        <w:rPr>
          <w:rFonts w:ascii="AGaramond" w:eastAsia="Times New Roman" w:hAnsi="AGaramond"/>
          <w:sz w:val="22"/>
          <w:szCs w:val="22"/>
        </w:rPr>
        <w:t>:</w:t>
      </w:r>
    </w:p>
    <w:p w14:paraId="3DE7B25A" w14:textId="77777777" w:rsidR="00873FAC" w:rsidRPr="00083019" w:rsidRDefault="00873FAC" w:rsidP="00873FAC">
      <w:pPr>
        <w:pStyle w:val="Textoindependiente"/>
        <w:spacing w:line="360" w:lineRule="auto"/>
        <w:ind w:firstLine="284"/>
        <w:jc w:val="both"/>
        <w:rPr>
          <w:rFonts w:ascii="AGaramond" w:eastAsia="Times New Roman" w:hAnsi="AGaramond"/>
          <w:sz w:val="22"/>
          <w:szCs w:val="22"/>
        </w:rPr>
      </w:pPr>
      <w:r w:rsidRPr="00083019">
        <w:rPr>
          <w:rFonts w:ascii="AGaramond" w:eastAsia="Times New Roman" w:hAnsi="AGaramond"/>
          <w:sz w:val="22"/>
          <w:szCs w:val="22"/>
        </w:rPr>
        <w:t xml:space="preserve">K (t, t + h) </w:t>
      </w:r>
      <w:r w:rsidRPr="00083019">
        <w:rPr>
          <w:rFonts w:ascii="AGaramond" w:eastAsia="Times New Roman" w:hAnsi="AGaramond"/>
          <w:noProof/>
          <w:sz w:val="22"/>
          <w:szCs w:val="22"/>
        </w:rPr>
        <w:t>corresponde</w:t>
      </w:r>
      <w:r w:rsidRPr="00083019">
        <w:rPr>
          <w:rFonts w:ascii="AGaramond" w:eastAsia="Times New Roman" w:hAnsi="AGaramond"/>
          <w:sz w:val="22"/>
          <w:szCs w:val="22"/>
        </w:rPr>
        <w:t xml:space="preserve"> a los años-persona vividos entre los momentos t y t + h; y para su cálculo se ha empleado la siguiente expresión: </w:t>
      </w:r>
      <w:r w:rsidRPr="00083019">
        <w:rPr>
          <w:rFonts w:ascii="AGaramond" w:eastAsia="Times New Roman" w:hAnsi="AGaramond"/>
          <w:sz w:val="22"/>
          <w:szCs w:val="22"/>
        </w:rPr>
        <w:tab/>
      </w:r>
    </w:p>
    <w:p w14:paraId="7CB203AE" w14:textId="77777777" w:rsidR="00873FAC" w:rsidRPr="00083019" w:rsidRDefault="00873FAC" w:rsidP="00873FAC">
      <w:pPr>
        <w:pStyle w:val="Textoindependiente"/>
        <w:spacing w:line="360" w:lineRule="auto"/>
        <w:jc w:val="center"/>
        <w:rPr>
          <w:rFonts w:ascii="AGaramond" w:eastAsia="Times New Roman" w:hAnsi="AGaramond"/>
          <w:sz w:val="22"/>
          <w:szCs w:val="22"/>
        </w:rPr>
      </w:pPr>
      <w:r w:rsidRPr="00083019">
        <w:rPr>
          <w:rFonts w:ascii="AGaramond" w:eastAsia="Times New Roman" w:hAnsi="AGaramond"/>
          <w:sz w:val="22"/>
          <w:szCs w:val="22"/>
        </w:rPr>
        <w:t>K (t, t + h) = [P (t + h) - P(t)] / [(1/h) * (</w:t>
      </w:r>
      <w:proofErr w:type="spellStart"/>
      <w:r w:rsidRPr="00083019">
        <w:rPr>
          <w:rFonts w:ascii="AGaramond" w:eastAsia="Times New Roman" w:hAnsi="AGaramond"/>
          <w:sz w:val="22"/>
          <w:szCs w:val="22"/>
        </w:rPr>
        <w:t>ln</w:t>
      </w:r>
      <w:proofErr w:type="spellEnd"/>
      <w:r w:rsidRPr="00083019">
        <w:rPr>
          <w:rFonts w:ascii="AGaramond" w:eastAsia="Times New Roman" w:hAnsi="AGaramond"/>
          <w:sz w:val="22"/>
          <w:szCs w:val="22"/>
        </w:rPr>
        <w:t xml:space="preserve"> (P (t + h) /P(t)))].</w:t>
      </w:r>
    </w:p>
    <w:p w14:paraId="54441402" w14:textId="77777777" w:rsidR="00873FAC" w:rsidRPr="00083019" w:rsidRDefault="00873FAC" w:rsidP="00873FAC">
      <w:pPr>
        <w:pStyle w:val="Textoindependiente"/>
        <w:spacing w:line="360" w:lineRule="auto"/>
        <w:ind w:firstLine="284"/>
        <w:jc w:val="both"/>
        <w:rPr>
          <w:rFonts w:ascii="AGaramond" w:eastAsia="Times New Roman" w:hAnsi="AGaramond"/>
          <w:sz w:val="22"/>
          <w:szCs w:val="22"/>
        </w:rPr>
      </w:pPr>
      <w:r w:rsidRPr="00083019">
        <w:rPr>
          <w:rFonts w:ascii="AGaramond" w:eastAsia="Times New Roman" w:hAnsi="AGaramond"/>
          <w:sz w:val="22"/>
          <w:szCs w:val="22"/>
        </w:rPr>
        <w:t xml:space="preserve">La tasa bruta </w:t>
      </w:r>
      <w:r w:rsidRPr="00083019">
        <w:rPr>
          <w:rFonts w:ascii="AGaramond" w:eastAsia="Times New Roman" w:hAnsi="AGaramond"/>
          <w:noProof/>
          <w:sz w:val="22"/>
          <w:szCs w:val="22"/>
        </w:rPr>
        <w:t>de</w:t>
      </w:r>
      <w:r w:rsidRPr="00083019">
        <w:rPr>
          <w:rFonts w:ascii="AGaramond" w:eastAsia="Times New Roman" w:hAnsi="AGaramond"/>
          <w:sz w:val="22"/>
          <w:szCs w:val="22"/>
        </w:rPr>
        <w:t xml:space="preserve"> migración neta también se ha obtenido así, </w:t>
      </w:r>
      <w:r w:rsidRPr="00083019">
        <w:rPr>
          <w:rFonts w:ascii="AGaramond" w:eastAsia="Times New Roman" w:hAnsi="AGaramond"/>
          <w:sz w:val="22"/>
          <w:szCs w:val="22"/>
        </w:rPr>
        <w:tab/>
      </w:r>
    </w:p>
    <w:p w14:paraId="52C07CD9" w14:textId="77777777" w:rsidR="00873FAC" w:rsidRPr="00083019" w:rsidRDefault="00873FAC" w:rsidP="00873FAC">
      <w:pPr>
        <w:pStyle w:val="Textoindependiente"/>
        <w:spacing w:line="360" w:lineRule="auto"/>
        <w:jc w:val="center"/>
        <w:rPr>
          <w:rFonts w:ascii="AGaramond" w:eastAsia="Times New Roman" w:hAnsi="AGaramond"/>
          <w:sz w:val="22"/>
          <w:szCs w:val="22"/>
        </w:rPr>
      </w:pPr>
      <w:r w:rsidRPr="00083019">
        <w:rPr>
          <w:rFonts w:ascii="AGaramond" w:eastAsia="Times New Roman" w:hAnsi="AGaramond"/>
          <w:i/>
          <w:sz w:val="22"/>
          <w:szCs w:val="22"/>
        </w:rPr>
        <w:sym w:font="Symbol" w:char="F068"/>
      </w:r>
      <w:r w:rsidRPr="00083019">
        <w:rPr>
          <w:rFonts w:ascii="AGaramond" w:eastAsia="Times New Roman" w:hAnsi="AGaramond"/>
          <w:i/>
          <w:sz w:val="22"/>
          <w:szCs w:val="22"/>
        </w:rPr>
        <w:t xml:space="preserve"> </w:t>
      </w:r>
      <w:r w:rsidRPr="00083019">
        <w:rPr>
          <w:rFonts w:ascii="AGaramond" w:eastAsia="Times New Roman" w:hAnsi="AGaramond"/>
          <w:sz w:val="22"/>
          <w:szCs w:val="22"/>
        </w:rPr>
        <w:t xml:space="preserve">(t, t + h) = </w:t>
      </w:r>
      <w:r w:rsidRPr="00083019">
        <w:rPr>
          <w:rFonts w:ascii="AGaramond" w:eastAsia="Times New Roman" w:hAnsi="AGaramond"/>
          <w:i/>
          <w:sz w:val="22"/>
          <w:szCs w:val="22"/>
        </w:rPr>
        <w:sym w:font="Symbol" w:char="F069"/>
      </w:r>
      <w:r w:rsidRPr="00083019">
        <w:rPr>
          <w:rFonts w:ascii="AGaramond" w:eastAsia="Times New Roman" w:hAnsi="AGaramond"/>
          <w:sz w:val="22"/>
          <w:szCs w:val="22"/>
        </w:rPr>
        <w:t xml:space="preserve"> (t, t + h) - </w:t>
      </w:r>
      <w:r w:rsidRPr="00083019">
        <w:rPr>
          <w:rFonts w:ascii="AGaramond" w:eastAsia="Times New Roman" w:hAnsi="AGaramond"/>
          <w:i/>
          <w:sz w:val="22"/>
          <w:szCs w:val="22"/>
        </w:rPr>
        <w:sym w:font="Symbol" w:char="F065"/>
      </w:r>
      <w:r w:rsidRPr="00083019">
        <w:rPr>
          <w:rFonts w:ascii="AGaramond" w:eastAsia="Times New Roman" w:hAnsi="AGaramond"/>
          <w:i/>
          <w:sz w:val="22"/>
          <w:szCs w:val="22"/>
        </w:rPr>
        <w:t xml:space="preserve"> </w:t>
      </w:r>
      <w:r w:rsidRPr="00083019">
        <w:rPr>
          <w:rFonts w:ascii="AGaramond" w:eastAsia="Times New Roman" w:hAnsi="AGaramond"/>
          <w:sz w:val="22"/>
          <w:szCs w:val="22"/>
        </w:rPr>
        <w:t>(t, t + h)</w:t>
      </w:r>
    </w:p>
    <w:p w14:paraId="3D826ECB" w14:textId="35542348" w:rsidR="00873FAC" w:rsidRPr="00083019" w:rsidRDefault="00873FAC" w:rsidP="002D23C8">
      <w:pPr>
        <w:pStyle w:val="Textonotapie"/>
        <w:spacing w:after="240" w:line="360" w:lineRule="auto"/>
        <w:ind w:firstLine="284"/>
        <w:jc w:val="both"/>
        <w:rPr>
          <w:rFonts w:ascii="AGaramond" w:eastAsia="Times New Roman" w:hAnsi="AGaramond"/>
          <w:noProof/>
          <w:sz w:val="22"/>
          <w:szCs w:val="22"/>
        </w:rPr>
      </w:pPr>
      <w:r w:rsidRPr="00083019">
        <w:rPr>
          <w:rFonts w:ascii="AGaramond" w:eastAsia="Times New Roman" w:hAnsi="AGaramond"/>
          <w:noProof/>
          <w:sz w:val="22"/>
          <w:szCs w:val="22"/>
        </w:rPr>
        <w:t>La tasa bruta de inmigración a Playa del Carmen del flujo procedente del resto del territorio mexicano fue 153 por mil personas en el lustro 1995-2000, en 2005-2010 fue 82 por mil y en 2010-2015 58 inmigrantes por cada mil individuos. Esto quiere decir, que el nivel de la inmigración ha bajado a pesar del aumento absoluto del número de inmigrantes entre 1995 y 2015 (véase Cuadro 10).</w:t>
      </w:r>
    </w:p>
    <w:p w14:paraId="631CFDD4" w14:textId="7FB14CDC" w:rsidR="00BC7D78" w:rsidRPr="00083019" w:rsidRDefault="00873FAC" w:rsidP="00873FAC">
      <w:pPr>
        <w:pStyle w:val="Normal1"/>
        <w:spacing w:after="120" w:line="360" w:lineRule="auto"/>
        <w:ind w:left="0" w:firstLine="284"/>
        <w:rPr>
          <w:rFonts w:ascii="AGaramond" w:hAnsi="AGaramond"/>
          <w:sz w:val="22"/>
          <w:szCs w:val="22"/>
        </w:rPr>
      </w:pPr>
      <w:r w:rsidRPr="00083019">
        <w:rPr>
          <w:rFonts w:ascii="AGaramond" w:hAnsi="AGaramond"/>
          <w:noProof/>
          <w:sz w:val="22"/>
          <w:szCs w:val="22"/>
        </w:rPr>
        <w:t>Mientras que el nivel de emigración desde la ciudad ha aumentado concomitante al incremento del número de emigrantes en los tres lustros de análisis. En efecto, la tasa bruta de emigración desde Playa del Carmen correspondiente al flujo hacia el resto del territorio mexicano fue 1,5 por cada mil personas entre 1995 y 2000, de 2005 a 2010 fue 7,2 por mil y en 2010-2015 fue 7,5 emigrantes por cada mil personas. Sin embargo, el nivel de emigración desde la ciudad ha sido bastante bajo y por ello la migración neta ha resultado positiva y con un nivel muy cercano al que se ha observado en la inmigración. Adicionalmente, las</w:t>
      </w:r>
      <w:r w:rsidRPr="00083019">
        <w:rPr>
          <w:rFonts w:ascii="AGaramond" w:hAnsi="AGaramond"/>
          <w:sz w:val="22"/>
          <w:szCs w:val="22"/>
        </w:rPr>
        <w:t xml:space="preserve"> tasas de inmigración, emigración y migración neta de la población masculina han registrado un nivel sutilmente superior al presentado por la población total, mientras que las tasas correspondientes a la población femenina han sido ligeramente inferiores al comportamiento general.</w:t>
      </w:r>
    </w:p>
    <w:p w14:paraId="622355B0" w14:textId="3D2D68B7" w:rsidR="000B7456" w:rsidRPr="00083019" w:rsidRDefault="00BC7D78" w:rsidP="00B85875">
      <w:pPr>
        <w:rPr>
          <w:rFonts w:ascii="AGaramond" w:eastAsia="Yu Mincho" w:hAnsi="AGaramond" w:cs="Times New Roman"/>
          <w:sz w:val="22"/>
          <w:szCs w:val="22"/>
          <w:lang w:val="es-MX" w:eastAsia="es-MX"/>
        </w:rPr>
      </w:pPr>
      <w:r w:rsidRPr="00083019">
        <w:rPr>
          <w:rFonts w:ascii="AGaramond" w:hAnsi="AGaramond"/>
          <w:sz w:val="22"/>
          <w:szCs w:val="22"/>
        </w:rPr>
        <w:br w:type="page"/>
      </w:r>
      <w:r w:rsidR="000B7456" w:rsidRPr="00083019">
        <w:rPr>
          <w:rFonts w:ascii="AGaramond" w:eastAsia="Yu Mincho" w:hAnsi="AGaramond" w:cs="Times New Roman"/>
          <w:sz w:val="22"/>
          <w:szCs w:val="22"/>
          <w:lang w:val="es-MX" w:eastAsia="es-MX"/>
        </w:rPr>
        <w:lastRenderedPageBreak/>
        <w:t>Cuadro 10. Migración total superviviente de Playa del Carmen, según sexo 1995-2015</w:t>
      </w:r>
    </w:p>
    <w:p w14:paraId="009B1948" w14:textId="77777777" w:rsidR="000B7456" w:rsidRPr="00083019" w:rsidRDefault="000B7456" w:rsidP="000B7456">
      <w:pPr>
        <w:autoSpaceDE w:val="0"/>
        <w:autoSpaceDN w:val="0"/>
        <w:adjustRightInd w:val="0"/>
        <w:jc w:val="center"/>
        <w:rPr>
          <w:rFonts w:ascii="AGaramond" w:eastAsia="Yu Mincho" w:hAnsi="AGaramond" w:cs="Times New Roman"/>
          <w:sz w:val="22"/>
          <w:szCs w:val="22"/>
          <w:lang w:val="es-MX" w:eastAsia="es-MX"/>
        </w:rPr>
      </w:pPr>
      <w:r w:rsidRPr="00083019">
        <w:rPr>
          <w:rFonts w:ascii="AGaramond" w:eastAsia="Yu Mincho" w:hAnsi="AGaramond" w:cs="Times New Roman"/>
          <w:noProof/>
          <w:lang w:val="es-ES" w:eastAsia="es-ES"/>
        </w:rPr>
        <w:drawing>
          <wp:inline distT="0" distB="0" distL="0" distR="0" wp14:anchorId="125A3850" wp14:editId="2A2F00E6">
            <wp:extent cx="5040000" cy="7452000"/>
            <wp:effectExtent l="0" t="0" r="8255" b="0"/>
            <wp:docPr id="36" name="Imagen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0000" cy="7452000"/>
                    </a:xfrm>
                    <a:prstGeom prst="rect">
                      <a:avLst/>
                    </a:prstGeom>
                    <a:noFill/>
                    <a:ln>
                      <a:noFill/>
                    </a:ln>
                  </pic:spPr>
                </pic:pic>
              </a:graphicData>
            </a:graphic>
          </wp:inline>
        </w:drawing>
      </w:r>
    </w:p>
    <w:p w14:paraId="40C92586" w14:textId="12019771" w:rsidR="00873FAC" w:rsidRPr="00083019" w:rsidRDefault="000B7456" w:rsidP="000B7456">
      <w:pPr>
        <w:pStyle w:val="Normal1"/>
        <w:spacing w:after="120" w:line="360" w:lineRule="auto"/>
        <w:ind w:left="0"/>
        <w:rPr>
          <w:rFonts w:ascii="AGaramond" w:hAnsi="AGaramond"/>
          <w:sz w:val="22"/>
          <w:szCs w:val="22"/>
          <w:lang w:val="es-MX" w:eastAsia="es-ES"/>
        </w:rPr>
      </w:pPr>
      <w:r w:rsidRPr="00083019">
        <w:rPr>
          <w:rFonts w:ascii="AGaramond" w:hAnsi="AGaramond"/>
          <w:sz w:val="20"/>
          <w:szCs w:val="20"/>
          <w:lang w:val="es-MX" w:eastAsia="es-ES"/>
        </w:rPr>
        <w:t xml:space="preserve">Fuente: XII Censo General de Población y Vivienda 2000, XIII Censo General de Población y Vivienda 2010, Encuesta Intercensal 2015 (microdatos) y estimaciones del autor para </w:t>
      </w:r>
      <w:proofErr w:type="gramStart"/>
      <w:r w:rsidRPr="00083019">
        <w:rPr>
          <w:rFonts w:ascii="AGaramond" w:hAnsi="AGaramond"/>
          <w:sz w:val="20"/>
          <w:szCs w:val="20"/>
          <w:lang w:val="es-MX" w:eastAsia="es-ES"/>
        </w:rPr>
        <w:t>los niños y las niñas</w:t>
      </w:r>
      <w:proofErr w:type="gramEnd"/>
      <w:r w:rsidRPr="00083019">
        <w:rPr>
          <w:rFonts w:ascii="AGaramond" w:hAnsi="AGaramond"/>
          <w:sz w:val="20"/>
          <w:szCs w:val="20"/>
          <w:lang w:val="es-MX" w:eastAsia="es-ES"/>
        </w:rPr>
        <w:t xml:space="preserve"> de 0-4 años.</w:t>
      </w:r>
    </w:p>
    <w:p w14:paraId="6FD837DE" w14:textId="4B807C2A" w:rsidR="0027345F" w:rsidRPr="00083019" w:rsidRDefault="0027345F" w:rsidP="002D23C8">
      <w:pPr>
        <w:pStyle w:val="Textonotapie"/>
        <w:spacing w:after="240" w:line="360" w:lineRule="auto"/>
        <w:ind w:firstLine="284"/>
        <w:jc w:val="both"/>
        <w:rPr>
          <w:rFonts w:ascii="AGaramond" w:eastAsia="Times New Roman" w:hAnsi="AGaramond"/>
          <w:sz w:val="22"/>
          <w:szCs w:val="22"/>
        </w:rPr>
      </w:pPr>
      <w:r w:rsidRPr="00083019">
        <w:rPr>
          <w:rFonts w:ascii="AGaramond" w:eastAsia="Times New Roman" w:hAnsi="AGaramond"/>
          <w:sz w:val="22"/>
          <w:szCs w:val="22"/>
        </w:rPr>
        <w:lastRenderedPageBreak/>
        <w:t>Además, d</w:t>
      </w:r>
      <w:r w:rsidRPr="00083019">
        <w:rPr>
          <w:rFonts w:ascii="AGaramond" w:eastAsia="Times New Roman" w:hAnsi="AGaramond"/>
          <w:noProof/>
          <w:sz w:val="22"/>
          <w:szCs w:val="22"/>
        </w:rPr>
        <w:t xml:space="preserve">entro del análisis de la migración interna mexicana se </w:t>
      </w:r>
      <w:r w:rsidRPr="00083019">
        <w:rPr>
          <w:rFonts w:ascii="AGaramond" w:eastAsia="Times New Roman" w:hAnsi="AGaramond"/>
          <w:sz w:val="22"/>
          <w:szCs w:val="22"/>
        </w:rPr>
        <w:t>han empleado las tasas específicas de inmigración, emigración y migración neta en el intervalo semiabierto de edades exactas [x, x + n), a saber:</w:t>
      </w:r>
    </w:p>
    <w:p w14:paraId="54E443D2" w14:textId="77777777" w:rsidR="0027345F" w:rsidRPr="00083019" w:rsidRDefault="0027345F" w:rsidP="0027345F">
      <w:pPr>
        <w:pStyle w:val="Textoindependiente"/>
        <w:spacing w:line="360" w:lineRule="auto"/>
        <w:ind w:firstLine="284"/>
        <w:jc w:val="both"/>
        <w:rPr>
          <w:rFonts w:ascii="AGaramond" w:eastAsia="Times New Roman" w:hAnsi="AGaramond"/>
          <w:sz w:val="22"/>
          <w:szCs w:val="22"/>
        </w:rPr>
      </w:pPr>
      <w:r w:rsidRPr="00083019">
        <w:rPr>
          <w:rFonts w:ascii="AGaramond" w:eastAsia="Times New Roman" w:hAnsi="AGaramond"/>
          <w:sz w:val="22"/>
          <w:szCs w:val="22"/>
        </w:rPr>
        <w:t>La tasa específica de inmigración,</w:t>
      </w:r>
    </w:p>
    <w:p w14:paraId="540AB903" w14:textId="77777777" w:rsidR="0027345F" w:rsidRPr="00083019" w:rsidRDefault="0027345F" w:rsidP="0027345F">
      <w:pPr>
        <w:pStyle w:val="Textoindependiente"/>
        <w:spacing w:line="360" w:lineRule="auto"/>
        <w:jc w:val="center"/>
        <w:rPr>
          <w:rFonts w:ascii="AGaramond" w:eastAsia="Times New Roman" w:hAnsi="AGaramond"/>
          <w:sz w:val="22"/>
          <w:szCs w:val="22"/>
          <w:lang w:val="en-US"/>
        </w:rPr>
      </w:pPr>
      <w:r w:rsidRPr="00083019">
        <w:rPr>
          <w:rFonts w:ascii="AGaramond" w:eastAsia="Times New Roman" w:hAnsi="AGaramond"/>
          <w:sz w:val="22"/>
          <w:szCs w:val="22"/>
        </w:rPr>
        <w:t xml:space="preserve"> </w:t>
      </w:r>
      <w:r w:rsidRPr="00083019">
        <w:rPr>
          <w:rFonts w:ascii="AGaramond" w:eastAsia="Times New Roman" w:hAnsi="AGaramond"/>
          <w:sz w:val="22"/>
          <w:szCs w:val="22"/>
        </w:rPr>
        <w:tab/>
      </w:r>
      <w:r w:rsidRPr="00083019">
        <w:rPr>
          <w:rFonts w:ascii="AGaramond" w:eastAsia="Times New Roman" w:hAnsi="AGaramond"/>
          <w:sz w:val="22"/>
          <w:szCs w:val="22"/>
          <w:vertAlign w:val="subscript"/>
          <w:lang w:val="en-US"/>
        </w:rPr>
        <w:t>n</w:t>
      </w:r>
      <w:r w:rsidRPr="00083019">
        <w:rPr>
          <w:rFonts w:ascii="AGaramond" w:eastAsia="Times New Roman" w:hAnsi="AGaramond"/>
          <w:i/>
          <w:sz w:val="22"/>
          <w:szCs w:val="22"/>
        </w:rPr>
        <w:sym w:font="Symbol" w:char="F069"/>
      </w:r>
      <w:r w:rsidRPr="00083019">
        <w:rPr>
          <w:rFonts w:ascii="AGaramond" w:eastAsia="Times New Roman" w:hAnsi="AGaramond"/>
          <w:i/>
          <w:sz w:val="22"/>
          <w:szCs w:val="22"/>
          <w:lang w:val="en-US"/>
        </w:rPr>
        <w:t xml:space="preserve"> </w:t>
      </w:r>
      <w:r w:rsidRPr="00083019">
        <w:rPr>
          <w:rFonts w:ascii="AGaramond" w:eastAsia="Times New Roman" w:hAnsi="AGaramond"/>
          <w:sz w:val="22"/>
          <w:szCs w:val="22"/>
          <w:vertAlign w:val="subscript"/>
          <w:lang w:val="en-US"/>
        </w:rPr>
        <w:t>x</w:t>
      </w:r>
      <w:r w:rsidRPr="00083019">
        <w:rPr>
          <w:rFonts w:ascii="AGaramond" w:eastAsia="Times New Roman" w:hAnsi="AGaramond"/>
          <w:sz w:val="22"/>
          <w:szCs w:val="22"/>
          <w:lang w:val="en-US"/>
        </w:rPr>
        <w:t xml:space="preserve"> (t, t + h) = </w:t>
      </w:r>
      <w:r w:rsidRPr="00083019">
        <w:rPr>
          <w:rFonts w:ascii="AGaramond" w:eastAsia="Times New Roman" w:hAnsi="AGaramond"/>
          <w:sz w:val="22"/>
          <w:szCs w:val="22"/>
          <w:vertAlign w:val="subscript"/>
          <w:lang w:val="en-US"/>
        </w:rPr>
        <w:t>n</w:t>
      </w:r>
      <w:r w:rsidRPr="00083019">
        <w:rPr>
          <w:rFonts w:ascii="AGaramond" w:eastAsia="Times New Roman" w:hAnsi="AGaramond"/>
          <w:sz w:val="22"/>
          <w:szCs w:val="22"/>
          <w:lang w:val="en-US"/>
        </w:rPr>
        <w:t xml:space="preserve"> I </w:t>
      </w:r>
      <w:r w:rsidRPr="00083019">
        <w:rPr>
          <w:rFonts w:ascii="AGaramond" w:eastAsia="Times New Roman" w:hAnsi="AGaramond"/>
          <w:sz w:val="22"/>
          <w:szCs w:val="22"/>
          <w:vertAlign w:val="subscript"/>
          <w:lang w:val="en-US"/>
        </w:rPr>
        <w:t>x</w:t>
      </w:r>
      <w:r w:rsidRPr="00083019">
        <w:rPr>
          <w:rFonts w:ascii="AGaramond" w:eastAsia="Times New Roman" w:hAnsi="AGaramond"/>
          <w:sz w:val="22"/>
          <w:szCs w:val="22"/>
          <w:lang w:val="en-US"/>
        </w:rPr>
        <w:t xml:space="preserve"> (t, t + h) / </w:t>
      </w:r>
      <w:r w:rsidRPr="00083019">
        <w:rPr>
          <w:rFonts w:ascii="AGaramond" w:eastAsia="Times New Roman" w:hAnsi="AGaramond"/>
          <w:sz w:val="22"/>
          <w:szCs w:val="22"/>
          <w:vertAlign w:val="subscript"/>
          <w:lang w:val="en-US"/>
        </w:rPr>
        <w:t>n</w:t>
      </w:r>
      <w:r w:rsidRPr="00083019">
        <w:rPr>
          <w:rFonts w:ascii="AGaramond" w:eastAsia="Times New Roman" w:hAnsi="AGaramond"/>
          <w:sz w:val="22"/>
          <w:szCs w:val="22"/>
          <w:lang w:val="en-US"/>
        </w:rPr>
        <w:t xml:space="preserve"> K </w:t>
      </w:r>
      <w:r w:rsidRPr="00083019">
        <w:rPr>
          <w:rFonts w:ascii="AGaramond" w:eastAsia="Times New Roman" w:hAnsi="AGaramond"/>
          <w:sz w:val="22"/>
          <w:szCs w:val="22"/>
          <w:vertAlign w:val="subscript"/>
          <w:lang w:val="en-US"/>
        </w:rPr>
        <w:t>x</w:t>
      </w:r>
      <w:r w:rsidRPr="00083019">
        <w:rPr>
          <w:rFonts w:ascii="AGaramond" w:eastAsia="Times New Roman" w:hAnsi="AGaramond"/>
          <w:sz w:val="22"/>
          <w:szCs w:val="22"/>
          <w:lang w:val="en-US"/>
        </w:rPr>
        <w:t xml:space="preserve"> (t, t + h)</w:t>
      </w:r>
    </w:p>
    <w:p w14:paraId="3A688D3E" w14:textId="77777777" w:rsidR="0027345F" w:rsidRPr="00083019" w:rsidRDefault="0027345F" w:rsidP="0027345F">
      <w:pPr>
        <w:pStyle w:val="Textoindependiente"/>
        <w:spacing w:line="360" w:lineRule="auto"/>
        <w:ind w:firstLine="284"/>
        <w:jc w:val="both"/>
        <w:rPr>
          <w:rFonts w:ascii="AGaramond" w:eastAsia="Times New Roman" w:hAnsi="AGaramond"/>
          <w:sz w:val="22"/>
          <w:szCs w:val="22"/>
        </w:rPr>
      </w:pPr>
      <w:r w:rsidRPr="00083019">
        <w:rPr>
          <w:rFonts w:ascii="AGaramond" w:eastAsia="Times New Roman" w:hAnsi="AGaramond"/>
          <w:sz w:val="22"/>
          <w:szCs w:val="22"/>
        </w:rPr>
        <w:t>La tasa específica de emigración,</w:t>
      </w:r>
    </w:p>
    <w:p w14:paraId="57FF659A" w14:textId="77777777" w:rsidR="0027345F" w:rsidRPr="00083019" w:rsidRDefault="0027345F" w:rsidP="0027345F">
      <w:pPr>
        <w:pStyle w:val="Textoindependiente"/>
        <w:spacing w:line="360" w:lineRule="auto"/>
        <w:ind w:firstLine="720"/>
        <w:jc w:val="center"/>
        <w:rPr>
          <w:rFonts w:ascii="AGaramond" w:eastAsia="Times New Roman" w:hAnsi="AGaramond"/>
          <w:sz w:val="22"/>
          <w:szCs w:val="22"/>
        </w:rPr>
      </w:pPr>
      <w:r w:rsidRPr="00083019">
        <w:rPr>
          <w:rFonts w:ascii="AGaramond" w:hAnsi="AGaramond"/>
          <w:sz w:val="22"/>
          <w:szCs w:val="22"/>
          <w:vertAlign w:val="subscript"/>
        </w:rPr>
        <w:t>n</w:t>
      </w:r>
      <w:r w:rsidRPr="00083019">
        <w:rPr>
          <w:rFonts w:ascii="AGaramond" w:hAnsi="AGaramond"/>
          <w:i/>
          <w:sz w:val="22"/>
          <w:szCs w:val="22"/>
        </w:rPr>
        <w:sym w:font="Symbol" w:char="F065"/>
      </w:r>
      <w:r w:rsidRPr="00083019">
        <w:rPr>
          <w:rFonts w:ascii="AGaramond" w:hAnsi="AGaramond"/>
          <w:sz w:val="22"/>
          <w:szCs w:val="22"/>
          <w:vertAlign w:val="subscript"/>
        </w:rPr>
        <w:t xml:space="preserve">  x</w:t>
      </w:r>
      <w:r w:rsidRPr="00083019">
        <w:rPr>
          <w:rFonts w:ascii="AGaramond" w:hAnsi="AGaramond"/>
          <w:sz w:val="22"/>
          <w:szCs w:val="22"/>
        </w:rPr>
        <w:t xml:space="preserve"> (t, t + h) = </w:t>
      </w:r>
      <w:r w:rsidRPr="00083019">
        <w:rPr>
          <w:rFonts w:ascii="AGaramond" w:hAnsi="AGaramond"/>
          <w:sz w:val="22"/>
          <w:szCs w:val="22"/>
          <w:vertAlign w:val="subscript"/>
        </w:rPr>
        <w:t>n</w:t>
      </w:r>
      <w:r w:rsidRPr="00083019">
        <w:rPr>
          <w:rFonts w:ascii="AGaramond" w:hAnsi="AGaramond"/>
          <w:sz w:val="22"/>
          <w:szCs w:val="22"/>
        </w:rPr>
        <w:t xml:space="preserve"> E</w:t>
      </w:r>
      <w:r w:rsidRPr="00083019">
        <w:rPr>
          <w:rFonts w:ascii="AGaramond" w:hAnsi="AGaramond"/>
          <w:sz w:val="22"/>
          <w:szCs w:val="22"/>
          <w:vertAlign w:val="subscript"/>
        </w:rPr>
        <w:t xml:space="preserve"> x</w:t>
      </w:r>
      <w:r w:rsidRPr="00083019">
        <w:rPr>
          <w:rFonts w:ascii="AGaramond" w:hAnsi="AGaramond"/>
          <w:sz w:val="22"/>
          <w:szCs w:val="22"/>
        </w:rPr>
        <w:t xml:space="preserve"> (t, t + h) / </w:t>
      </w:r>
      <w:r w:rsidRPr="00083019">
        <w:rPr>
          <w:rFonts w:ascii="AGaramond" w:hAnsi="AGaramond"/>
          <w:sz w:val="22"/>
          <w:szCs w:val="22"/>
          <w:vertAlign w:val="subscript"/>
        </w:rPr>
        <w:t>n</w:t>
      </w:r>
      <w:r w:rsidRPr="00083019">
        <w:rPr>
          <w:rFonts w:ascii="AGaramond" w:hAnsi="AGaramond"/>
          <w:sz w:val="22"/>
          <w:szCs w:val="22"/>
        </w:rPr>
        <w:t xml:space="preserve"> K</w:t>
      </w:r>
      <w:r w:rsidRPr="00083019">
        <w:rPr>
          <w:rFonts w:ascii="AGaramond" w:hAnsi="AGaramond"/>
          <w:sz w:val="22"/>
          <w:szCs w:val="22"/>
          <w:vertAlign w:val="subscript"/>
        </w:rPr>
        <w:t xml:space="preserve"> x</w:t>
      </w:r>
      <w:r w:rsidRPr="00083019">
        <w:rPr>
          <w:rFonts w:ascii="AGaramond" w:hAnsi="AGaramond"/>
          <w:sz w:val="22"/>
          <w:szCs w:val="22"/>
        </w:rPr>
        <w:t xml:space="preserve"> (t, t + h)</w:t>
      </w:r>
    </w:p>
    <w:p w14:paraId="7BE9BC3A" w14:textId="77777777" w:rsidR="0027345F" w:rsidRPr="00083019" w:rsidRDefault="0027345F" w:rsidP="0027345F">
      <w:pPr>
        <w:pStyle w:val="Textoindependiente"/>
        <w:spacing w:line="360" w:lineRule="auto"/>
        <w:ind w:firstLine="284"/>
        <w:jc w:val="both"/>
        <w:rPr>
          <w:rFonts w:ascii="AGaramond" w:eastAsia="Times New Roman" w:hAnsi="AGaramond"/>
          <w:sz w:val="22"/>
          <w:szCs w:val="22"/>
        </w:rPr>
      </w:pPr>
      <w:r w:rsidRPr="00083019">
        <w:rPr>
          <w:rFonts w:ascii="AGaramond" w:eastAsia="Times New Roman" w:hAnsi="AGaramond"/>
          <w:sz w:val="22"/>
          <w:szCs w:val="22"/>
        </w:rPr>
        <w:t>La tasa específica de migración neta,</w:t>
      </w:r>
    </w:p>
    <w:p w14:paraId="50E703DE" w14:textId="77777777" w:rsidR="0027345F" w:rsidRPr="00083019" w:rsidRDefault="0027345F" w:rsidP="0027345F">
      <w:pPr>
        <w:pStyle w:val="Textonotapie"/>
        <w:spacing w:after="120" w:line="360" w:lineRule="auto"/>
        <w:jc w:val="center"/>
        <w:rPr>
          <w:rFonts w:ascii="AGaramond" w:hAnsi="AGaramond" w:cs="Times New Roman"/>
          <w:sz w:val="22"/>
          <w:szCs w:val="22"/>
        </w:rPr>
      </w:pPr>
      <w:r w:rsidRPr="00083019">
        <w:rPr>
          <w:rFonts w:ascii="AGaramond" w:hAnsi="AGaramond" w:cs="Times New Roman"/>
          <w:sz w:val="22"/>
          <w:szCs w:val="22"/>
          <w:vertAlign w:val="subscript"/>
        </w:rPr>
        <w:t>n</w:t>
      </w:r>
      <w:r w:rsidRPr="00083019">
        <w:rPr>
          <w:rFonts w:ascii="AGaramond" w:hAnsi="AGaramond" w:cs="Times New Roman"/>
          <w:i/>
          <w:sz w:val="22"/>
          <w:szCs w:val="22"/>
        </w:rPr>
        <w:sym w:font="Symbol" w:char="F068"/>
      </w:r>
      <w:r w:rsidRPr="00083019">
        <w:rPr>
          <w:rFonts w:ascii="AGaramond" w:hAnsi="AGaramond" w:cs="Times New Roman"/>
          <w:sz w:val="22"/>
          <w:szCs w:val="22"/>
          <w:vertAlign w:val="subscript"/>
        </w:rPr>
        <w:t xml:space="preserve">  x</w:t>
      </w:r>
      <w:r w:rsidRPr="00083019">
        <w:rPr>
          <w:rFonts w:ascii="AGaramond" w:hAnsi="AGaramond" w:cs="Times New Roman"/>
          <w:sz w:val="22"/>
          <w:szCs w:val="22"/>
        </w:rPr>
        <w:t xml:space="preserve"> (t, t + h) = </w:t>
      </w:r>
      <w:r w:rsidRPr="00083019">
        <w:rPr>
          <w:rFonts w:ascii="AGaramond" w:hAnsi="AGaramond" w:cs="Times New Roman"/>
          <w:sz w:val="22"/>
          <w:szCs w:val="22"/>
          <w:vertAlign w:val="subscript"/>
        </w:rPr>
        <w:t>n</w:t>
      </w:r>
      <w:r w:rsidRPr="00083019">
        <w:rPr>
          <w:rFonts w:ascii="AGaramond" w:hAnsi="AGaramond" w:cs="Times New Roman"/>
          <w:sz w:val="22"/>
          <w:szCs w:val="22"/>
        </w:rPr>
        <w:t xml:space="preserve"> MN</w:t>
      </w:r>
      <w:r w:rsidRPr="00083019">
        <w:rPr>
          <w:rFonts w:ascii="AGaramond" w:hAnsi="AGaramond" w:cs="Times New Roman"/>
          <w:sz w:val="22"/>
          <w:szCs w:val="22"/>
          <w:vertAlign w:val="subscript"/>
        </w:rPr>
        <w:t xml:space="preserve"> x</w:t>
      </w:r>
      <w:r w:rsidRPr="00083019">
        <w:rPr>
          <w:rFonts w:ascii="AGaramond" w:hAnsi="AGaramond" w:cs="Times New Roman"/>
          <w:sz w:val="22"/>
          <w:szCs w:val="22"/>
        </w:rPr>
        <w:t xml:space="preserve"> (t, t + h) / </w:t>
      </w:r>
      <w:r w:rsidRPr="00083019">
        <w:rPr>
          <w:rFonts w:ascii="AGaramond" w:hAnsi="AGaramond" w:cs="Times New Roman"/>
          <w:sz w:val="22"/>
          <w:szCs w:val="22"/>
          <w:vertAlign w:val="subscript"/>
        </w:rPr>
        <w:t>n</w:t>
      </w:r>
      <w:r w:rsidRPr="00083019">
        <w:rPr>
          <w:rFonts w:ascii="AGaramond" w:hAnsi="AGaramond" w:cs="Times New Roman"/>
          <w:sz w:val="22"/>
          <w:szCs w:val="22"/>
        </w:rPr>
        <w:t xml:space="preserve"> K</w:t>
      </w:r>
      <w:r w:rsidRPr="00083019">
        <w:rPr>
          <w:rFonts w:ascii="AGaramond" w:hAnsi="AGaramond" w:cs="Times New Roman"/>
          <w:sz w:val="22"/>
          <w:szCs w:val="22"/>
          <w:vertAlign w:val="subscript"/>
        </w:rPr>
        <w:t xml:space="preserve"> x</w:t>
      </w:r>
      <w:r w:rsidRPr="00083019">
        <w:rPr>
          <w:rFonts w:ascii="AGaramond" w:hAnsi="AGaramond" w:cs="Times New Roman"/>
          <w:sz w:val="22"/>
          <w:szCs w:val="22"/>
        </w:rPr>
        <w:t xml:space="preserve"> (t, t + h)</w:t>
      </w:r>
    </w:p>
    <w:p w14:paraId="498C2CCC" w14:textId="1C77E367" w:rsidR="0027345F" w:rsidRPr="00083019" w:rsidRDefault="0027345F" w:rsidP="0027345F">
      <w:pPr>
        <w:pStyle w:val="Textoindependiente"/>
        <w:spacing w:line="360" w:lineRule="auto"/>
        <w:ind w:firstLine="284"/>
        <w:jc w:val="both"/>
        <w:rPr>
          <w:rFonts w:ascii="AGaramond" w:eastAsia="Times New Roman" w:hAnsi="AGaramond"/>
          <w:sz w:val="22"/>
          <w:szCs w:val="22"/>
        </w:rPr>
      </w:pPr>
      <w:r w:rsidRPr="00083019">
        <w:rPr>
          <w:rFonts w:ascii="AGaramond" w:eastAsia="Times New Roman" w:hAnsi="AGaramond"/>
          <w:sz w:val="22"/>
          <w:szCs w:val="22"/>
        </w:rPr>
        <w:t>donde:</w:t>
      </w:r>
    </w:p>
    <w:p w14:paraId="219F5D16" w14:textId="19F25485" w:rsidR="0027345F" w:rsidRPr="00083019" w:rsidRDefault="0027345F" w:rsidP="002D23C8">
      <w:pPr>
        <w:pStyle w:val="Textonotapie"/>
        <w:spacing w:after="240" w:line="360" w:lineRule="auto"/>
        <w:ind w:firstLine="284"/>
        <w:jc w:val="both"/>
        <w:rPr>
          <w:rFonts w:ascii="AGaramond" w:eastAsia="Times New Roman" w:hAnsi="AGaramond"/>
          <w:sz w:val="22"/>
          <w:szCs w:val="22"/>
        </w:rPr>
      </w:pPr>
      <w:r w:rsidRPr="00083019">
        <w:rPr>
          <w:rFonts w:ascii="AGaramond" w:eastAsia="Times New Roman" w:hAnsi="AGaramond"/>
          <w:sz w:val="22"/>
          <w:szCs w:val="22"/>
          <w:vertAlign w:val="subscript"/>
        </w:rPr>
        <w:t>n</w:t>
      </w:r>
      <w:r w:rsidRPr="00083019">
        <w:rPr>
          <w:rFonts w:ascii="AGaramond" w:eastAsia="Times New Roman" w:hAnsi="AGaramond"/>
          <w:sz w:val="22"/>
          <w:szCs w:val="22"/>
        </w:rPr>
        <w:t xml:space="preserve"> K </w:t>
      </w:r>
      <w:r w:rsidRPr="00083019">
        <w:rPr>
          <w:rFonts w:ascii="AGaramond" w:eastAsia="Times New Roman" w:hAnsi="AGaramond"/>
          <w:sz w:val="22"/>
          <w:szCs w:val="22"/>
          <w:vertAlign w:val="subscript"/>
        </w:rPr>
        <w:t>x</w:t>
      </w:r>
      <w:r w:rsidRPr="00083019">
        <w:rPr>
          <w:rFonts w:ascii="AGaramond" w:eastAsia="Times New Roman" w:hAnsi="AGaramond"/>
          <w:sz w:val="22"/>
          <w:szCs w:val="22"/>
        </w:rPr>
        <w:t xml:space="preserve"> (t, t + h) ha </w:t>
      </w:r>
      <w:r w:rsidRPr="00083019">
        <w:rPr>
          <w:rFonts w:ascii="AGaramond" w:eastAsia="Times New Roman" w:hAnsi="AGaramond"/>
          <w:noProof/>
          <w:sz w:val="22"/>
          <w:szCs w:val="22"/>
        </w:rPr>
        <w:t>correspondido</w:t>
      </w:r>
      <w:r w:rsidRPr="00083019">
        <w:rPr>
          <w:rFonts w:ascii="AGaramond" w:eastAsia="Times New Roman" w:hAnsi="AGaramond"/>
          <w:sz w:val="22"/>
          <w:szCs w:val="22"/>
        </w:rPr>
        <w:t xml:space="preserve"> a los años-persona vividos entre los momentos t y t + h, en el intervalo semiabierto de edades exactas [x, x + n), y su cálculo se ha realizado como en el caso de las tasas brutas.</w:t>
      </w:r>
    </w:p>
    <w:p w14:paraId="79C2D9B3" w14:textId="77777777" w:rsidR="0027345F" w:rsidRPr="00083019" w:rsidRDefault="0027345F" w:rsidP="0023454F">
      <w:pPr>
        <w:pStyle w:val="Textoindependiente"/>
        <w:spacing w:line="360" w:lineRule="auto"/>
        <w:ind w:firstLine="284"/>
        <w:jc w:val="both"/>
        <w:rPr>
          <w:rFonts w:ascii="AGaramond" w:eastAsia="Times New Roman" w:hAnsi="AGaramond"/>
          <w:sz w:val="22"/>
          <w:szCs w:val="22"/>
        </w:rPr>
      </w:pPr>
      <w:r w:rsidRPr="00083019">
        <w:rPr>
          <w:rFonts w:ascii="AGaramond" w:eastAsia="Times New Roman" w:hAnsi="AGaramond"/>
          <w:sz w:val="22"/>
          <w:szCs w:val="22"/>
        </w:rPr>
        <w:t>La tasa específica de migración neta también se ha obtenido así,</w:t>
      </w:r>
    </w:p>
    <w:p w14:paraId="43269785" w14:textId="77777777" w:rsidR="0027345F" w:rsidRPr="00083019" w:rsidRDefault="0027345F" w:rsidP="0027345F">
      <w:pPr>
        <w:pStyle w:val="Textoindependiente"/>
        <w:spacing w:line="360" w:lineRule="auto"/>
        <w:jc w:val="center"/>
        <w:rPr>
          <w:rFonts w:ascii="AGaramond" w:hAnsi="AGaramond"/>
          <w:lang w:val="en-US"/>
        </w:rPr>
      </w:pPr>
      <w:r w:rsidRPr="00083019">
        <w:rPr>
          <w:rFonts w:ascii="AGaramond" w:hAnsi="AGaramond"/>
          <w:vertAlign w:val="subscript"/>
          <w:lang w:val="en-US"/>
        </w:rPr>
        <w:t>n</w:t>
      </w:r>
      <w:r w:rsidRPr="00083019">
        <w:rPr>
          <w:rFonts w:ascii="AGaramond" w:hAnsi="AGaramond"/>
          <w:i/>
        </w:rPr>
        <w:sym w:font="Symbol" w:char="F068"/>
      </w:r>
      <w:r w:rsidRPr="00083019">
        <w:rPr>
          <w:rFonts w:ascii="AGaramond" w:hAnsi="AGaramond"/>
          <w:vertAlign w:val="subscript"/>
          <w:lang w:val="en-US"/>
        </w:rPr>
        <w:t xml:space="preserve"> x</w:t>
      </w:r>
      <w:r w:rsidRPr="00083019">
        <w:rPr>
          <w:rFonts w:ascii="AGaramond" w:hAnsi="AGaramond"/>
          <w:lang w:val="en-US"/>
        </w:rPr>
        <w:t xml:space="preserve"> (t, t + h) = </w:t>
      </w:r>
      <w:r w:rsidRPr="00083019">
        <w:rPr>
          <w:rFonts w:ascii="AGaramond" w:hAnsi="AGaramond"/>
          <w:vertAlign w:val="subscript"/>
          <w:lang w:val="en-US"/>
        </w:rPr>
        <w:t>n</w:t>
      </w:r>
      <w:r w:rsidRPr="00083019">
        <w:rPr>
          <w:rFonts w:ascii="AGaramond" w:hAnsi="AGaramond"/>
          <w:i/>
        </w:rPr>
        <w:sym w:font="Symbol" w:char="F069"/>
      </w:r>
      <w:r w:rsidRPr="00083019">
        <w:rPr>
          <w:rFonts w:ascii="AGaramond" w:hAnsi="AGaramond"/>
          <w:i/>
          <w:lang w:val="en-US"/>
        </w:rPr>
        <w:t xml:space="preserve"> </w:t>
      </w:r>
      <w:r w:rsidRPr="00083019">
        <w:rPr>
          <w:rFonts w:ascii="AGaramond" w:hAnsi="AGaramond"/>
          <w:vertAlign w:val="subscript"/>
          <w:lang w:val="en-US"/>
        </w:rPr>
        <w:t>x</w:t>
      </w:r>
      <w:r w:rsidRPr="00083019">
        <w:rPr>
          <w:rFonts w:ascii="AGaramond" w:hAnsi="AGaramond"/>
          <w:lang w:val="en-US"/>
        </w:rPr>
        <w:t xml:space="preserve"> (t, t + h) - </w:t>
      </w:r>
      <w:r w:rsidRPr="00083019">
        <w:rPr>
          <w:rFonts w:ascii="AGaramond" w:hAnsi="AGaramond"/>
          <w:vertAlign w:val="subscript"/>
          <w:lang w:val="en-US"/>
        </w:rPr>
        <w:t>n</w:t>
      </w:r>
      <w:r w:rsidRPr="00083019">
        <w:rPr>
          <w:rFonts w:ascii="AGaramond" w:hAnsi="AGaramond"/>
          <w:i/>
        </w:rPr>
        <w:sym w:font="Symbol" w:char="F065"/>
      </w:r>
      <w:r w:rsidRPr="00083019">
        <w:rPr>
          <w:rFonts w:ascii="AGaramond" w:hAnsi="AGaramond"/>
          <w:vertAlign w:val="subscript"/>
          <w:lang w:val="en-US"/>
        </w:rPr>
        <w:t xml:space="preserve"> x</w:t>
      </w:r>
      <w:r w:rsidRPr="00083019">
        <w:rPr>
          <w:rFonts w:ascii="AGaramond" w:hAnsi="AGaramond"/>
          <w:lang w:val="en-US"/>
        </w:rPr>
        <w:t xml:space="preserve"> (t, t + h)</w:t>
      </w:r>
    </w:p>
    <w:p w14:paraId="3A8FADF2" w14:textId="08D8A60F" w:rsidR="0027345F" w:rsidRPr="00083019" w:rsidRDefault="0027345F" w:rsidP="002D23C8">
      <w:pPr>
        <w:pStyle w:val="Textonotapie"/>
        <w:spacing w:after="240" w:line="360" w:lineRule="auto"/>
        <w:ind w:firstLine="284"/>
        <w:jc w:val="both"/>
        <w:rPr>
          <w:rFonts w:ascii="AGaramond" w:eastAsia="Times New Roman" w:hAnsi="AGaramond"/>
          <w:noProof/>
          <w:sz w:val="22"/>
          <w:szCs w:val="22"/>
        </w:rPr>
      </w:pPr>
      <w:r w:rsidRPr="00083019">
        <w:rPr>
          <w:rFonts w:ascii="AGaramond" w:eastAsia="Times New Roman" w:hAnsi="AGaramond"/>
          <w:sz w:val="22"/>
          <w:szCs w:val="22"/>
        </w:rPr>
        <w:t>Una segunda distinción que se ha hecho en las tasas para el estudio de la migración interna de la población ha sido en tasas de primera categoría y de segunda categoría. Así, las tasas de emigración se han considerado de primera categoría “porque todos los residentes de una región están expuestos a salir de ahí para establecer residencia en otro lugar; [</w:t>
      </w:r>
      <w:r w:rsidRPr="00083019">
        <w:rPr>
          <w:rFonts w:ascii="AGaramond" w:eastAsia="Times New Roman" w:hAnsi="AGaramond"/>
          <w:noProof/>
          <w:sz w:val="22"/>
          <w:szCs w:val="22"/>
        </w:rPr>
        <w:t>mientras que] las de inmigración, en cambio, son de segunda cantegoría porque ninguno de los residentes está expuesto a entrar</w:t>
      </w:r>
      <w:r w:rsidRPr="00083019">
        <w:rPr>
          <w:rFonts w:ascii="AGaramond" w:eastAsia="Times New Roman" w:hAnsi="AGaramond"/>
          <w:sz w:val="22"/>
          <w:szCs w:val="22"/>
        </w:rPr>
        <w:t xml:space="preserve">” </w:t>
      </w:r>
      <w:r w:rsidRPr="00083019">
        <w:rPr>
          <w:rFonts w:ascii="AGaramond" w:eastAsia="Times New Roman" w:hAnsi="AGaramond"/>
          <w:noProof/>
          <w:sz w:val="22"/>
          <w:szCs w:val="22"/>
        </w:rPr>
        <w:t>(Partida, 2013</w:t>
      </w:r>
      <w:r w:rsidR="0023454F" w:rsidRPr="00083019">
        <w:rPr>
          <w:rFonts w:ascii="AGaramond" w:eastAsia="Times New Roman" w:hAnsi="AGaramond"/>
          <w:noProof/>
          <w:sz w:val="22"/>
          <w:szCs w:val="22"/>
        </w:rPr>
        <w:t>, p.</w:t>
      </w:r>
      <w:r w:rsidRPr="00083019">
        <w:rPr>
          <w:rFonts w:ascii="AGaramond" w:eastAsia="Times New Roman" w:hAnsi="AGaramond"/>
          <w:noProof/>
          <w:sz w:val="22"/>
          <w:szCs w:val="22"/>
        </w:rPr>
        <w:t xml:space="preserve"> 423). En este sentido, las tasas de emigración se han considerado susceptibles a convertirse en </w:t>
      </w:r>
      <w:r w:rsidRPr="00083019">
        <w:rPr>
          <w:rFonts w:ascii="AGaramond" w:hAnsi="AGaramond" w:cs="Times New Roman"/>
          <w:sz w:val="22"/>
          <w:szCs w:val="22"/>
        </w:rPr>
        <w:t>probabilidades</w:t>
      </w:r>
      <w:r w:rsidRPr="00083019">
        <w:rPr>
          <w:rFonts w:ascii="AGaramond" w:eastAsia="Times New Roman" w:hAnsi="AGaramond"/>
          <w:noProof/>
          <w:sz w:val="22"/>
          <w:szCs w:val="22"/>
        </w:rPr>
        <w:t xml:space="preserve"> de transición de un ámbito espacial a otro, y también, en factores de disminución. Las tasas de inmigración y migración neta, en tanto tasas de segunda categoría, únicamente se han considerado susceptibles a convertirse en factores de aumento o de reducción.</w:t>
      </w:r>
    </w:p>
    <w:p w14:paraId="3510F495" w14:textId="0AB687E8" w:rsidR="0027345F" w:rsidRPr="00083019" w:rsidRDefault="0027345F" w:rsidP="002D23C8">
      <w:pPr>
        <w:pStyle w:val="Textonotapie"/>
        <w:spacing w:after="240" w:line="360" w:lineRule="auto"/>
        <w:ind w:firstLine="284"/>
        <w:jc w:val="both"/>
        <w:rPr>
          <w:rFonts w:ascii="AGaramond" w:eastAsia="Times New Roman" w:hAnsi="AGaramond"/>
          <w:sz w:val="22"/>
          <w:szCs w:val="22"/>
        </w:rPr>
      </w:pPr>
      <w:r w:rsidRPr="00083019">
        <w:rPr>
          <w:rFonts w:ascii="AGaramond" w:eastAsia="Times New Roman" w:hAnsi="AGaramond"/>
          <w:noProof/>
          <w:sz w:val="22"/>
          <w:szCs w:val="22"/>
        </w:rPr>
        <w:t>Una tercera diferenciación que se ha encontrado en las</w:t>
      </w:r>
      <w:r w:rsidRPr="00083019">
        <w:rPr>
          <w:rFonts w:ascii="AGaramond" w:eastAsia="Times New Roman" w:hAnsi="AGaramond"/>
          <w:sz w:val="22"/>
          <w:szCs w:val="22"/>
        </w:rPr>
        <w:t xml:space="preserve"> tasas para el estudio de la migración interna ha sido en tasas cohorte-periodo o cohorte-edad y en tasas edad-periodo o grupo-edad. En el estudio de la migración, al igual que en la nupcialidad y la </w:t>
      </w:r>
      <w:r w:rsidRPr="00083019">
        <w:rPr>
          <w:rFonts w:ascii="AGaramond" w:hAnsi="AGaramond" w:cs="Times New Roman"/>
          <w:sz w:val="22"/>
          <w:szCs w:val="22"/>
        </w:rPr>
        <w:t>fecundidad</w:t>
      </w:r>
      <w:r w:rsidRPr="00083019">
        <w:rPr>
          <w:rFonts w:ascii="AGaramond" w:eastAsia="Times New Roman" w:hAnsi="AGaramond"/>
          <w:sz w:val="22"/>
          <w:szCs w:val="22"/>
        </w:rPr>
        <w:t>, ha sido más práctico el trabajo con tasas edad-periodo porque han permitido obtener probabilidades entre edades exactas. Además, la información retrospectiva sobre migración que se ha levantado en las fuentes consideradas</w:t>
      </w:r>
      <w:r w:rsidR="004C5979">
        <w:rPr>
          <w:rFonts w:ascii="AGaramond" w:eastAsia="Times New Roman" w:hAnsi="AGaramond"/>
          <w:sz w:val="22"/>
          <w:szCs w:val="22"/>
        </w:rPr>
        <w:t>;</w:t>
      </w:r>
      <w:r w:rsidRPr="00083019">
        <w:rPr>
          <w:rFonts w:ascii="AGaramond" w:eastAsia="Times New Roman" w:hAnsi="AGaramond"/>
          <w:sz w:val="22"/>
          <w:szCs w:val="22"/>
        </w:rPr>
        <w:t xml:space="preserve"> es decir, la residencia 5 años antes de la aplicación del cuestionario, corresponde a eventos de tipo cohorte-periodo o cohorte-edad. La transformación a tasas edad-periodo o grupo-edad ha resultado más conveniente </w:t>
      </w:r>
      <w:r w:rsidRPr="00083019">
        <w:rPr>
          <w:rFonts w:ascii="AGaramond" w:eastAsia="Times New Roman" w:hAnsi="AGaramond"/>
          <w:noProof/>
          <w:sz w:val="22"/>
          <w:szCs w:val="22"/>
        </w:rPr>
        <w:t>(Partida, 2013</w:t>
      </w:r>
      <w:r w:rsidR="00AD5565" w:rsidRPr="00083019">
        <w:rPr>
          <w:rFonts w:ascii="AGaramond" w:eastAsia="Times New Roman" w:hAnsi="AGaramond"/>
          <w:noProof/>
          <w:sz w:val="22"/>
          <w:szCs w:val="22"/>
        </w:rPr>
        <w:t>, p.</w:t>
      </w:r>
      <w:r w:rsidRPr="00083019">
        <w:rPr>
          <w:rFonts w:ascii="AGaramond" w:eastAsia="Times New Roman" w:hAnsi="AGaramond"/>
          <w:noProof/>
          <w:sz w:val="22"/>
          <w:szCs w:val="22"/>
        </w:rPr>
        <w:t xml:space="preserve"> 424)</w:t>
      </w:r>
      <w:r w:rsidRPr="00083019">
        <w:rPr>
          <w:rFonts w:ascii="AGaramond" w:eastAsia="Times New Roman" w:hAnsi="AGaramond"/>
          <w:sz w:val="22"/>
          <w:szCs w:val="22"/>
        </w:rPr>
        <w:t>.</w:t>
      </w:r>
    </w:p>
    <w:p w14:paraId="6683BF89" w14:textId="77777777" w:rsidR="0027345F" w:rsidRPr="00083019" w:rsidRDefault="0027345F" w:rsidP="002D23C8">
      <w:pPr>
        <w:pStyle w:val="Textonotapie"/>
        <w:spacing w:after="120" w:line="360" w:lineRule="auto"/>
        <w:ind w:firstLine="284"/>
        <w:rPr>
          <w:rFonts w:ascii="AGaramond" w:hAnsi="AGaramond" w:cs="Times New Roman"/>
          <w:sz w:val="22"/>
          <w:szCs w:val="22"/>
        </w:rPr>
      </w:pPr>
      <w:r w:rsidRPr="00083019">
        <w:rPr>
          <w:rFonts w:ascii="AGaramond" w:hAnsi="AGaramond" w:cs="Times New Roman"/>
          <w:sz w:val="22"/>
          <w:szCs w:val="22"/>
        </w:rPr>
        <w:lastRenderedPageBreak/>
        <w:t>La conversión de tasas cohorte-periodo (cohorte-edad) a tasas edad-periodo (grupo-edad) se puede aproximar a la media aritmética del indicador correspondiente a los grupos [x-5, x) y [x, x + 5), como en las siguientes expresiones:</w:t>
      </w:r>
    </w:p>
    <w:p w14:paraId="6757C894" w14:textId="77777777" w:rsidR="0027345F" w:rsidRPr="00083019" w:rsidRDefault="0027345F" w:rsidP="0027345F">
      <w:pPr>
        <w:pStyle w:val="Textonotapie"/>
        <w:spacing w:after="120" w:line="360" w:lineRule="auto"/>
        <w:jc w:val="center"/>
        <w:rPr>
          <w:rFonts w:ascii="AGaramond" w:hAnsi="AGaramond" w:cs="Times New Roman"/>
          <w:sz w:val="22"/>
          <w:szCs w:val="22"/>
          <w:lang w:val="en-US"/>
        </w:rPr>
      </w:pPr>
      <w:r w:rsidRPr="00083019">
        <w:rPr>
          <w:rFonts w:ascii="AGaramond" w:hAnsi="AGaramond" w:cs="Times New Roman"/>
          <w:sz w:val="22"/>
          <w:szCs w:val="22"/>
          <w:vertAlign w:val="subscript"/>
          <w:lang w:val="en-US"/>
        </w:rPr>
        <w:t>5</w:t>
      </w:r>
      <w:r w:rsidRPr="00083019">
        <w:rPr>
          <w:rFonts w:ascii="AGaramond" w:hAnsi="AGaramond" w:cs="Times New Roman"/>
          <w:i/>
          <w:sz w:val="22"/>
          <w:szCs w:val="22"/>
        </w:rPr>
        <w:sym w:font="Symbol" w:char="F065"/>
      </w:r>
      <w:r w:rsidRPr="00083019">
        <w:rPr>
          <w:rFonts w:ascii="AGaramond" w:hAnsi="AGaramond" w:cs="Times New Roman"/>
          <w:sz w:val="22"/>
          <w:szCs w:val="22"/>
          <w:vertAlign w:val="subscript"/>
          <w:lang w:val="en-US"/>
        </w:rPr>
        <w:t xml:space="preserve"> x</w:t>
      </w:r>
      <w:r w:rsidRPr="00083019">
        <w:rPr>
          <w:rFonts w:ascii="AGaramond" w:hAnsi="AGaramond" w:cs="Times New Roman"/>
          <w:sz w:val="22"/>
          <w:szCs w:val="22"/>
          <w:lang w:val="en-US"/>
        </w:rPr>
        <w:t xml:space="preserve"> (t, t + 5) = [ (</w:t>
      </w:r>
      <w:r w:rsidRPr="00083019">
        <w:rPr>
          <w:rFonts w:ascii="AGaramond" w:hAnsi="AGaramond" w:cs="Times New Roman"/>
          <w:sz w:val="22"/>
          <w:szCs w:val="22"/>
          <w:vertAlign w:val="subscript"/>
          <w:lang w:val="en-US"/>
        </w:rPr>
        <w:t>5</w:t>
      </w:r>
      <w:r w:rsidRPr="00083019">
        <w:rPr>
          <w:rFonts w:ascii="AGaramond" w:hAnsi="AGaramond" w:cs="Times New Roman"/>
          <w:i/>
          <w:sz w:val="22"/>
          <w:szCs w:val="22"/>
        </w:rPr>
        <w:sym w:font="Symbol" w:char="F065"/>
      </w:r>
      <w:r w:rsidRPr="00083019">
        <w:rPr>
          <w:rFonts w:ascii="AGaramond" w:hAnsi="AGaramond" w:cs="Times New Roman"/>
          <w:sz w:val="22"/>
          <w:szCs w:val="22"/>
          <w:vertAlign w:val="superscript"/>
          <w:lang w:val="en-US"/>
        </w:rPr>
        <w:t>c</w:t>
      </w:r>
      <w:r w:rsidRPr="00083019">
        <w:rPr>
          <w:rFonts w:ascii="AGaramond" w:hAnsi="AGaramond" w:cs="Times New Roman"/>
          <w:sz w:val="22"/>
          <w:szCs w:val="22"/>
          <w:vertAlign w:val="subscript"/>
          <w:lang w:val="en-US"/>
        </w:rPr>
        <w:t>x-5</w:t>
      </w:r>
      <w:r w:rsidRPr="00083019">
        <w:rPr>
          <w:rFonts w:ascii="AGaramond" w:hAnsi="AGaramond" w:cs="Times New Roman"/>
          <w:sz w:val="22"/>
          <w:szCs w:val="22"/>
          <w:lang w:val="en-US"/>
        </w:rPr>
        <w:t xml:space="preserve"> (t, t + 5) + (</w:t>
      </w:r>
      <w:r w:rsidRPr="00083019">
        <w:rPr>
          <w:rFonts w:ascii="AGaramond" w:hAnsi="AGaramond" w:cs="Times New Roman"/>
          <w:sz w:val="22"/>
          <w:szCs w:val="22"/>
          <w:vertAlign w:val="subscript"/>
          <w:lang w:val="en-US"/>
        </w:rPr>
        <w:t>5</w:t>
      </w:r>
      <w:r w:rsidRPr="00083019">
        <w:rPr>
          <w:rFonts w:ascii="AGaramond" w:hAnsi="AGaramond" w:cs="Times New Roman"/>
          <w:i/>
          <w:sz w:val="22"/>
          <w:szCs w:val="22"/>
        </w:rPr>
        <w:sym w:font="Symbol" w:char="F065"/>
      </w:r>
      <w:r w:rsidRPr="00083019">
        <w:rPr>
          <w:rFonts w:ascii="AGaramond" w:hAnsi="AGaramond" w:cs="Times New Roman"/>
          <w:sz w:val="22"/>
          <w:szCs w:val="22"/>
          <w:vertAlign w:val="superscript"/>
          <w:lang w:val="en-US"/>
        </w:rPr>
        <w:t>c</w:t>
      </w:r>
      <w:r w:rsidRPr="00083019">
        <w:rPr>
          <w:rFonts w:ascii="AGaramond" w:hAnsi="AGaramond" w:cs="Times New Roman"/>
          <w:sz w:val="22"/>
          <w:szCs w:val="22"/>
          <w:vertAlign w:val="subscript"/>
          <w:lang w:val="en-US"/>
        </w:rPr>
        <w:t>x</w:t>
      </w:r>
      <w:r w:rsidRPr="00083019">
        <w:rPr>
          <w:rFonts w:ascii="AGaramond" w:hAnsi="AGaramond" w:cs="Times New Roman"/>
          <w:sz w:val="22"/>
          <w:szCs w:val="22"/>
          <w:lang w:val="en-US"/>
        </w:rPr>
        <w:t xml:space="preserve"> (t, t + 5)) / 2]</w:t>
      </w:r>
    </w:p>
    <w:p w14:paraId="2DB6BF7E" w14:textId="77777777" w:rsidR="0027345F" w:rsidRPr="00083019" w:rsidRDefault="0027345F" w:rsidP="0027345F">
      <w:pPr>
        <w:pStyle w:val="Textoindependiente"/>
        <w:spacing w:line="360" w:lineRule="auto"/>
        <w:jc w:val="center"/>
        <w:rPr>
          <w:rFonts w:ascii="AGaramond" w:eastAsia="Times New Roman" w:hAnsi="AGaramond"/>
          <w:sz w:val="22"/>
          <w:szCs w:val="22"/>
          <w:lang w:val="en-US"/>
        </w:rPr>
      </w:pPr>
      <w:r w:rsidRPr="00083019">
        <w:rPr>
          <w:rFonts w:ascii="AGaramond" w:hAnsi="AGaramond"/>
          <w:sz w:val="22"/>
          <w:szCs w:val="22"/>
          <w:vertAlign w:val="subscript"/>
          <w:lang w:val="en-US"/>
        </w:rPr>
        <w:t>5</w:t>
      </w:r>
      <w:r w:rsidRPr="00083019">
        <w:rPr>
          <w:rFonts w:ascii="AGaramond" w:hAnsi="AGaramond"/>
          <w:i/>
          <w:sz w:val="22"/>
          <w:szCs w:val="22"/>
        </w:rPr>
        <w:sym w:font="Symbol" w:char="F069"/>
      </w:r>
      <w:r w:rsidRPr="00083019">
        <w:rPr>
          <w:rFonts w:ascii="AGaramond" w:hAnsi="AGaramond"/>
          <w:sz w:val="22"/>
          <w:szCs w:val="22"/>
          <w:vertAlign w:val="subscript"/>
          <w:lang w:val="en-US"/>
        </w:rPr>
        <w:t>x</w:t>
      </w:r>
      <w:r w:rsidRPr="00083019">
        <w:rPr>
          <w:rFonts w:ascii="AGaramond" w:hAnsi="AGaramond"/>
          <w:sz w:val="22"/>
          <w:szCs w:val="22"/>
          <w:lang w:val="en-US"/>
        </w:rPr>
        <w:t xml:space="preserve"> (t, t + 5) = [ (</w:t>
      </w:r>
      <w:r w:rsidRPr="00083019">
        <w:rPr>
          <w:rFonts w:ascii="AGaramond" w:hAnsi="AGaramond"/>
          <w:sz w:val="22"/>
          <w:szCs w:val="22"/>
          <w:vertAlign w:val="subscript"/>
          <w:lang w:val="en-US"/>
        </w:rPr>
        <w:t>5</w:t>
      </w:r>
      <w:r w:rsidRPr="00083019">
        <w:rPr>
          <w:rFonts w:ascii="AGaramond" w:hAnsi="AGaramond"/>
          <w:i/>
          <w:sz w:val="22"/>
          <w:szCs w:val="22"/>
        </w:rPr>
        <w:sym w:font="Symbol" w:char="F069"/>
      </w:r>
      <w:r w:rsidRPr="00083019">
        <w:rPr>
          <w:rFonts w:ascii="AGaramond" w:hAnsi="AGaramond"/>
          <w:sz w:val="22"/>
          <w:szCs w:val="22"/>
          <w:vertAlign w:val="superscript"/>
          <w:lang w:val="en-US"/>
        </w:rPr>
        <w:t>c</w:t>
      </w:r>
      <w:r w:rsidRPr="00083019">
        <w:rPr>
          <w:rFonts w:ascii="AGaramond" w:hAnsi="AGaramond"/>
          <w:sz w:val="22"/>
          <w:szCs w:val="22"/>
          <w:vertAlign w:val="subscript"/>
          <w:lang w:val="en-US"/>
        </w:rPr>
        <w:t xml:space="preserve"> x-5</w:t>
      </w:r>
      <w:r w:rsidRPr="00083019">
        <w:rPr>
          <w:rFonts w:ascii="AGaramond" w:hAnsi="AGaramond"/>
          <w:sz w:val="22"/>
          <w:szCs w:val="22"/>
          <w:lang w:val="en-US"/>
        </w:rPr>
        <w:t xml:space="preserve"> (t, t + 5) + (</w:t>
      </w:r>
      <w:r w:rsidRPr="00083019">
        <w:rPr>
          <w:rFonts w:ascii="AGaramond" w:hAnsi="AGaramond"/>
          <w:sz w:val="22"/>
          <w:szCs w:val="22"/>
          <w:vertAlign w:val="subscript"/>
          <w:lang w:val="en-US"/>
        </w:rPr>
        <w:t>5</w:t>
      </w:r>
      <w:r w:rsidRPr="00083019">
        <w:rPr>
          <w:rFonts w:ascii="AGaramond" w:hAnsi="AGaramond"/>
          <w:i/>
          <w:sz w:val="22"/>
          <w:szCs w:val="22"/>
        </w:rPr>
        <w:sym w:font="Symbol" w:char="F069"/>
      </w:r>
      <w:r w:rsidRPr="00083019">
        <w:rPr>
          <w:rFonts w:ascii="AGaramond" w:hAnsi="AGaramond"/>
          <w:sz w:val="22"/>
          <w:szCs w:val="22"/>
          <w:vertAlign w:val="superscript"/>
          <w:lang w:val="en-US"/>
        </w:rPr>
        <w:t>c</w:t>
      </w:r>
      <w:r w:rsidRPr="00083019">
        <w:rPr>
          <w:rFonts w:ascii="AGaramond" w:hAnsi="AGaramond"/>
          <w:sz w:val="22"/>
          <w:szCs w:val="22"/>
          <w:vertAlign w:val="subscript"/>
          <w:lang w:val="en-US"/>
        </w:rPr>
        <w:t>x</w:t>
      </w:r>
      <w:r w:rsidRPr="00083019">
        <w:rPr>
          <w:rFonts w:ascii="AGaramond" w:hAnsi="AGaramond"/>
          <w:sz w:val="22"/>
          <w:szCs w:val="22"/>
          <w:lang w:val="en-US"/>
        </w:rPr>
        <w:t xml:space="preserve"> (t, t + 5)) / 2]</w:t>
      </w:r>
    </w:p>
    <w:p w14:paraId="56DD0390" w14:textId="77777777" w:rsidR="0027345F" w:rsidRPr="00083019" w:rsidRDefault="0027345F" w:rsidP="002D23C8">
      <w:pPr>
        <w:pStyle w:val="Textonotapie"/>
        <w:spacing w:after="240" w:line="360" w:lineRule="auto"/>
        <w:ind w:firstLine="284"/>
        <w:jc w:val="both"/>
        <w:rPr>
          <w:rFonts w:ascii="AGaramond" w:hAnsi="AGaramond" w:cs="Times New Roman"/>
          <w:sz w:val="22"/>
          <w:szCs w:val="22"/>
        </w:rPr>
      </w:pPr>
      <w:r w:rsidRPr="00083019">
        <w:rPr>
          <w:rFonts w:ascii="AGaramond" w:hAnsi="AGaramond" w:cs="Times New Roman"/>
          <w:sz w:val="22"/>
          <w:szCs w:val="22"/>
        </w:rPr>
        <w:t>De esta manera se han construido las tasas brutas y específicas de inmigración, emigración y migración neta por grupos de edad y sexo, tanto cohorte-periodo (cohorte-edad) como edad-periodo (grupo-edad), para el sistema de dos ámbitos que han conformado Playa del Carmen y el resto de los Estados Unidos Mexicanos en los tres lustros bajo análisis (véanse cuadros A-1 al A-9 en Anexo).</w:t>
      </w:r>
    </w:p>
    <w:p w14:paraId="77DE8D64" w14:textId="77777777" w:rsidR="0027345F" w:rsidRPr="00083019" w:rsidRDefault="0027345F" w:rsidP="002D23C8">
      <w:pPr>
        <w:pStyle w:val="Textonotapie"/>
        <w:spacing w:after="240" w:line="360" w:lineRule="auto"/>
        <w:ind w:firstLine="284"/>
        <w:jc w:val="both"/>
        <w:rPr>
          <w:rFonts w:ascii="AGaramond" w:hAnsi="AGaramond" w:cs="Times New Roman"/>
          <w:sz w:val="22"/>
          <w:szCs w:val="22"/>
        </w:rPr>
      </w:pPr>
      <w:r w:rsidRPr="00083019">
        <w:rPr>
          <w:rFonts w:ascii="AGaramond" w:hAnsi="AGaramond" w:cs="Times New Roman"/>
          <w:sz w:val="22"/>
          <w:szCs w:val="22"/>
        </w:rPr>
        <w:t xml:space="preserve">Las tasas específicas según edad y sexo han confirmado la disminución del nivel de inmigración y no solo en general como registraba la tasa bruta de inmigración, ello se ha presentado en todos los grupos de edad y para ambos sexos (véase Gráfico 1). Las tasas más altas se han observado en el primer lustro de análisis, 1995-2000, y las más bajas en el tercero, 2010-2015, en general, para hombres y mujeres. Así, se ha identificado una tendencia a la disminución de la intensidad de la inmigración a medida que ha pasado el tiempo entre 1995 y 2015. </w:t>
      </w:r>
    </w:p>
    <w:p w14:paraId="2FE32C9E" w14:textId="77777777" w:rsidR="0027345F" w:rsidRPr="00083019" w:rsidRDefault="0027345F" w:rsidP="0023454F">
      <w:pPr>
        <w:pStyle w:val="Textoindependiente"/>
        <w:spacing w:after="0" w:line="360" w:lineRule="auto"/>
        <w:jc w:val="center"/>
        <w:rPr>
          <w:rFonts w:ascii="AGaramond" w:eastAsia="Times New Roman" w:hAnsi="AGaramond"/>
          <w:sz w:val="22"/>
          <w:szCs w:val="22"/>
        </w:rPr>
      </w:pPr>
      <w:r w:rsidRPr="00083019">
        <w:rPr>
          <w:rFonts w:ascii="AGaramond" w:eastAsia="Times New Roman" w:hAnsi="AGaramond"/>
          <w:sz w:val="22"/>
          <w:szCs w:val="22"/>
        </w:rPr>
        <w:t>Gráfico 1. Playa del Carmen: tasas de inmigración (por mil) según edad y sexo, 1995-2000, 2005-2010 y 2010-2015</w:t>
      </w:r>
    </w:p>
    <w:p w14:paraId="39336378" w14:textId="77777777" w:rsidR="0027345F" w:rsidRPr="00083019" w:rsidRDefault="0027345F" w:rsidP="0023454F">
      <w:pPr>
        <w:pStyle w:val="Normal1"/>
        <w:spacing w:line="240" w:lineRule="auto"/>
        <w:jc w:val="center"/>
        <w:rPr>
          <w:rFonts w:ascii="AGaramond" w:hAnsi="AGaramond"/>
          <w:b/>
          <w:lang w:val="es-MX"/>
        </w:rPr>
      </w:pPr>
      <w:r w:rsidRPr="00083019">
        <w:rPr>
          <w:rFonts w:ascii="AGaramond" w:hAnsi="AGaramond"/>
          <w:noProof/>
        </w:rPr>
        <w:drawing>
          <wp:inline distT="0" distB="0" distL="0" distR="0" wp14:anchorId="68132FA9" wp14:editId="43185D88">
            <wp:extent cx="5580000" cy="2926800"/>
            <wp:effectExtent l="0" t="0" r="1905" b="6985"/>
            <wp:docPr id="20"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80000" cy="2926800"/>
                    </a:xfrm>
                    <a:prstGeom prst="rect">
                      <a:avLst/>
                    </a:prstGeom>
                    <a:noFill/>
                    <a:ln>
                      <a:noFill/>
                    </a:ln>
                  </pic:spPr>
                </pic:pic>
              </a:graphicData>
            </a:graphic>
          </wp:inline>
        </w:drawing>
      </w:r>
    </w:p>
    <w:p w14:paraId="037BC3AC" w14:textId="77777777" w:rsidR="0027345F" w:rsidRPr="00083019" w:rsidRDefault="0027345F" w:rsidP="009E028A">
      <w:pPr>
        <w:pStyle w:val="Textoindependiente"/>
        <w:spacing w:after="240" w:line="360" w:lineRule="auto"/>
        <w:jc w:val="both"/>
        <w:rPr>
          <w:rFonts w:ascii="AGaramond" w:eastAsia="Times New Roman" w:hAnsi="AGaramond"/>
          <w:sz w:val="22"/>
          <w:szCs w:val="22"/>
        </w:rPr>
      </w:pPr>
      <w:r w:rsidRPr="00083019">
        <w:rPr>
          <w:rFonts w:ascii="AGaramond" w:eastAsia="Times New Roman" w:hAnsi="AGaramond"/>
          <w:sz w:val="20"/>
          <w:szCs w:val="20"/>
        </w:rPr>
        <w:t>Fuente: elaboración propia con base en censos generales de población y vivienda 2000 y 2010 (muestra expandida) y Encuesta Intercensal 2015 (muestra expandida).</w:t>
      </w:r>
    </w:p>
    <w:p w14:paraId="43989DD2" w14:textId="0420A0BD" w:rsidR="0027345F" w:rsidRPr="00083019" w:rsidRDefault="0027345F" w:rsidP="009E028A">
      <w:pPr>
        <w:pStyle w:val="Textonotapie"/>
        <w:spacing w:after="240" w:line="360" w:lineRule="auto"/>
        <w:ind w:firstLine="284"/>
        <w:jc w:val="both"/>
        <w:rPr>
          <w:rFonts w:ascii="AGaramond" w:hAnsi="AGaramond" w:cs="Times New Roman"/>
          <w:sz w:val="22"/>
          <w:szCs w:val="22"/>
        </w:rPr>
      </w:pPr>
      <w:r w:rsidRPr="00083019">
        <w:rPr>
          <w:rFonts w:ascii="AGaramond" w:hAnsi="AGaramond" w:cs="Times New Roman"/>
          <w:sz w:val="22"/>
          <w:szCs w:val="22"/>
        </w:rPr>
        <w:t>Además, las leves brechas que han advertido las tasas brutas de inmigración femeninas y masculinas también se han registrado en las tasas específicas</w:t>
      </w:r>
      <w:r w:rsidR="0023454F" w:rsidRPr="00083019">
        <w:rPr>
          <w:rFonts w:ascii="AGaramond" w:hAnsi="AGaramond" w:cs="Times New Roman"/>
          <w:sz w:val="22"/>
          <w:szCs w:val="22"/>
        </w:rPr>
        <w:t>;</w:t>
      </w:r>
      <w:r w:rsidRPr="00083019">
        <w:rPr>
          <w:rFonts w:ascii="AGaramond" w:hAnsi="AGaramond" w:cs="Times New Roman"/>
          <w:sz w:val="22"/>
          <w:szCs w:val="22"/>
        </w:rPr>
        <w:t xml:space="preserve"> sin embargo, se han presentado variaciones en cuanto a que para algunos grupos etarios las tasas masculinas han superado a las femeninas y para otros grupos han sido las tasas específicas de las mujeres </w:t>
      </w:r>
      <w:r w:rsidRPr="00083019">
        <w:rPr>
          <w:rFonts w:ascii="AGaramond" w:hAnsi="AGaramond" w:cs="Times New Roman"/>
          <w:sz w:val="22"/>
          <w:szCs w:val="22"/>
        </w:rPr>
        <w:lastRenderedPageBreak/>
        <w:t xml:space="preserve">más altas que las correspondientes a los hombres. Incluso, </w:t>
      </w:r>
      <w:r w:rsidRPr="00083019">
        <w:rPr>
          <w:rFonts w:ascii="AGaramond" w:hAnsi="AGaramond" w:cs="Times New Roman"/>
          <w:bCs/>
          <w:sz w:val="22"/>
          <w:szCs w:val="22"/>
        </w:rPr>
        <w:t>las mayores diferencias entre las tasas de inmigración femeninas y las masculinas se han encontrado de manera más marcada en el segundo lustro de estudio, 2005-2010</w:t>
      </w:r>
      <w:r w:rsidRPr="00083019">
        <w:rPr>
          <w:rFonts w:ascii="AGaramond" w:hAnsi="AGaramond" w:cs="Times New Roman"/>
          <w:sz w:val="22"/>
          <w:szCs w:val="22"/>
        </w:rPr>
        <w:t>.</w:t>
      </w:r>
    </w:p>
    <w:p w14:paraId="50EB4A0B" w14:textId="6B075E68" w:rsidR="0027345F" w:rsidRPr="00083019" w:rsidRDefault="0027345F" w:rsidP="009E028A">
      <w:pPr>
        <w:pStyle w:val="Textoindependiente"/>
        <w:spacing w:after="240" w:line="360" w:lineRule="auto"/>
        <w:ind w:firstLine="284"/>
        <w:jc w:val="both"/>
        <w:rPr>
          <w:rFonts w:ascii="AGaramond" w:hAnsi="AGaramond"/>
          <w:bCs/>
          <w:sz w:val="22"/>
          <w:szCs w:val="22"/>
        </w:rPr>
      </w:pPr>
      <w:r w:rsidRPr="00083019">
        <w:rPr>
          <w:rFonts w:ascii="AGaramond" w:hAnsi="AGaramond"/>
          <w:bCs/>
          <w:sz w:val="22"/>
          <w:szCs w:val="22"/>
        </w:rPr>
        <w:t>Las tasas específicas de emigración desde Playa del Carmen según edad y sexo correspondientes a los lustros 1995-2000 y 2010-2015 han corroborado el aumento del nivel de salidas desde la ciudad</w:t>
      </w:r>
      <w:r w:rsidR="004C5979">
        <w:rPr>
          <w:rFonts w:ascii="AGaramond" w:hAnsi="AGaramond"/>
          <w:bCs/>
          <w:sz w:val="22"/>
          <w:szCs w:val="22"/>
        </w:rPr>
        <w:t>;</w:t>
      </w:r>
      <w:r w:rsidRPr="00083019">
        <w:rPr>
          <w:rFonts w:ascii="AGaramond" w:hAnsi="AGaramond"/>
          <w:bCs/>
          <w:sz w:val="22"/>
          <w:szCs w:val="22"/>
        </w:rPr>
        <w:t xml:space="preserve"> es decir, se ha elevado el nivel de la emigración de 1995 a 2015 en términos generales. No obstante, las tasas específicas del lapso 2005-2010 para algunas edades no se han ajustado a esa tendencia general. Concretamente, se han presentado tasas de emigración más altas para unos cuantos grupos etarios quinquenales y más bajas para otros </w:t>
      </w:r>
      <w:r w:rsidRPr="00083019">
        <w:rPr>
          <w:rFonts w:ascii="AGaramond" w:hAnsi="AGaramond"/>
          <w:sz w:val="22"/>
          <w:szCs w:val="22"/>
        </w:rPr>
        <w:t>(véase Gráfico 2)</w:t>
      </w:r>
      <w:r w:rsidRPr="00083019">
        <w:rPr>
          <w:rFonts w:ascii="AGaramond" w:hAnsi="AGaramond"/>
          <w:bCs/>
          <w:sz w:val="22"/>
          <w:szCs w:val="22"/>
        </w:rPr>
        <w:t>.</w:t>
      </w:r>
    </w:p>
    <w:p w14:paraId="6D847025" w14:textId="77777777" w:rsidR="0027345F" w:rsidRPr="00083019" w:rsidRDefault="0027345F" w:rsidP="004364E4">
      <w:pPr>
        <w:pStyle w:val="Textoindependiente"/>
        <w:spacing w:after="0" w:line="360" w:lineRule="auto"/>
        <w:jc w:val="center"/>
        <w:rPr>
          <w:rFonts w:ascii="AGaramond" w:eastAsia="Times New Roman" w:hAnsi="AGaramond"/>
          <w:sz w:val="22"/>
          <w:szCs w:val="22"/>
        </w:rPr>
      </w:pPr>
      <w:r w:rsidRPr="00083019">
        <w:rPr>
          <w:rFonts w:ascii="AGaramond" w:eastAsia="Times New Roman" w:hAnsi="AGaramond"/>
          <w:sz w:val="22"/>
          <w:szCs w:val="22"/>
        </w:rPr>
        <w:t>Gráfico 2. Playa del Carmen: tasas de emigración (por mil) según edad y sexo, 1995-2000, 2005-2010 y 2010-2015</w:t>
      </w:r>
    </w:p>
    <w:p w14:paraId="0CCF27B7" w14:textId="77777777" w:rsidR="0027345F" w:rsidRPr="00083019" w:rsidRDefault="0027345F" w:rsidP="0027345F">
      <w:pPr>
        <w:pStyle w:val="Textoindependiente"/>
        <w:jc w:val="center"/>
        <w:rPr>
          <w:rFonts w:ascii="AGaramond" w:eastAsia="Times New Roman" w:hAnsi="AGaramond"/>
          <w:sz w:val="22"/>
          <w:szCs w:val="22"/>
        </w:rPr>
      </w:pPr>
      <w:r w:rsidRPr="00083019">
        <w:rPr>
          <w:rFonts w:ascii="AGaramond" w:hAnsi="AGaramond"/>
          <w:noProof/>
          <w:sz w:val="22"/>
          <w:szCs w:val="22"/>
          <w:lang w:val="es-ES" w:eastAsia="es-ES"/>
        </w:rPr>
        <w:drawing>
          <wp:inline distT="0" distB="0" distL="0" distR="0" wp14:anchorId="18C8FCE8" wp14:editId="719B033B">
            <wp:extent cx="5580000" cy="2926800"/>
            <wp:effectExtent l="0" t="0" r="1905" b="6985"/>
            <wp:docPr id="21" name="Imagen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80000" cy="2926800"/>
                    </a:xfrm>
                    <a:prstGeom prst="rect">
                      <a:avLst/>
                    </a:prstGeom>
                    <a:noFill/>
                    <a:ln>
                      <a:noFill/>
                    </a:ln>
                  </pic:spPr>
                </pic:pic>
              </a:graphicData>
            </a:graphic>
          </wp:inline>
        </w:drawing>
      </w:r>
    </w:p>
    <w:p w14:paraId="02335D18" w14:textId="77777777" w:rsidR="0027345F" w:rsidRPr="00083019" w:rsidRDefault="0027345F" w:rsidP="009E028A">
      <w:pPr>
        <w:pStyle w:val="Textoindependiente"/>
        <w:spacing w:after="240" w:line="360" w:lineRule="auto"/>
        <w:jc w:val="both"/>
        <w:rPr>
          <w:rFonts w:ascii="AGaramond" w:eastAsia="Times New Roman" w:hAnsi="AGaramond"/>
          <w:sz w:val="20"/>
          <w:szCs w:val="20"/>
        </w:rPr>
      </w:pPr>
      <w:r w:rsidRPr="00083019">
        <w:rPr>
          <w:rFonts w:ascii="AGaramond" w:eastAsia="Times New Roman" w:hAnsi="AGaramond"/>
          <w:sz w:val="20"/>
          <w:szCs w:val="20"/>
        </w:rPr>
        <w:t>Fuente: elaboración propia con base en censos generales de población y vivienda 2000 y 2010 (muestra expandida) y Encuesta Intercensal 2015 (muestra expandida).</w:t>
      </w:r>
    </w:p>
    <w:p w14:paraId="62CC61C7" w14:textId="4420D5A3" w:rsidR="0027345F" w:rsidRPr="00083019" w:rsidRDefault="0027345F" w:rsidP="009E028A">
      <w:pPr>
        <w:pStyle w:val="Textoindependiente"/>
        <w:spacing w:after="240" w:line="360" w:lineRule="auto"/>
        <w:ind w:firstLine="284"/>
        <w:jc w:val="both"/>
        <w:rPr>
          <w:rFonts w:ascii="AGaramond" w:hAnsi="AGaramond"/>
          <w:bCs/>
          <w:sz w:val="22"/>
          <w:szCs w:val="22"/>
        </w:rPr>
      </w:pPr>
      <w:r w:rsidRPr="00083019">
        <w:rPr>
          <w:rFonts w:ascii="AGaramond" w:hAnsi="AGaramond"/>
          <w:bCs/>
          <w:sz w:val="22"/>
          <w:szCs w:val="22"/>
        </w:rPr>
        <w:t xml:space="preserve">También en el lustro 2005-2010 se han observado las brechas más marcadas en las tasas de emigración según sexo, especialmente, a partir de los 35 </w:t>
      </w:r>
      <w:proofErr w:type="gramStart"/>
      <w:r w:rsidRPr="00083019">
        <w:rPr>
          <w:rFonts w:ascii="AGaramond" w:hAnsi="AGaramond"/>
          <w:bCs/>
          <w:sz w:val="22"/>
          <w:szCs w:val="22"/>
        </w:rPr>
        <w:t>años de edad</w:t>
      </w:r>
      <w:proofErr w:type="gramEnd"/>
      <w:r w:rsidRPr="00083019">
        <w:rPr>
          <w:rFonts w:ascii="AGaramond" w:hAnsi="AGaramond"/>
          <w:bCs/>
          <w:sz w:val="22"/>
          <w:szCs w:val="22"/>
        </w:rPr>
        <w:t>, e inclusive, con mayores tasas de expulsión de población desde la ciudad. Pero, la intensidad de la emigración desde Playa del Carmen ha sido bastante inferior a la correspondiente a la inmigración en todos los grupos etarios y para ambos sexos, en concordancia con lo registrado por la tasa bruta de emigración. En efecto, solo excepcionalmente en algunos grupos etarios, y en particular en el lapso 2005-2010, se han observado tasas de emigración con valores superiores a 13</w:t>
      </w:r>
      <w:r w:rsidR="00285745" w:rsidRPr="00083019">
        <w:rPr>
          <w:rFonts w:ascii="Times New Roman" w:hAnsi="Times New Roman" w:cs="Times New Roman"/>
          <w:bCs/>
          <w:sz w:val="22"/>
          <w:szCs w:val="22"/>
        </w:rPr>
        <w:t> </w:t>
      </w:r>
      <w:r w:rsidR="00381168" w:rsidRPr="00083019">
        <w:rPr>
          <w:rFonts w:ascii="AGaramond" w:hAnsi="AGaramond" w:cs="Times New Roman"/>
          <w:bCs/>
          <w:sz w:val="22"/>
          <w:szCs w:val="22"/>
        </w:rPr>
        <w:t>‰</w:t>
      </w:r>
      <w:r w:rsidR="00285745" w:rsidRPr="00083019">
        <w:rPr>
          <w:rFonts w:ascii="AGaramond" w:hAnsi="AGaramond" w:cs="Times New Roman"/>
          <w:bCs/>
          <w:sz w:val="22"/>
          <w:szCs w:val="22"/>
        </w:rPr>
        <w:t>.</w:t>
      </w:r>
    </w:p>
    <w:p w14:paraId="55D00273" w14:textId="1628ABC7" w:rsidR="0027345F" w:rsidRPr="00083019" w:rsidRDefault="0027345F" w:rsidP="009E028A">
      <w:pPr>
        <w:pStyle w:val="Textoindependiente"/>
        <w:spacing w:after="240" w:line="360" w:lineRule="auto"/>
        <w:ind w:firstLine="284"/>
        <w:jc w:val="both"/>
        <w:rPr>
          <w:rFonts w:ascii="AGaramond" w:hAnsi="AGaramond"/>
          <w:sz w:val="22"/>
          <w:szCs w:val="22"/>
        </w:rPr>
      </w:pPr>
      <w:r w:rsidRPr="00083019">
        <w:rPr>
          <w:rFonts w:ascii="AGaramond" w:eastAsia="Times New Roman" w:hAnsi="AGaramond"/>
          <w:noProof/>
          <w:sz w:val="22"/>
          <w:szCs w:val="22"/>
        </w:rPr>
        <w:t xml:space="preserve">Se ha dicho antes que el nivel de emigración desde Playa de Carmen era bastante bajo en comparación con el de inmigración, y por ello, la migración neta ha resultado positiva y con un nivel muy cercano al presentado en la inmigración, según han indicado las tasas brutas. Las tasas específicas por edad y sexo han ratificado esa tendencia, </w:t>
      </w:r>
      <w:r w:rsidRPr="00083019">
        <w:rPr>
          <w:rFonts w:ascii="AGaramond" w:eastAsia="Times New Roman" w:hAnsi="AGaramond"/>
          <w:noProof/>
          <w:sz w:val="22"/>
          <w:szCs w:val="22"/>
        </w:rPr>
        <w:lastRenderedPageBreak/>
        <w:t xml:space="preserve">pues mientras las tasas de emigración predominantemente estaban por debajo de </w:t>
      </w:r>
      <w:r w:rsidRPr="00083019">
        <w:rPr>
          <w:rFonts w:ascii="AGaramond" w:hAnsi="AGaramond"/>
          <w:bCs/>
          <w:sz w:val="22"/>
          <w:szCs w:val="22"/>
        </w:rPr>
        <w:t>13</w:t>
      </w:r>
      <w:r w:rsidR="00285745" w:rsidRPr="00083019">
        <w:rPr>
          <w:rFonts w:ascii="Times New Roman" w:hAnsi="Times New Roman" w:cs="Times New Roman"/>
          <w:bCs/>
          <w:sz w:val="22"/>
          <w:szCs w:val="22"/>
        </w:rPr>
        <w:t> </w:t>
      </w:r>
      <w:r w:rsidR="00381168" w:rsidRPr="00083019">
        <w:rPr>
          <w:rFonts w:ascii="AGaramond" w:hAnsi="AGaramond"/>
          <w:bCs/>
          <w:sz w:val="22"/>
          <w:szCs w:val="22"/>
        </w:rPr>
        <w:t>‰</w:t>
      </w:r>
      <w:r w:rsidRPr="00083019">
        <w:rPr>
          <w:rFonts w:ascii="AGaramond" w:hAnsi="AGaramond"/>
          <w:bCs/>
          <w:sz w:val="22"/>
          <w:szCs w:val="22"/>
        </w:rPr>
        <w:t>, la de inmigración han sido superiores a 25</w:t>
      </w:r>
      <w:r w:rsidR="00285745" w:rsidRPr="00083019">
        <w:rPr>
          <w:rFonts w:ascii="Times New Roman" w:hAnsi="Times New Roman" w:cs="Times New Roman"/>
          <w:bCs/>
          <w:sz w:val="22"/>
          <w:szCs w:val="22"/>
        </w:rPr>
        <w:t> </w:t>
      </w:r>
      <w:r w:rsidR="00381168" w:rsidRPr="00083019">
        <w:rPr>
          <w:rFonts w:ascii="AGaramond" w:hAnsi="AGaramond" w:cs="Times New Roman"/>
          <w:bCs/>
          <w:sz w:val="22"/>
          <w:szCs w:val="22"/>
        </w:rPr>
        <w:t>‰</w:t>
      </w:r>
      <w:r w:rsidRPr="00083019">
        <w:rPr>
          <w:rFonts w:ascii="AGaramond" w:hAnsi="AGaramond"/>
          <w:bCs/>
          <w:sz w:val="22"/>
          <w:szCs w:val="22"/>
        </w:rPr>
        <w:t>, y en muchos casos se han aproximado 200</w:t>
      </w:r>
      <w:r w:rsidR="00285745" w:rsidRPr="00083019">
        <w:rPr>
          <w:rFonts w:ascii="Times New Roman" w:hAnsi="Times New Roman" w:cs="Times New Roman"/>
          <w:bCs/>
          <w:sz w:val="22"/>
          <w:szCs w:val="22"/>
        </w:rPr>
        <w:t> </w:t>
      </w:r>
      <w:r w:rsidR="00381168" w:rsidRPr="00083019">
        <w:rPr>
          <w:rFonts w:ascii="AGaramond" w:hAnsi="AGaramond" w:cs="Times New Roman"/>
          <w:bCs/>
          <w:sz w:val="22"/>
          <w:szCs w:val="22"/>
        </w:rPr>
        <w:t>‰</w:t>
      </w:r>
      <w:r w:rsidRPr="00083019">
        <w:rPr>
          <w:rFonts w:ascii="AGaramond" w:hAnsi="AGaramond"/>
          <w:bCs/>
          <w:sz w:val="22"/>
          <w:szCs w:val="22"/>
        </w:rPr>
        <w:t xml:space="preserve"> </w:t>
      </w:r>
      <w:r w:rsidRPr="00083019">
        <w:rPr>
          <w:rFonts w:ascii="AGaramond" w:hAnsi="AGaramond"/>
          <w:sz w:val="22"/>
          <w:szCs w:val="22"/>
        </w:rPr>
        <w:t>(véanse gráficos 1, 2 y 3 y cuadros A-1 al A-9 en Anexo).</w:t>
      </w:r>
    </w:p>
    <w:p w14:paraId="27FAC74D" w14:textId="77777777" w:rsidR="0027345F" w:rsidRPr="00083019" w:rsidRDefault="0027345F" w:rsidP="00285745">
      <w:pPr>
        <w:pStyle w:val="Textoindependiente"/>
        <w:spacing w:after="0" w:line="360" w:lineRule="auto"/>
        <w:jc w:val="center"/>
        <w:rPr>
          <w:rFonts w:ascii="AGaramond" w:eastAsia="Times New Roman" w:hAnsi="AGaramond"/>
          <w:sz w:val="22"/>
          <w:szCs w:val="22"/>
        </w:rPr>
      </w:pPr>
      <w:r w:rsidRPr="00083019">
        <w:rPr>
          <w:rFonts w:ascii="AGaramond" w:eastAsia="Times New Roman" w:hAnsi="AGaramond"/>
          <w:sz w:val="22"/>
          <w:szCs w:val="22"/>
        </w:rPr>
        <w:t>Gráfico 3. Playa del Carmen: tasas de migración neta (por mil) según edad y sexo, 1995-2000, 2005-2010 y 2010-2015</w:t>
      </w:r>
    </w:p>
    <w:p w14:paraId="5ABCA06D" w14:textId="77777777" w:rsidR="0027345F" w:rsidRPr="00083019" w:rsidRDefault="0027345F" w:rsidP="00285745">
      <w:pPr>
        <w:pStyle w:val="Textoindependiente"/>
        <w:spacing w:after="0"/>
        <w:jc w:val="center"/>
        <w:rPr>
          <w:rFonts w:ascii="AGaramond" w:eastAsia="Times New Roman" w:hAnsi="AGaramond"/>
          <w:sz w:val="22"/>
          <w:szCs w:val="22"/>
        </w:rPr>
      </w:pPr>
      <w:r w:rsidRPr="00083019">
        <w:rPr>
          <w:rFonts w:ascii="AGaramond" w:hAnsi="AGaramond"/>
          <w:noProof/>
          <w:sz w:val="22"/>
          <w:szCs w:val="22"/>
          <w:lang w:val="es-ES" w:eastAsia="es-ES"/>
        </w:rPr>
        <w:drawing>
          <wp:inline distT="0" distB="0" distL="0" distR="0" wp14:anchorId="62D7DC0D" wp14:editId="0E21D50A">
            <wp:extent cx="5580000" cy="2926800"/>
            <wp:effectExtent l="0" t="0" r="1905" b="6985"/>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80000" cy="2926800"/>
                    </a:xfrm>
                    <a:prstGeom prst="rect">
                      <a:avLst/>
                    </a:prstGeom>
                    <a:noFill/>
                    <a:ln>
                      <a:noFill/>
                    </a:ln>
                  </pic:spPr>
                </pic:pic>
              </a:graphicData>
            </a:graphic>
          </wp:inline>
        </w:drawing>
      </w:r>
    </w:p>
    <w:p w14:paraId="11634C11" w14:textId="77777777" w:rsidR="0027345F" w:rsidRPr="00083019" w:rsidRDefault="0027345F" w:rsidP="00D208C4">
      <w:pPr>
        <w:pStyle w:val="Textoindependiente"/>
        <w:spacing w:line="360" w:lineRule="auto"/>
        <w:jc w:val="both"/>
        <w:rPr>
          <w:rFonts w:ascii="AGaramond" w:eastAsia="Times New Roman" w:hAnsi="AGaramond"/>
          <w:sz w:val="20"/>
          <w:szCs w:val="20"/>
        </w:rPr>
      </w:pPr>
      <w:r w:rsidRPr="00083019">
        <w:rPr>
          <w:rFonts w:ascii="AGaramond" w:eastAsia="Times New Roman" w:hAnsi="AGaramond"/>
          <w:sz w:val="20"/>
          <w:szCs w:val="20"/>
        </w:rPr>
        <w:t>Fuente: Elaboración propia con base en censos generales de población y vivienda 2000 y 2010 (muestra expandida) y Encuesta Intercensal 2015 (muestra expandida).</w:t>
      </w:r>
    </w:p>
    <w:p w14:paraId="60A2FEBB" w14:textId="06653719" w:rsidR="0027345F" w:rsidRPr="00083019" w:rsidRDefault="0027345F" w:rsidP="00D208C4">
      <w:pPr>
        <w:pStyle w:val="Textoindependiente"/>
        <w:spacing w:line="360" w:lineRule="auto"/>
        <w:ind w:firstLine="284"/>
        <w:jc w:val="both"/>
        <w:rPr>
          <w:rFonts w:ascii="AGaramond" w:hAnsi="AGaramond"/>
          <w:bCs/>
          <w:sz w:val="22"/>
          <w:szCs w:val="22"/>
        </w:rPr>
      </w:pPr>
      <w:r w:rsidRPr="00083019">
        <w:rPr>
          <w:rFonts w:ascii="AGaramond" w:hAnsi="AGaramond"/>
          <w:bCs/>
          <w:sz w:val="22"/>
          <w:szCs w:val="22"/>
        </w:rPr>
        <w:t>Playa del Carmen ha sido una ciudad de atracción migratoria entre 1995 y 2015, porque el balance entre la inmigración y la emigración</w:t>
      </w:r>
      <w:r w:rsidR="004C5979">
        <w:rPr>
          <w:rFonts w:ascii="AGaramond" w:hAnsi="AGaramond"/>
          <w:bCs/>
          <w:sz w:val="22"/>
          <w:szCs w:val="22"/>
        </w:rPr>
        <w:t>;</w:t>
      </w:r>
      <w:r w:rsidRPr="00083019">
        <w:rPr>
          <w:rFonts w:ascii="AGaramond" w:hAnsi="AGaramond"/>
          <w:bCs/>
          <w:sz w:val="22"/>
          <w:szCs w:val="22"/>
        </w:rPr>
        <w:t xml:space="preserve"> es decir, la migración neta fue positiva en los tres lustros bajo estudio. Ello ha permito el crecimiento acelerado de la población </w:t>
      </w:r>
      <w:proofErr w:type="spellStart"/>
      <w:r w:rsidRPr="00083019">
        <w:rPr>
          <w:rFonts w:ascii="AGaramond" w:hAnsi="AGaramond"/>
          <w:bCs/>
          <w:sz w:val="22"/>
          <w:szCs w:val="22"/>
        </w:rPr>
        <w:t>playense</w:t>
      </w:r>
      <w:proofErr w:type="spellEnd"/>
      <w:r w:rsidRPr="00083019">
        <w:rPr>
          <w:rFonts w:ascii="AGaramond" w:hAnsi="AGaramond"/>
          <w:bCs/>
          <w:sz w:val="22"/>
          <w:szCs w:val="22"/>
        </w:rPr>
        <w:t xml:space="preserve"> y la transición en la jerarquía urbana con el incremento de la talla demográfica: pueblo, ciudad pequeña, ciudad intermedia (véase Gráfico 3).</w:t>
      </w:r>
    </w:p>
    <w:p w14:paraId="2B6D1D4D" w14:textId="77777777" w:rsidR="00723434" w:rsidRPr="00083019" w:rsidRDefault="00723434" w:rsidP="00CF714B">
      <w:pPr>
        <w:numPr>
          <w:ilvl w:val="0"/>
          <w:numId w:val="34"/>
        </w:numPr>
        <w:spacing w:after="120" w:line="360" w:lineRule="auto"/>
        <w:jc w:val="both"/>
        <w:rPr>
          <w:rFonts w:ascii="AGaramond" w:hAnsi="AGaramond" w:cs="Times New Roman"/>
          <w:b/>
        </w:rPr>
      </w:pPr>
      <w:r w:rsidRPr="00083019">
        <w:rPr>
          <w:rFonts w:ascii="AGaramond" w:hAnsi="AGaramond" w:cs="Times New Roman"/>
          <w:b/>
        </w:rPr>
        <w:t>DISCUSIÓN</w:t>
      </w:r>
    </w:p>
    <w:p w14:paraId="29C6A5C1" w14:textId="2926241C" w:rsidR="00723434" w:rsidRPr="00083019" w:rsidRDefault="00723434" w:rsidP="00D208C4">
      <w:pPr>
        <w:pStyle w:val="Textonotapie"/>
        <w:spacing w:after="120" w:line="360" w:lineRule="auto"/>
        <w:ind w:firstLine="284"/>
        <w:jc w:val="both"/>
        <w:rPr>
          <w:rFonts w:ascii="AGaramond" w:hAnsi="AGaramond" w:cs="Times New Roman"/>
          <w:sz w:val="22"/>
          <w:szCs w:val="22"/>
        </w:rPr>
      </w:pPr>
      <w:r w:rsidRPr="00083019">
        <w:rPr>
          <w:rFonts w:ascii="AGaramond" w:hAnsi="AGaramond" w:cs="Times New Roman"/>
          <w:sz w:val="22"/>
          <w:szCs w:val="22"/>
        </w:rPr>
        <w:t>La migración se ha asociado estrechamente con las edades productivas de la población y este ha sido el caso de Playa del Carmen con importantes proporciones de inmigrantes internos en edades laborales y también en edades infantes. Así, en el patrón etario común de la migración interna se han distinguido dos componentes típicos, a saber: el componente infantil y el componente de trabajo o laboral (véase Gráfico 4). También se han identificado dos edades de importancia dentro de la pauta tradicional de la migración interna: la edad baja, en la cual la tasa ha sido mínima y la edad alta, que ha correspondido a la tasa máxima (Partida, 2014, p. 23 y Partida, 2013, p. 427).</w:t>
      </w:r>
    </w:p>
    <w:p w14:paraId="37440975" w14:textId="77777777" w:rsidR="00723434" w:rsidRPr="00083019" w:rsidRDefault="00723434">
      <w:pPr>
        <w:rPr>
          <w:rFonts w:ascii="AGaramond" w:hAnsi="AGaramond" w:cs="Times New Roman"/>
          <w:sz w:val="22"/>
          <w:szCs w:val="22"/>
          <w:lang w:val="es-VE"/>
        </w:rPr>
      </w:pPr>
      <w:r w:rsidRPr="00083019">
        <w:rPr>
          <w:rFonts w:ascii="AGaramond" w:hAnsi="AGaramond" w:cs="Times New Roman"/>
          <w:sz w:val="22"/>
          <w:szCs w:val="22"/>
        </w:rPr>
        <w:br w:type="page"/>
      </w:r>
    </w:p>
    <w:p w14:paraId="482BABB0" w14:textId="77777777" w:rsidR="00723434" w:rsidRPr="00083019" w:rsidRDefault="00723434" w:rsidP="00723434">
      <w:pPr>
        <w:pStyle w:val="Textoindependiente"/>
        <w:spacing w:after="0" w:line="360" w:lineRule="auto"/>
        <w:jc w:val="center"/>
        <w:rPr>
          <w:rFonts w:ascii="AGaramond" w:eastAsia="Times New Roman" w:hAnsi="AGaramond"/>
          <w:sz w:val="22"/>
          <w:szCs w:val="22"/>
        </w:rPr>
      </w:pPr>
      <w:r w:rsidRPr="00083019">
        <w:rPr>
          <w:rFonts w:ascii="AGaramond" w:eastAsia="Times New Roman" w:hAnsi="AGaramond"/>
          <w:sz w:val="22"/>
          <w:szCs w:val="22"/>
        </w:rPr>
        <w:lastRenderedPageBreak/>
        <w:t>Gráfico 4. Edades y componentes del patrón típico de las tasas de migración interna</w:t>
      </w:r>
    </w:p>
    <w:p w14:paraId="4E666524" w14:textId="77777777" w:rsidR="00723434" w:rsidRPr="00083019" w:rsidRDefault="00723434" w:rsidP="00723434">
      <w:pPr>
        <w:pStyle w:val="Textoindependiente"/>
        <w:spacing w:after="0"/>
        <w:jc w:val="center"/>
        <w:rPr>
          <w:rFonts w:ascii="AGaramond" w:eastAsia="Times New Roman" w:hAnsi="AGaramond"/>
          <w:sz w:val="22"/>
          <w:szCs w:val="22"/>
        </w:rPr>
      </w:pPr>
      <w:r w:rsidRPr="00083019">
        <w:rPr>
          <w:rFonts w:ascii="AGaramond" w:eastAsia="Times New Roman" w:hAnsi="AGaramond"/>
          <w:noProof/>
          <w:sz w:val="22"/>
          <w:szCs w:val="22"/>
          <w:lang w:val="es-ES" w:eastAsia="es-ES"/>
        </w:rPr>
        <w:drawing>
          <wp:inline distT="0" distB="0" distL="0" distR="0" wp14:anchorId="26966C15" wp14:editId="73BD20F1">
            <wp:extent cx="5580000" cy="3380400"/>
            <wp:effectExtent l="19050" t="19050" r="20955" b="10795"/>
            <wp:docPr id="9" name="Imagen 4" descr="component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omponentes"/>
                    <pic:cNvPicPr preferRelativeResize="0">
                      <a:picLocks noChangeAspect="1" noChangeArrowheads="1"/>
                    </pic:cNvPicPr>
                  </pic:nvPicPr>
                  <pic:blipFill>
                    <a:blip r:embed="rId26" cstate="print"/>
                    <a:srcRect l="8948" t="757" r="2106" b="2272"/>
                    <a:stretch>
                      <a:fillRect/>
                    </a:stretch>
                  </pic:blipFill>
                  <pic:spPr bwMode="auto">
                    <a:xfrm>
                      <a:off x="0" y="0"/>
                      <a:ext cx="5580000" cy="3380400"/>
                    </a:xfrm>
                    <a:prstGeom prst="rect">
                      <a:avLst/>
                    </a:prstGeom>
                    <a:noFill/>
                    <a:ln w="6350" cmpd="sng">
                      <a:solidFill>
                        <a:srgbClr val="000000"/>
                      </a:solidFill>
                      <a:miter lim="800000"/>
                      <a:headEnd/>
                      <a:tailEnd/>
                    </a:ln>
                    <a:effectLst/>
                  </pic:spPr>
                </pic:pic>
              </a:graphicData>
            </a:graphic>
          </wp:inline>
        </w:drawing>
      </w:r>
    </w:p>
    <w:p w14:paraId="1981F1CE" w14:textId="69338C33" w:rsidR="000B7456" w:rsidRPr="00083019" w:rsidRDefault="00723434" w:rsidP="00AD5565">
      <w:pPr>
        <w:pStyle w:val="Textonotapie"/>
        <w:spacing w:after="240" w:line="360" w:lineRule="auto"/>
        <w:jc w:val="both"/>
        <w:rPr>
          <w:rFonts w:ascii="AGaramond" w:eastAsia="Times New Roman" w:hAnsi="AGaramond"/>
          <w:noProof/>
          <w:sz w:val="22"/>
          <w:szCs w:val="22"/>
        </w:rPr>
      </w:pPr>
      <w:r w:rsidRPr="00083019">
        <w:rPr>
          <w:rFonts w:ascii="AGaramond" w:eastAsia="Times New Roman" w:hAnsi="AGaramond"/>
        </w:rPr>
        <w:t xml:space="preserve">Fuente: tomado de Virgilio Partida Bush (2015) </w:t>
      </w:r>
      <w:r w:rsidRPr="00083019">
        <w:rPr>
          <w:rFonts w:ascii="AGaramond" w:eastAsia="Times New Roman" w:hAnsi="AGaramond"/>
          <w:i/>
          <w:noProof/>
        </w:rPr>
        <w:t>Medición de la migración interna en México a partir de los censos de población de 1990-2010, 2015</w:t>
      </w:r>
      <w:r w:rsidRPr="00083019">
        <w:rPr>
          <w:rFonts w:ascii="AGaramond" w:eastAsia="Times New Roman" w:hAnsi="AGaramond"/>
          <w:noProof/>
        </w:rPr>
        <w:t>.</w:t>
      </w:r>
    </w:p>
    <w:p w14:paraId="048DC77A" w14:textId="299F12AC" w:rsidR="00F731AD" w:rsidRPr="00083019" w:rsidRDefault="00F731AD" w:rsidP="00AD5565">
      <w:pPr>
        <w:pStyle w:val="Textoindependiente"/>
        <w:spacing w:after="240" w:line="360" w:lineRule="auto"/>
        <w:ind w:firstLine="284"/>
        <w:jc w:val="both"/>
        <w:rPr>
          <w:rFonts w:ascii="AGaramond" w:hAnsi="AGaramond"/>
          <w:bCs/>
          <w:sz w:val="22"/>
          <w:szCs w:val="22"/>
        </w:rPr>
      </w:pPr>
      <w:bookmarkStart w:id="6" w:name="_Toc456585969"/>
      <w:r w:rsidRPr="00083019">
        <w:rPr>
          <w:rFonts w:ascii="AGaramond" w:hAnsi="AGaramond"/>
          <w:bCs/>
          <w:sz w:val="22"/>
          <w:szCs w:val="22"/>
        </w:rPr>
        <w:t>El componente infantil de la migración interna “va del inicio de la vida a la edad baja</w:t>
      </w:r>
      <w:r w:rsidR="004C5979">
        <w:rPr>
          <w:rFonts w:ascii="AGaramond" w:hAnsi="AGaramond"/>
          <w:bCs/>
          <w:sz w:val="22"/>
          <w:szCs w:val="22"/>
        </w:rPr>
        <w:t>;</w:t>
      </w:r>
      <w:r w:rsidRPr="00083019">
        <w:rPr>
          <w:rFonts w:ascii="AGaramond" w:hAnsi="AGaramond"/>
          <w:bCs/>
          <w:sz w:val="22"/>
          <w:szCs w:val="22"/>
        </w:rPr>
        <w:t xml:space="preserve"> es decir, donde las tasas alcanzan un mínimo en la niñez o adolescencia” (</w:t>
      </w:r>
      <w:r w:rsidRPr="00083019">
        <w:rPr>
          <w:rFonts w:ascii="AGaramond" w:eastAsia="Times New Roman" w:hAnsi="AGaramond"/>
          <w:noProof/>
          <w:sz w:val="22"/>
          <w:szCs w:val="22"/>
        </w:rPr>
        <w:t xml:space="preserve">Partida, </w:t>
      </w:r>
      <w:r w:rsidRPr="00083019">
        <w:rPr>
          <w:rFonts w:ascii="AGaramond" w:hAnsi="AGaramond"/>
          <w:bCs/>
          <w:sz w:val="22"/>
          <w:szCs w:val="22"/>
        </w:rPr>
        <w:t>2013, p. 427), y el componente del trabajo “con su forma de campana sesgada hacia la derecha y que alcanza un máximo en la edad alta” (Partida, 2014, p. 23) se ha extendido desde la edad baja hasta el final de la vida. Otro elemento que se ha reconocido dentro de esta pauta o patrón ha sido el intervalo intergeneracional, el cual ha correspondido al distanciamiento promedio aproximado a la edad media de los padres migrantes con hijos, que se ha asociado a la similitud en el ritmo de descenso de los dos componentes (Partida, 2014, p. 23 y Partida, 2013, p. 427), infantil y laboral.</w:t>
      </w:r>
    </w:p>
    <w:p w14:paraId="4E2A4A9E" w14:textId="77777777" w:rsidR="00F731AD" w:rsidRPr="00083019" w:rsidRDefault="00F731AD" w:rsidP="00AD5565">
      <w:pPr>
        <w:pStyle w:val="Textoindependiente"/>
        <w:spacing w:after="240" w:line="360" w:lineRule="auto"/>
        <w:ind w:firstLine="284"/>
        <w:jc w:val="both"/>
        <w:rPr>
          <w:rFonts w:ascii="AGaramond" w:hAnsi="AGaramond"/>
          <w:bCs/>
          <w:sz w:val="22"/>
          <w:szCs w:val="22"/>
        </w:rPr>
      </w:pPr>
      <w:r w:rsidRPr="00083019">
        <w:rPr>
          <w:rFonts w:ascii="AGaramond" w:hAnsi="AGaramond"/>
          <w:bCs/>
          <w:sz w:val="22"/>
          <w:szCs w:val="22"/>
        </w:rPr>
        <w:t xml:space="preserve">La edad baja de la inmigración en Playa del Carmen se ha registrado entre los 5 y 9 </w:t>
      </w:r>
      <w:proofErr w:type="gramStart"/>
      <w:r w:rsidRPr="00083019">
        <w:rPr>
          <w:rFonts w:ascii="AGaramond" w:hAnsi="AGaramond"/>
          <w:bCs/>
          <w:sz w:val="22"/>
          <w:szCs w:val="22"/>
        </w:rPr>
        <w:t>años de edad</w:t>
      </w:r>
      <w:proofErr w:type="gramEnd"/>
      <w:r w:rsidRPr="00083019">
        <w:rPr>
          <w:rFonts w:ascii="AGaramond" w:hAnsi="AGaramond"/>
          <w:bCs/>
          <w:sz w:val="22"/>
          <w:szCs w:val="22"/>
        </w:rPr>
        <w:t xml:space="preserve"> en los tres lustros que se han analizado. Mientras que, las tasas máximas se han presentado entre los 15 y 19 </w:t>
      </w:r>
      <w:proofErr w:type="gramStart"/>
      <w:r w:rsidRPr="00083019">
        <w:rPr>
          <w:rFonts w:ascii="AGaramond" w:hAnsi="AGaramond"/>
          <w:bCs/>
          <w:sz w:val="22"/>
          <w:szCs w:val="22"/>
        </w:rPr>
        <w:t>años de edad</w:t>
      </w:r>
      <w:proofErr w:type="gramEnd"/>
      <w:r w:rsidRPr="00083019">
        <w:rPr>
          <w:rFonts w:ascii="AGaramond" w:hAnsi="AGaramond"/>
          <w:bCs/>
          <w:sz w:val="22"/>
          <w:szCs w:val="22"/>
        </w:rPr>
        <w:t xml:space="preserve"> en los lapsos 1995-2000 y 2005-2010 y en las edades que van de los 20 a los 24 años en 2010-2015, último lustro bajo análisis. Estas edades bajas y altas, en las cuales se han ubicado las tasas mínimas y máximas, no han presentado diferencias según género en los lapsos estudiados (véase Gráfico 1).</w:t>
      </w:r>
      <w:bookmarkEnd w:id="6"/>
    </w:p>
    <w:p w14:paraId="477D6B2F" w14:textId="77777777" w:rsidR="00F731AD" w:rsidRPr="00083019" w:rsidRDefault="00F731AD" w:rsidP="00AD5565">
      <w:pPr>
        <w:pStyle w:val="Textoindependiente"/>
        <w:spacing w:after="240" w:line="360" w:lineRule="auto"/>
        <w:ind w:firstLine="284"/>
        <w:jc w:val="both"/>
        <w:rPr>
          <w:rFonts w:ascii="AGaramond" w:hAnsi="AGaramond"/>
          <w:bCs/>
          <w:sz w:val="22"/>
          <w:szCs w:val="22"/>
        </w:rPr>
      </w:pPr>
      <w:r w:rsidRPr="00083019">
        <w:rPr>
          <w:rFonts w:ascii="AGaramond" w:hAnsi="AGaramond"/>
          <w:bCs/>
          <w:sz w:val="22"/>
          <w:szCs w:val="22"/>
        </w:rPr>
        <w:t xml:space="preserve">En síntesis, las tasas máximas de inmigración se han presentado en edades jóvenes; en las cuales se combinan la asistencia escolar a la educación media superior (preparatoria o vocacional) y superior (licenciatura, especialidad, maestría o doctorado) con el inicio de la vida laboral y la formación de nuevas familias. En otras palabras, han sido jóvenes y adultos jóvenes quienes han llegado a Playa del Carmen, el desplazamiento territorial de estos grupos se </w:t>
      </w:r>
      <w:r w:rsidRPr="00083019">
        <w:rPr>
          <w:rFonts w:ascii="AGaramond" w:hAnsi="AGaramond"/>
          <w:bCs/>
          <w:sz w:val="22"/>
          <w:szCs w:val="22"/>
        </w:rPr>
        <w:lastRenderedPageBreak/>
        <w:t>encuentra vinculado con la inserción al mercado laboral y la transición a la vida adulta. Porque en la juventud y las primeras edades adultas se ha presentado una mayor propensión a migrar por varios motivos entre los cuales se encuentran: el abandono del hogar paterno, la formación de pareja y nueva familia, la primera inserción laboral y otros eventos relacionados con la transición a la adultez.</w:t>
      </w:r>
    </w:p>
    <w:p w14:paraId="3185D779" w14:textId="77777777" w:rsidR="00F731AD" w:rsidRPr="00083019" w:rsidRDefault="00F731AD" w:rsidP="00AD5565">
      <w:pPr>
        <w:pStyle w:val="Textoindependiente"/>
        <w:spacing w:after="240" w:line="360" w:lineRule="auto"/>
        <w:ind w:firstLine="284"/>
        <w:jc w:val="both"/>
        <w:rPr>
          <w:rFonts w:ascii="AGaramond" w:hAnsi="AGaramond"/>
          <w:bCs/>
          <w:sz w:val="22"/>
          <w:szCs w:val="22"/>
        </w:rPr>
      </w:pPr>
      <w:r w:rsidRPr="00083019">
        <w:rPr>
          <w:rFonts w:ascii="AGaramond" w:hAnsi="AGaramond"/>
          <w:bCs/>
          <w:sz w:val="22"/>
          <w:szCs w:val="22"/>
        </w:rPr>
        <w:t>En los tres lustros analizados se han presentado varios casos de ascenso de las tasas en edades adultas, tanto jóvenes como maduras. Este comportamiento ha producido una suerte de segunda edad baja en el componente laboral. Esta situación se ha cuestionado en la medida que el comportamiento de las tasas de inmigración de Playa del Carmen se ha separado del patrón típico de las tasas de migración interna.</w:t>
      </w:r>
    </w:p>
    <w:p w14:paraId="76A7F7EC" w14:textId="71B72D0B" w:rsidR="00F731AD" w:rsidRPr="00083019" w:rsidRDefault="00F731AD" w:rsidP="00AD5565">
      <w:pPr>
        <w:pStyle w:val="Textoindependiente"/>
        <w:spacing w:after="240" w:line="360" w:lineRule="auto"/>
        <w:ind w:firstLine="284"/>
        <w:jc w:val="both"/>
        <w:rPr>
          <w:rFonts w:ascii="AGaramond" w:hAnsi="AGaramond"/>
          <w:bCs/>
          <w:sz w:val="22"/>
          <w:szCs w:val="22"/>
        </w:rPr>
      </w:pPr>
      <w:r w:rsidRPr="00083019">
        <w:rPr>
          <w:rFonts w:ascii="AGaramond" w:hAnsi="AGaramond"/>
          <w:bCs/>
          <w:sz w:val="22"/>
          <w:szCs w:val="22"/>
        </w:rPr>
        <w:t xml:space="preserve">En 1995-2000 la cúspide de la migración neta se ha presentado en el grupo de 15 a 19 </w:t>
      </w:r>
      <w:proofErr w:type="gramStart"/>
      <w:r w:rsidRPr="00083019">
        <w:rPr>
          <w:rFonts w:ascii="AGaramond" w:hAnsi="AGaramond"/>
          <w:bCs/>
          <w:sz w:val="22"/>
          <w:szCs w:val="22"/>
        </w:rPr>
        <w:t>años de edad</w:t>
      </w:r>
      <w:proofErr w:type="gramEnd"/>
      <w:r w:rsidRPr="00083019">
        <w:rPr>
          <w:rFonts w:ascii="AGaramond" w:hAnsi="AGaramond"/>
          <w:bCs/>
          <w:sz w:val="22"/>
          <w:szCs w:val="22"/>
        </w:rPr>
        <w:t>, para los hombres, las mujeres y la población total. La tasa cúspide masculina ha sido 200</w:t>
      </w:r>
      <w:r w:rsidR="00AB1C84" w:rsidRPr="00083019">
        <w:rPr>
          <w:rFonts w:ascii="Times New Roman" w:hAnsi="Times New Roman" w:cs="Times New Roman"/>
          <w:bCs/>
          <w:sz w:val="22"/>
          <w:szCs w:val="22"/>
        </w:rPr>
        <w:t> </w:t>
      </w:r>
      <w:r w:rsidRPr="00083019">
        <w:rPr>
          <w:rFonts w:ascii="AGaramond" w:hAnsi="AGaramond"/>
          <w:bCs/>
          <w:sz w:val="22"/>
          <w:szCs w:val="22"/>
        </w:rPr>
        <w:t>‰, la femenina ha estado en 192</w:t>
      </w:r>
      <w:r w:rsidR="00AB1C84" w:rsidRPr="00083019">
        <w:rPr>
          <w:rFonts w:ascii="Times New Roman" w:hAnsi="Times New Roman" w:cs="Times New Roman"/>
          <w:bCs/>
          <w:sz w:val="22"/>
          <w:szCs w:val="22"/>
        </w:rPr>
        <w:t> </w:t>
      </w:r>
      <w:r w:rsidRPr="00083019">
        <w:rPr>
          <w:rFonts w:ascii="AGaramond" w:hAnsi="AGaramond"/>
          <w:bCs/>
          <w:sz w:val="22"/>
          <w:szCs w:val="22"/>
        </w:rPr>
        <w:t>‰ y, finalmente, la cúspide de la migración neta total ha correspondido a una tasa de 197</w:t>
      </w:r>
      <w:r w:rsidR="00AB1C84" w:rsidRPr="00083019">
        <w:rPr>
          <w:rFonts w:ascii="Times New Roman" w:hAnsi="Times New Roman" w:cs="Times New Roman"/>
          <w:bCs/>
          <w:sz w:val="22"/>
          <w:szCs w:val="22"/>
        </w:rPr>
        <w:t> </w:t>
      </w:r>
      <w:r w:rsidRPr="00083019">
        <w:rPr>
          <w:rFonts w:ascii="AGaramond" w:hAnsi="AGaramond"/>
          <w:bCs/>
          <w:sz w:val="22"/>
          <w:szCs w:val="22"/>
        </w:rPr>
        <w:t xml:space="preserve">‰. Además, la edad baja de la migración neta se ha observado entre los 5 y 9 </w:t>
      </w:r>
      <w:proofErr w:type="gramStart"/>
      <w:r w:rsidRPr="00083019">
        <w:rPr>
          <w:rFonts w:ascii="AGaramond" w:hAnsi="AGaramond"/>
          <w:bCs/>
          <w:sz w:val="22"/>
          <w:szCs w:val="22"/>
        </w:rPr>
        <w:t>años de edad</w:t>
      </w:r>
      <w:proofErr w:type="gramEnd"/>
      <w:r w:rsidRPr="00083019">
        <w:rPr>
          <w:rFonts w:ascii="AGaramond" w:hAnsi="AGaramond"/>
          <w:bCs/>
          <w:sz w:val="22"/>
          <w:szCs w:val="22"/>
        </w:rPr>
        <w:t>, sin mayores diferencias por sexo (véase Gráfico 3).</w:t>
      </w:r>
    </w:p>
    <w:p w14:paraId="24DF1711" w14:textId="4AEC86B6" w:rsidR="00F731AD" w:rsidRPr="00083019" w:rsidRDefault="00F731AD" w:rsidP="00AD5565">
      <w:pPr>
        <w:pStyle w:val="Textoindependiente"/>
        <w:spacing w:after="240" w:line="360" w:lineRule="auto"/>
        <w:ind w:firstLine="284"/>
        <w:jc w:val="both"/>
        <w:rPr>
          <w:rFonts w:ascii="AGaramond" w:hAnsi="AGaramond"/>
          <w:bCs/>
          <w:sz w:val="22"/>
          <w:szCs w:val="22"/>
        </w:rPr>
      </w:pPr>
      <w:r w:rsidRPr="00083019">
        <w:rPr>
          <w:rFonts w:ascii="AGaramond" w:hAnsi="AGaramond"/>
          <w:bCs/>
          <w:sz w:val="22"/>
          <w:szCs w:val="22"/>
        </w:rPr>
        <w:t>En el segundo lustro analizado, 2005-2010, la tasa de migración neta cúspide masculina ha sido 102</w:t>
      </w:r>
      <w:r w:rsidR="00AB1C84" w:rsidRPr="00083019">
        <w:rPr>
          <w:rFonts w:ascii="Times New Roman" w:hAnsi="Times New Roman" w:cs="Times New Roman"/>
          <w:bCs/>
          <w:sz w:val="22"/>
          <w:szCs w:val="22"/>
        </w:rPr>
        <w:t> </w:t>
      </w:r>
      <w:r w:rsidRPr="00083019">
        <w:rPr>
          <w:rFonts w:ascii="AGaramond" w:hAnsi="AGaramond"/>
          <w:bCs/>
          <w:sz w:val="22"/>
          <w:szCs w:val="22"/>
        </w:rPr>
        <w:t>‰, lo cual ha significado una pérdida de casi el 50</w:t>
      </w:r>
      <w:r w:rsidR="00AB1C84" w:rsidRPr="00083019">
        <w:rPr>
          <w:rFonts w:ascii="Times New Roman" w:hAnsi="Times New Roman" w:cs="Times New Roman"/>
          <w:bCs/>
          <w:sz w:val="22"/>
          <w:szCs w:val="22"/>
        </w:rPr>
        <w:t> </w:t>
      </w:r>
      <w:r w:rsidR="00381168" w:rsidRPr="00083019">
        <w:rPr>
          <w:rFonts w:ascii="AGaramond" w:hAnsi="AGaramond"/>
          <w:bCs/>
          <w:sz w:val="22"/>
          <w:szCs w:val="22"/>
        </w:rPr>
        <w:t>%</w:t>
      </w:r>
      <w:r w:rsidRPr="00083019">
        <w:rPr>
          <w:rFonts w:ascii="AGaramond" w:hAnsi="AGaramond"/>
          <w:bCs/>
          <w:sz w:val="22"/>
          <w:szCs w:val="22"/>
        </w:rPr>
        <w:t xml:space="preserve"> del valor que había presentado en el lustro 1995-2000. En el caso de la tasa de migración neta cúspide femenina ha estado en 109</w:t>
      </w:r>
      <w:r w:rsidR="00AB1C84" w:rsidRPr="00083019">
        <w:rPr>
          <w:rFonts w:ascii="Times New Roman" w:hAnsi="Times New Roman" w:cs="Times New Roman"/>
          <w:bCs/>
          <w:sz w:val="22"/>
          <w:szCs w:val="22"/>
        </w:rPr>
        <w:t> </w:t>
      </w:r>
      <w:r w:rsidRPr="00083019">
        <w:rPr>
          <w:rFonts w:ascii="AGaramond" w:hAnsi="AGaramond"/>
          <w:bCs/>
          <w:sz w:val="22"/>
          <w:szCs w:val="22"/>
        </w:rPr>
        <w:t>‰, también ha presentado una reducción considerable respecto al lustro anterior de análisis. Finalmente, 105</w:t>
      </w:r>
      <w:r w:rsidR="00AB1C84" w:rsidRPr="00083019">
        <w:rPr>
          <w:rFonts w:ascii="Times New Roman" w:hAnsi="Times New Roman" w:cs="Times New Roman"/>
          <w:bCs/>
          <w:sz w:val="22"/>
          <w:szCs w:val="22"/>
        </w:rPr>
        <w:t> </w:t>
      </w:r>
      <w:r w:rsidRPr="00083019">
        <w:rPr>
          <w:rFonts w:ascii="AGaramond" w:hAnsi="AGaramond"/>
          <w:bCs/>
          <w:sz w:val="22"/>
          <w:szCs w:val="22"/>
        </w:rPr>
        <w:t xml:space="preserve">‰ ha correspondido a la tasa cúspide de la migración neta total, la cual ha mostrado también una reducción significativa en comparación con el lapso 1995-2000. Estas tasas máximas de migración neta se han alcanzado en el grupo de 15 a 19 </w:t>
      </w:r>
      <w:proofErr w:type="gramStart"/>
      <w:r w:rsidRPr="00083019">
        <w:rPr>
          <w:rFonts w:ascii="AGaramond" w:hAnsi="AGaramond"/>
          <w:bCs/>
          <w:sz w:val="22"/>
          <w:szCs w:val="22"/>
        </w:rPr>
        <w:t>años de edad</w:t>
      </w:r>
      <w:proofErr w:type="gramEnd"/>
      <w:r w:rsidRPr="00083019">
        <w:rPr>
          <w:rFonts w:ascii="AGaramond" w:hAnsi="AGaramond"/>
          <w:bCs/>
          <w:sz w:val="22"/>
          <w:szCs w:val="22"/>
        </w:rPr>
        <w:t xml:space="preserve"> para ambos sexos. También, entre los años 2005 y 2010, las tasas mínimas de migración neta se han registrado entre los 5 y 9 años, edad baja, con algunas diferencias según sexo. </w:t>
      </w:r>
    </w:p>
    <w:p w14:paraId="1D84A43F" w14:textId="425878B4" w:rsidR="00F731AD" w:rsidRPr="00083019" w:rsidRDefault="00F731AD" w:rsidP="00AD5565">
      <w:pPr>
        <w:pStyle w:val="Textoindependiente"/>
        <w:spacing w:after="240" w:line="360" w:lineRule="auto"/>
        <w:ind w:firstLine="284"/>
        <w:jc w:val="both"/>
        <w:rPr>
          <w:rFonts w:ascii="AGaramond" w:hAnsi="AGaramond"/>
          <w:bCs/>
          <w:sz w:val="22"/>
          <w:szCs w:val="22"/>
        </w:rPr>
      </w:pPr>
      <w:r w:rsidRPr="00083019">
        <w:rPr>
          <w:rFonts w:ascii="AGaramond" w:hAnsi="AGaramond"/>
          <w:bCs/>
          <w:sz w:val="22"/>
          <w:szCs w:val="22"/>
        </w:rPr>
        <w:t xml:space="preserve">En el último lustro analizado, 2010-2015, las tasas cúspides de migración neta se han alcanzado en el grupo de 20 a 24 </w:t>
      </w:r>
      <w:proofErr w:type="gramStart"/>
      <w:r w:rsidRPr="00083019">
        <w:rPr>
          <w:rFonts w:ascii="AGaramond" w:hAnsi="AGaramond"/>
          <w:bCs/>
          <w:sz w:val="22"/>
          <w:szCs w:val="22"/>
        </w:rPr>
        <w:t>años de edad</w:t>
      </w:r>
      <w:proofErr w:type="gramEnd"/>
      <w:r w:rsidRPr="00083019">
        <w:rPr>
          <w:rFonts w:ascii="AGaramond" w:hAnsi="AGaramond"/>
          <w:bCs/>
          <w:sz w:val="22"/>
          <w:szCs w:val="22"/>
        </w:rPr>
        <w:t xml:space="preserve"> para ambos sexos. La tasa cúspide masculina ha sido 98</w:t>
      </w:r>
      <w:r w:rsidR="00AB1C84" w:rsidRPr="00083019">
        <w:rPr>
          <w:rFonts w:ascii="Times New Roman" w:hAnsi="Times New Roman" w:cs="Times New Roman"/>
          <w:bCs/>
          <w:sz w:val="22"/>
          <w:szCs w:val="22"/>
        </w:rPr>
        <w:t> </w:t>
      </w:r>
      <w:r w:rsidRPr="00083019">
        <w:rPr>
          <w:rFonts w:ascii="AGaramond" w:hAnsi="AGaramond"/>
          <w:bCs/>
          <w:sz w:val="22"/>
          <w:szCs w:val="22"/>
        </w:rPr>
        <w:t>‰, la que ha registrado la población femenina se ha ubicado en 82</w:t>
      </w:r>
      <w:r w:rsidR="00AB1C84" w:rsidRPr="00083019">
        <w:rPr>
          <w:rFonts w:ascii="Times New Roman" w:hAnsi="Times New Roman" w:cs="Times New Roman"/>
          <w:bCs/>
          <w:sz w:val="22"/>
          <w:szCs w:val="22"/>
        </w:rPr>
        <w:t> </w:t>
      </w:r>
      <w:r w:rsidRPr="00083019">
        <w:rPr>
          <w:rFonts w:ascii="AGaramond" w:hAnsi="AGaramond"/>
          <w:bCs/>
          <w:sz w:val="22"/>
          <w:szCs w:val="22"/>
        </w:rPr>
        <w:t>‰ y, por último, 91</w:t>
      </w:r>
      <w:r w:rsidR="00AB1C84" w:rsidRPr="00083019">
        <w:rPr>
          <w:rFonts w:ascii="Times New Roman" w:hAnsi="Times New Roman" w:cs="Times New Roman"/>
          <w:bCs/>
          <w:sz w:val="22"/>
          <w:szCs w:val="22"/>
        </w:rPr>
        <w:t> </w:t>
      </w:r>
      <w:r w:rsidRPr="00083019">
        <w:rPr>
          <w:rFonts w:ascii="AGaramond" w:hAnsi="AGaramond"/>
          <w:bCs/>
          <w:sz w:val="22"/>
          <w:szCs w:val="22"/>
        </w:rPr>
        <w:t>‰ ha correspondido a la tasa cúspide de la migración neta general para ambos sexos. Estas tasas cúspides de migración neta han reducido ligeramente sus valores respecto al lustro previo, 2005-2010 y con mayor ímpetu si se compara con el lustro 1995-2000, lapso inicial de estudio. Por tanto, se ha observado una tendencia a la disminución de la intensidad de la migración neta a través del transcurrir del tiempo.</w:t>
      </w:r>
    </w:p>
    <w:p w14:paraId="049DB9CA" w14:textId="77777777" w:rsidR="00F731AD" w:rsidRPr="00083019" w:rsidRDefault="00F731AD" w:rsidP="00AD5565">
      <w:pPr>
        <w:pStyle w:val="Textoindependiente"/>
        <w:spacing w:after="240" w:line="360" w:lineRule="auto"/>
        <w:ind w:firstLine="284"/>
        <w:jc w:val="both"/>
        <w:rPr>
          <w:rFonts w:ascii="AGaramond" w:eastAsia="Times New Roman" w:hAnsi="AGaramond"/>
          <w:sz w:val="22"/>
          <w:szCs w:val="22"/>
        </w:rPr>
      </w:pPr>
      <w:r w:rsidRPr="00083019">
        <w:rPr>
          <w:rFonts w:ascii="AGaramond" w:eastAsia="Times New Roman" w:hAnsi="AGaramond"/>
          <w:sz w:val="22"/>
          <w:szCs w:val="22"/>
        </w:rPr>
        <w:t xml:space="preserve">En términos generales, la población masculina ha superado en proporción a la femenina. Además, los inmigrantes internos recientes de la ciudad en el lapso bajo estudio han sido predominantemente jóvenes (15 a 29 años) y adultos jóvenes (30 a 44 años). Durante la transición a la adultez de la población se ha observado mayor propensión a migrar y Playa del Carmen entre 1995 y 2015 ha devenido en un ejemplo de ello. Las huellas que ha impreso la inmigración en la composición de la población de la ciudad en las </w:t>
      </w:r>
      <w:proofErr w:type="gramStart"/>
      <w:r w:rsidRPr="00083019">
        <w:rPr>
          <w:rFonts w:ascii="AGaramond" w:eastAsia="Times New Roman" w:hAnsi="AGaramond"/>
          <w:sz w:val="22"/>
          <w:szCs w:val="22"/>
        </w:rPr>
        <w:t>edades jóvenes y adultas jóvenes</w:t>
      </w:r>
      <w:proofErr w:type="gramEnd"/>
      <w:r w:rsidRPr="00083019">
        <w:rPr>
          <w:rFonts w:ascii="AGaramond" w:eastAsia="Times New Roman" w:hAnsi="AGaramond"/>
          <w:sz w:val="22"/>
          <w:szCs w:val="22"/>
        </w:rPr>
        <w:t xml:space="preserve"> así lo han confirmado. Esto se </w:t>
      </w:r>
      <w:r w:rsidRPr="00083019">
        <w:rPr>
          <w:rFonts w:ascii="AGaramond" w:eastAsia="Times New Roman" w:hAnsi="AGaramond"/>
          <w:sz w:val="22"/>
          <w:szCs w:val="22"/>
        </w:rPr>
        <w:lastRenderedPageBreak/>
        <w:t xml:space="preserve">ha debido al vínculo principalmente con el inicio de la vida laboral, porque entre las causas de la migración, tanto interna como internacional, han destacado los motivos laborales, y el inicio de la vida en el ámbito del trabajo se ha relacionado con el desplazamiento territorial para obtener la ocupación anhelada. Además, otro de los motivos de la migración a </w:t>
      </w:r>
      <w:proofErr w:type="gramStart"/>
      <w:r w:rsidRPr="00083019">
        <w:rPr>
          <w:rFonts w:ascii="AGaramond" w:eastAsia="Times New Roman" w:hAnsi="AGaramond"/>
          <w:sz w:val="22"/>
          <w:szCs w:val="22"/>
        </w:rPr>
        <w:t>edades jóvenes y adultas jóvenes</w:t>
      </w:r>
      <w:proofErr w:type="gramEnd"/>
      <w:r w:rsidRPr="00083019">
        <w:rPr>
          <w:rFonts w:ascii="AGaramond" w:eastAsia="Times New Roman" w:hAnsi="AGaramond"/>
          <w:sz w:val="22"/>
          <w:szCs w:val="22"/>
        </w:rPr>
        <w:t xml:space="preserve"> ha sido la continuación con la educación escolarizada, pero Playa del Carmen no ha destacado por una oferta educativa diversificada que haya atraído población por ese motivo.</w:t>
      </w:r>
    </w:p>
    <w:p w14:paraId="265D8AB3" w14:textId="405580B8" w:rsidR="00970AA8" w:rsidRPr="00083019" w:rsidRDefault="00F731AD" w:rsidP="00AD5565">
      <w:pPr>
        <w:pStyle w:val="Textoindependiente"/>
        <w:spacing w:after="240" w:line="360" w:lineRule="auto"/>
        <w:ind w:firstLine="284"/>
        <w:jc w:val="both"/>
        <w:rPr>
          <w:rFonts w:ascii="AGaramond" w:eastAsia="Times New Roman" w:hAnsi="AGaramond"/>
          <w:sz w:val="22"/>
          <w:szCs w:val="22"/>
        </w:rPr>
      </w:pPr>
      <w:r w:rsidRPr="00083019">
        <w:rPr>
          <w:rFonts w:ascii="AGaramond" w:eastAsia="Times New Roman" w:hAnsi="AGaramond"/>
          <w:sz w:val="22"/>
          <w:szCs w:val="22"/>
        </w:rPr>
        <w:t>Entre los emigrantes recientes internos desde Playa del Carmen han predominado los hombres sobre las mujeres. La mayor proporción de emigrantes internos recientes ha presentado edades entre los 15 y 44 años</w:t>
      </w:r>
      <w:r w:rsidR="004C5979">
        <w:rPr>
          <w:rFonts w:ascii="AGaramond" w:eastAsia="Times New Roman" w:hAnsi="AGaramond"/>
          <w:sz w:val="22"/>
          <w:szCs w:val="22"/>
        </w:rPr>
        <w:t>;</w:t>
      </w:r>
      <w:r w:rsidRPr="00083019">
        <w:rPr>
          <w:rFonts w:ascii="AGaramond" w:eastAsia="Times New Roman" w:hAnsi="AGaramond"/>
          <w:sz w:val="22"/>
          <w:szCs w:val="22"/>
        </w:rPr>
        <w:t xml:space="preserve"> es decir, han sido jóvenes y adultos jóvenes. Las razones educativas y laborales deben estar vinculadas con las salidas de estos grupos etarios. Pero la emigración desde Playa del Carmen no ha superado la inmigración y, por tanto, la ciudad ha devenido en </w:t>
      </w:r>
      <w:proofErr w:type="spellStart"/>
      <w:r w:rsidRPr="00083019">
        <w:rPr>
          <w:rFonts w:ascii="AGaramond" w:eastAsia="Times New Roman" w:hAnsi="AGaramond"/>
          <w:sz w:val="22"/>
          <w:szCs w:val="22"/>
        </w:rPr>
        <w:t>atractora</w:t>
      </w:r>
      <w:proofErr w:type="spellEnd"/>
      <w:r w:rsidRPr="00083019">
        <w:rPr>
          <w:rFonts w:ascii="AGaramond" w:eastAsia="Times New Roman" w:hAnsi="AGaramond"/>
          <w:sz w:val="22"/>
          <w:szCs w:val="22"/>
        </w:rPr>
        <w:t xml:space="preserve"> de población. Incluso, la huella que ha dejado la emigración en la estructura de la población de la ciudad ha sido poco significativa.</w:t>
      </w:r>
    </w:p>
    <w:p w14:paraId="55F1088B" w14:textId="77777777" w:rsidR="00AD5565" w:rsidRPr="00083019" w:rsidRDefault="00AD5565" w:rsidP="00CF714B">
      <w:pPr>
        <w:numPr>
          <w:ilvl w:val="0"/>
          <w:numId w:val="34"/>
        </w:numPr>
        <w:spacing w:after="240" w:line="360" w:lineRule="auto"/>
        <w:jc w:val="both"/>
        <w:rPr>
          <w:rFonts w:ascii="AGaramond" w:hAnsi="AGaramond" w:cs="Times New Roman"/>
          <w:b/>
        </w:rPr>
      </w:pPr>
      <w:bookmarkStart w:id="7" w:name="_Toc456588188"/>
      <w:r w:rsidRPr="00083019">
        <w:rPr>
          <w:rFonts w:ascii="AGaramond" w:hAnsi="AGaramond" w:cs="Times New Roman"/>
          <w:b/>
        </w:rPr>
        <w:t>SÍNTESIS: A MODO DE CONCLUSIONES</w:t>
      </w:r>
      <w:bookmarkEnd w:id="7"/>
    </w:p>
    <w:p w14:paraId="1AE1B01D" w14:textId="2FABAAA3" w:rsidR="00AD5565" w:rsidRPr="00083019" w:rsidRDefault="00AD5565" w:rsidP="00AD5565">
      <w:pPr>
        <w:pStyle w:val="Textoindependiente"/>
        <w:spacing w:after="240" w:line="360" w:lineRule="auto"/>
        <w:ind w:firstLine="284"/>
        <w:jc w:val="both"/>
        <w:rPr>
          <w:rFonts w:ascii="AGaramond" w:eastAsia="Times New Roman" w:hAnsi="AGaramond"/>
          <w:color w:val="000000" w:themeColor="text1"/>
          <w:sz w:val="22"/>
          <w:szCs w:val="22"/>
        </w:rPr>
      </w:pPr>
      <w:r w:rsidRPr="00083019">
        <w:rPr>
          <w:rFonts w:ascii="AGaramond" w:eastAsia="Times New Roman" w:hAnsi="AGaramond"/>
          <w:color w:val="000000" w:themeColor="text1"/>
          <w:sz w:val="22"/>
          <w:szCs w:val="22"/>
        </w:rPr>
        <w:t>Estas líneas han abordado analíticamente la migración interna mexicana hacia y desde Playa del Carmen entre 1995 y 2015, incluyendo los inmigrantes internos que han llegado en los lustros 1995-2000, 2005-2010 y 2010-2015, así como a los emigrantes que han salido en esos lapsos de estudio. Las fuentes de información demográfica seleccionadas para el análisis de la migración interna fueron el XII Censo General de Población y Vivienda 2000, la muestra correspondiente al XIII Censo de Población y Vivienda 2010 y</w:t>
      </w:r>
      <w:r w:rsidR="007678B0" w:rsidRPr="00083019">
        <w:rPr>
          <w:rFonts w:ascii="AGaramond" w:eastAsia="Times New Roman" w:hAnsi="AGaramond"/>
          <w:color w:val="000000" w:themeColor="text1"/>
          <w:sz w:val="22"/>
          <w:szCs w:val="22"/>
        </w:rPr>
        <w:t>,</w:t>
      </w:r>
      <w:r w:rsidRPr="00083019">
        <w:rPr>
          <w:rFonts w:ascii="AGaramond" w:eastAsia="Times New Roman" w:hAnsi="AGaramond"/>
          <w:color w:val="000000" w:themeColor="text1"/>
          <w:sz w:val="22"/>
          <w:szCs w:val="22"/>
        </w:rPr>
        <w:t xml:space="preserve"> finalmente, la muestra de la Encuesta Intercensal 2015, las cuales han incluido las variables requeridas por la investigación para la cuantificación del proceso migratorio que ha permitido la transición de Playa del Carmen de pueblo, a ciudad de talla demográfica pequeña y</w:t>
      </w:r>
      <w:r w:rsidR="007678B0" w:rsidRPr="00083019">
        <w:rPr>
          <w:rFonts w:ascii="AGaramond" w:eastAsia="Times New Roman" w:hAnsi="AGaramond"/>
          <w:color w:val="000000" w:themeColor="text1"/>
          <w:sz w:val="22"/>
          <w:szCs w:val="22"/>
        </w:rPr>
        <w:t>,</w:t>
      </w:r>
      <w:r w:rsidRPr="00083019">
        <w:rPr>
          <w:rFonts w:ascii="AGaramond" w:eastAsia="Times New Roman" w:hAnsi="AGaramond"/>
          <w:color w:val="000000" w:themeColor="text1"/>
          <w:sz w:val="22"/>
          <w:szCs w:val="22"/>
        </w:rPr>
        <w:t xml:space="preserve"> finalmente, a una ciudad intermedia en apenas 25 años, 1990-2015, y básicamente por el crecimiento social de la población.</w:t>
      </w:r>
    </w:p>
    <w:p w14:paraId="5F2E066D" w14:textId="1DDB6C17" w:rsidR="00AD5565" w:rsidRPr="00083019" w:rsidRDefault="00AD5565" w:rsidP="00AD5565">
      <w:pPr>
        <w:pStyle w:val="Textoindependiente"/>
        <w:spacing w:after="240" w:line="360" w:lineRule="auto"/>
        <w:ind w:firstLine="284"/>
        <w:jc w:val="both"/>
        <w:rPr>
          <w:rFonts w:ascii="AGaramond" w:eastAsia="Times New Roman" w:hAnsi="AGaramond"/>
          <w:sz w:val="22"/>
          <w:szCs w:val="22"/>
        </w:rPr>
      </w:pPr>
      <w:r w:rsidRPr="00083019">
        <w:rPr>
          <w:rFonts w:ascii="AGaramond" w:eastAsia="Times New Roman" w:hAnsi="AGaramond"/>
          <w:sz w:val="22"/>
          <w:szCs w:val="22"/>
        </w:rPr>
        <w:t>Estas fuentes demográficas han permitido superar las limitaciones de estudiar la migración a través de la pregunta sobre el lugar de nacimiento porque ofrecieron las ventajas de la utilización de la pregunta sobre el lugar de residencia 5 años antes</w:t>
      </w:r>
      <w:r w:rsidR="004C5979">
        <w:rPr>
          <w:rFonts w:ascii="AGaramond" w:eastAsia="Times New Roman" w:hAnsi="AGaramond"/>
          <w:sz w:val="22"/>
          <w:szCs w:val="22"/>
        </w:rPr>
        <w:t>;</w:t>
      </w:r>
      <w:r w:rsidRPr="00083019">
        <w:rPr>
          <w:rFonts w:ascii="AGaramond" w:eastAsia="Times New Roman" w:hAnsi="AGaramond"/>
          <w:sz w:val="22"/>
          <w:szCs w:val="22"/>
        </w:rPr>
        <w:t xml:space="preserve"> es decir, la distinción de origen y destino de los flujos y la ubicación en el tiempo de los movimientos. Adicionalmente, en el marco de la investigación han permitido la construcción de categorías según la condición migratoria: inmigrante reciente interno, emigrante reciente interno y no migrante reciente interno. Se ha empleado el término no migrante reciente interno para agrupar a las personas nativas de Playa del Carmen y a los migrantes de tiempos pretéritos a los lustros estudiados.</w:t>
      </w:r>
    </w:p>
    <w:p w14:paraId="03B95ECA" w14:textId="77777777" w:rsidR="00AD5565" w:rsidRPr="00083019" w:rsidRDefault="00AD5565" w:rsidP="00AD5565">
      <w:pPr>
        <w:pStyle w:val="Textoindependiente"/>
        <w:spacing w:after="240" w:line="360" w:lineRule="auto"/>
        <w:ind w:firstLine="284"/>
        <w:jc w:val="both"/>
        <w:rPr>
          <w:rFonts w:ascii="AGaramond" w:eastAsia="Times New Roman" w:hAnsi="AGaramond"/>
          <w:sz w:val="22"/>
          <w:szCs w:val="22"/>
        </w:rPr>
      </w:pPr>
      <w:r w:rsidRPr="00083019">
        <w:rPr>
          <w:rFonts w:ascii="AGaramond" w:eastAsia="Times New Roman" w:hAnsi="AGaramond"/>
          <w:sz w:val="22"/>
          <w:szCs w:val="22"/>
        </w:rPr>
        <w:t xml:space="preserve">En el trabajo se ha descrito el procedimiento para la construcción de las tasas de inmigración, emigración y migración neta, y se ha hecho énfasis en los distintos tipos de tasas para la medición de la migración, a saber: brutas, específicas, de primera categoría, de segunda categoría, cohorte-periodo (cohorte-edad) y edad-periodo (grupo edad). </w:t>
      </w:r>
      <w:r w:rsidRPr="00083019">
        <w:rPr>
          <w:rFonts w:ascii="AGaramond" w:eastAsia="Times New Roman" w:hAnsi="AGaramond"/>
          <w:sz w:val="22"/>
          <w:szCs w:val="22"/>
        </w:rPr>
        <w:lastRenderedPageBreak/>
        <w:t>Además, se ha indicado la conveniencia del uso de cada uno de estos tipos de tasas en la medición de la migración interna.</w:t>
      </w:r>
    </w:p>
    <w:p w14:paraId="79762107" w14:textId="0E5222AE" w:rsidR="00B85875" w:rsidRPr="00083019" w:rsidRDefault="00AD5565" w:rsidP="00AD5565">
      <w:pPr>
        <w:pStyle w:val="Textoindependiente"/>
        <w:spacing w:after="240" w:line="360" w:lineRule="auto"/>
        <w:ind w:firstLine="284"/>
        <w:jc w:val="both"/>
        <w:rPr>
          <w:rFonts w:ascii="AGaramond" w:eastAsia="Times New Roman" w:hAnsi="AGaramond"/>
          <w:sz w:val="22"/>
          <w:szCs w:val="22"/>
        </w:rPr>
      </w:pPr>
      <w:r w:rsidRPr="00083019">
        <w:rPr>
          <w:rFonts w:ascii="AGaramond" w:eastAsia="Times New Roman" w:hAnsi="AGaramond"/>
          <w:sz w:val="22"/>
          <w:szCs w:val="22"/>
        </w:rPr>
        <w:t xml:space="preserve">La migración se ha asociado estrechamente con las edades productivas de la población y Playa del Carmen ha constituido un ejemplo de ello como contexto de recepción de migrantes internos desde el territorio mexicano entre 1995 y 2015. Este asentamiento humano ha madurado en términos urbanístico una vez que ha transitado de pueblo a ciudad pequeña, y más recientemente, a ciudad intermedia. Esta mutación urbana se ha generado principalmente por el crecimiento social, porque la velocidad a la cual ha crecido en términos </w:t>
      </w:r>
      <w:proofErr w:type="gramStart"/>
      <w:r w:rsidRPr="00083019">
        <w:rPr>
          <w:rFonts w:ascii="AGaramond" w:eastAsia="Times New Roman" w:hAnsi="AGaramond"/>
          <w:sz w:val="22"/>
          <w:szCs w:val="22"/>
        </w:rPr>
        <w:t>demográficos,</w:t>
      </w:r>
      <w:proofErr w:type="gramEnd"/>
      <w:r w:rsidRPr="00083019">
        <w:rPr>
          <w:rFonts w:ascii="AGaramond" w:eastAsia="Times New Roman" w:hAnsi="AGaramond"/>
          <w:sz w:val="22"/>
          <w:szCs w:val="22"/>
        </w:rPr>
        <w:t xml:space="preserve"> prácticamente sería posible de alcanzar a través del crecimiento natural de la población. Adicionalmente, la transición urbana de Playa del Carmen también ha estado vinculada con el mercado de trabajo que se ha venido conformando en la ciudad con el correr de los años, pues por ello, se han mantenido las mayores proporciones de inmigrantes internos en edades de trabajar, tanto de hombres como de mujeres: esencialmente se ha tratado de una migración laboral. </w:t>
      </w:r>
    </w:p>
    <w:p w14:paraId="00091407" w14:textId="77777777" w:rsidR="00B85875" w:rsidRPr="00083019" w:rsidRDefault="00B85875">
      <w:pPr>
        <w:rPr>
          <w:rFonts w:ascii="AGaramond" w:eastAsia="Times New Roman" w:hAnsi="AGaramond"/>
          <w:sz w:val="22"/>
          <w:szCs w:val="22"/>
        </w:rPr>
      </w:pPr>
      <w:r w:rsidRPr="00083019">
        <w:rPr>
          <w:rFonts w:ascii="AGaramond" w:eastAsia="Times New Roman" w:hAnsi="AGaramond"/>
          <w:sz w:val="22"/>
          <w:szCs w:val="22"/>
        </w:rPr>
        <w:br w:type="page"/>
      </w:r>
    </w:p>
    <w:p w14:paraId="5C7DF9DC" w14:textId="77777777" w:rsidR="00083019" w:rsidRPr="00083019" w:rsidRDefault="00083019" w:rsidP="00083019">
      <w:pPr>
        <w:spacing w:after="240" w:line="360" w:lineRule="auto"/>
        <w:jc w:val="both"/>
        <w:rPr>
          <w:rFonts w:ascii="AGaramond" w:hAnsi="AGaramond"/>
          <w:highlight w:val="yellow"/>
        </w:rPr>
      </w:pPr>
      <w:r w:rsidRPr="00083019">
        <w:rPr>
          <w:rFonts w:ascii="AGaramond" w:hAnsi="AGaramond"/>
          <w:b/>
        </w:rPr>
        <w:lastRenderedPageBreak/>
        <w:t>REFERENCIAS BIBLIOGRÁFICAS</w:t>
      </w:r>
    </w:p>
    <w:p w14:paraId="67E75A04" w14:textId="08D12204" w:rsidR="00083019" w:rsidRPr="00083019" w:rsidRDefault="00083019" w:rsidP="00083019">
      <w:pPr>
        <w:spacing w:after="240" w:line="360" w:lineRule="auto"/>
        <w:ind w:left="284" w:hanging="284"/>
        <w:jc w:val="both"/>
        <w:rPr>
          <w:rFonts w:ascii="AGaramond" w:hAnsi="AGaramond" w:cs="Times New Roman"/>
          <w:bCs/>
          <w:sz w:val="22"/>
          <w:szCs w:val="22"/>
        </w:rPr>
      </w:pPr>
      <w:r w:rsidRPr="00083019">
        <w:rPr>
          <w:rFonts w:ascii="AGaramond" w:hAnsi="AGaramond" w:cs="Times New Roman"/>
          <w:bCs/>
          <w:sz w:val="22"/>
          <w:szCs w:val="22"/>
        </w:rPr>
        <w:t xml:space="preserve">Centro Latinoamericano y Caribeño de Demografía (CELADE-CEPAL-ONU). (2009). </w:t>
      </w:r>
      <w:r w:rsidRPr="00083019">
        <w:rPr>
          <w:rFonts w:ascii="AGaramond" w:hAnsi="AGaramond" w:cs="Times New Roman"/>
          <w:bCs/>
          <w:i/>
          <w:sz w:val="22"/>
          <w:szCs w:val="22"/>
        </w:rPr>
        <w:t>Urbanización en perspectiva</w:t>
      </w:r>
      <w:r w:rsidRPr="00083019">
        <w:rPr>
          <w:rFonts w:ascii="AGaramond" w:hAnsi="AGaramond" w:cs="Times New Roman"/>
          <w:bCs/>
          <w:sz w:val="22"/>
          <w:szCs w:val="22"/>
        </w:rPr>
        <w:t>. Observatorio Demográfico, Año IV, n.º 8, octubre 2009.</w:t>
      </w:r>
    </w:p>
    <w:p w14:paraId="0B99FCD1" w14:textId="77777777" w:rsidR="00083019" w:rsidRPr="00083019" w:rsidRDefault="00083019" w:rsidP="00083019">
      <w:pPr>
        <w:pStyle w:val="Bibliografa"/>
        <w:spacing w:after="240" w:line="360" w:lineRule="auto"/>
        <w:ind w:left="284" w:hanging="284"/>
        <w:jc w:val="both"/>
        <w:rPr>
          <w:rFonts w:ascii="AGaramond" w:hAnsi="AGaramond" w:cs="Times New Roman"/>
          <w:noProof/>
          <w:lang w:val="es-PE"/>
        </w:rPr>
      </w:pPr>
      <w:r w:rsidRPr="00083019">
        <w:rPr>
          <w:rFonts w:ascii="AGaramond" w:hAnsi="AGaramond" w:cs="Times New Roman"/>
          <w:noProof/>
          <w:lang w:val="es-PE"/>
        </w:rPr>
        <w:t xml:space="preserve">Delgado-Linero, M. G. (2016). Migración, crecimiento poblacional y mercado laboral en Playa del Carmen entre 1995 y 2015. </w:t>
      </w:r>
      <w:r w:rsidRPr="00083019">
        <w:rPr>
          <w:rFonts w:ascii="AGaramond" w:hAnsi="AGaramond" w:cs="Times New Roman"/>
          <w:i/>
          <w:iCs/>
          <w:noProof/>
          <w:lang w:val="es-PE"/>
        </w:rPr>
        <w:t>Tesis presentada para obtener el grado de Maestro en Población y Desarrollo.</w:t>
      </w:r>
      <w:r w:rsidRPr="00083019">
        <w:rPr>
          <w:rFonts w:ascii="AGaramond" w:hAnsi="AGaramond" w:cs="Times New Roman"/>
          <w:noProof/>
          <w:lang w:val="es-PE"/>
        </w:rPr>
        <w:t xml:space="preserve"> Ciudad de México: Facultad Latinoamericana de Ciencias Sociales.</w:t>
      </w:r>
    </w:p>
    <w:p w14:paraId="31753747" w14:textId="4BF4E3EF" w:rsidR="00083019" w:rsidRPr="00083019" w:rsidRDefault="00083019" w:rsidP="00083019">
      <w:pPr>
        <w:pStyle w:val="Bibliografa"/>
        <w:spacing w:after="240" w:line="360" w:lineRule="auto"/>
        <w:ind w:left="284" w:hanging="284"/>
        <w:jc w:val="both"/>
        <w:rPr>
          <w:rFonts w:ascii="AGaramond" w:hAnsi="AGaramond" w:cs="Times New Roman"/>
          <w:noProof/>
          <w:lang w:val="es-PE"/>
        </w:rPr>
      </w:pPr>
      <w:r w:rsidRPr="00083019">
        <w:rPr>
          <w:rFonts w:ascii="AGaramond" w:hAnsi="AGaramond" w:cs="Times New Roman"/>
          <w:noProof/>
          <w:lang w:val="es-PE"/>
        </w:rPr>
        <w:t xml:space="preserve">Delgado-Linero, M. G. (2017). </w:t>
      </w:r>
      <w:r w:rsidR="00FF5DBB">
        <w:rPr>
          <w:rFonts w:ascii="AGaramond" w:hAnsi="AGaramond" w:cs="Times New Roman"/>
          <w:noProof/>
          <w:lang w:val="es-PE"/>
        </w:rPr>
        <w:t>“</w:t>
      </w:r>
      <w:r w:rsidRPr="00083019">
        <w:rPr>
          <w:rFonts w:ascii="AGaramond" w:hAnsi="AGaramond" w:cs="Times New Roman"/>
          <w:noProof/>
          <w:lang w:val="es-PE"/>
        </w:rPr>
        <w:t>Migración y crecimiento poblacional entre 1995 y 2015 en Playa del Carmen, México</w:t>
      </w:r>
      <w:r w:rsidR="00FF5DBB">
        <w:rPr>
          <w:rFonts w:ascii="AGaramond" w:hAnsi="AGaramond" w:cs="Times New Roman"/>
          <w:noProof/>
          <w:lang w:val="es-PE"/>
        </w:rPr>
        <w:t>”</w:t>
      </w:r>
      <w:r w:rsidRPr="00083019">
        <w:rPr>
          <w:rFonts w:ascii="AGaramond" w:hAnsi="AGaramond" w:cs="Times New Roman"/>
          <w:noProof/>
          <w:lang w:val="es-PE"/>
        </w:rPr>
        <w:t xml:space="preserve">. En </w:t>
      </w:r>
      <w:r w:rsidRPr="00083019">
        <w:rPr>
          <w:rFonts w:ascii="AGaramond" w:hAnsi="AGaramond" w:cs="Times New Roman"/>
          <w:i/>
          <w:noProof/>
          <w:lang w:val="es-PE"/>
        </w:rPr>
        <w:t>Trienal de investigación FAU 2017</w:t>
      </w:r>
      <w:r w:rsidRPr="00083019">
        <w:rPr>
          <w:rFonts w:ascii="AGaramond" w:hAnsi="AGaramond" w:cs="Times New Roman"/>
          <w:noProof/>
          <w:lang w:val="es-PE"/>
        </w:rPr>
        <w:t xml:space="preserve"> (</w:t>
      </w:r>
      <w:r w:rsidR="009A2153">
        <w:rPr>
          <w:rFonts w:ascii="AGaramond" w:hAnsi="AGaramond" w:cs="Times New Roman"/>
          <w:noProof/>
          <w:lang w:val="es-PE"/>
        </w:rPr>
        <w:t>pp</w:t>
      </w:r>
      <w:r w:rsidRPr="00083019">
        <w:rPr>
          <w:rFonts w:ascii="AGaramond" w:hAnsi="AGaramond" w:cs="Times New Roman"/>
          <w:noProof/>
          <w:lang w:val="es-PE"/>
        </w:rPr>
        <w:t>. CS13-1-CS13-15). Caracas: Ediciones FAU – Universidad Central de Venezuela.</w:t>
      </w:r>
    </w:p>
    <w:p w14:paraId="534F7985" w14:textId="57BEBE05" w:rsidR="00083019" w:rsidRDefault="00083019" w:rsidP="00083019">
      <w:pPr>
        <w:spacing w:after="240" w:line="360" w:lineRule="auto"/>
        <w:ind w:left="284" w:hanging="284"/>
        <w:jc w:val="both"/>
        <w:rPr>
          <w:rFonts w:ascii="AGaramond" w:hAnsi="AGaramond" w:cs="Times New Roman"/>
          <w:sz w:val="22"/>
          <w:szCs w:val="22"/>
          <w:lang w:val="es-PE"/>
        </w:rPr>
      </w:pPr>
      <w:r w:rsidRPr="00083019">
        <w:rPr>
          <w:rFonts w:ascii="AGaramond" w:hAnsi="AGaramond" w:cs="Times New Roman"/>
          <w:noProof/>
          <w:sz w:val="22"/>
          <w:szCs w:val="22"/>
          <w:lang w:val="es-PE"/>
        </w:rPr>
        <w:t>Geigel</w:t>
      </w:r>
      <w:r w:rsidRPr="00083019">
        <w:rPr>
          <w:rFonts w:ascii="AGaramond" w:hAnsi="AGaramond" w:cs="Times New Roman"/>
          <w:sz w:val="22"/>
          <w:szCs w:val="22"/>
          <w:lang w:val="es-PE"/>
        </w:rPr>
        <w:t xml:space="preserve"> Lope-Bello, N. (1993). </w:t>
      </w:r>
      <w:r w:rsidRPr="00083019">
        <w:rPr>
          <w:rFonts w:ascii="AGaramond" w:hAnsi="AGaramond" w:cs="Times New Roman"/>
          <w:i/>
          <w:sz w:val="22"/>
          <w:szCs w:val="22"/>
          <w:lang w:val="es-PE"/>
        </w:rPr>
        <w:t>Introducción al urbanismo y al derecho urbanístico</w:t>
      </w:r>
      <w:r w:rsidRPr="00083019">
        <w:rPr>
          <w:rFonts w:ascii="AGaramond" w:hAnsi="AGaramond" w:cs="Times New Roman"/>
          <w:sz w:val="22"/>
          <w:szCs w:val="22"/>
          <w:lang w:val="es-PE"/>
        </w:rPr>
        <w:t>. Caracas: Equinoccio, Ediciones Universidad Simón Bolívar – Fundación Polar.</w:t>
      </w:r>
    </w:p>
    <w:p w14:paraId="70005D3B" w14:textId="462FF323" w:rsidR="00083019" w:rsidRDefault="00083019" w:rsidP="00083019">
      <w:pPr>
        <w:spacing w:after="240" w:line="360" w:lineRule="auto"/>
        <w:ind w:left="284" w:hanging="284"/>
        <w:jc w:val="both"/>
        <w:rPr>
          <w:rFonts w:ascii="AGaramond" w:hAnsi="AGaramond" w:cs="Times New Roman"/>
          <w:sz w:val="22"/>
          <w:szCs w:val="22"/>
          <w:lang w:val="es-PE"/>
        </w:rPr>
      </w:pPr>
      <w:r w:rsidRPr="00083019">
        <w:rPr>
          <w:rFonts w:ascii="AGaramond" w:hAnsi="AGaramond" w:cs="Times New Roman"/>
          <w:sz w:val="22"/>
          <w:szCs w:val="22"/>
          <w:lang w:val="es-PE"/>
        </w:rPr>
        <w:t xml:space="preserve">Instituto Nacional de Estadística y Geografía (INEGI). (2003). </w:t>
      </w:r>
      <w:r w:rsidRPr="00083019">
        <w:rPr>
          <w:rFonts w:ascii="AGaramond" w:hAnsi="AGaramond" w:cs="Times New Roman"/>
          <w:i/>
          <w:sz w:val="22"/>
          <w:szCs w:val="22"/>
          <w:lang w:val="es-PE"/>
        </w:rPr>
        <w:t>Síntesis Metodológica del XII Censo General de Población y Vivienda 2000</w:t>
      </w:r>
      <w:r w:rsidRPr="00083019">
        <w:rPr>
          <w:rFonts w:ascii="AGaramond" w:hAnsi="AGaramond" w:cs="Times New Roman"/>
          <w:sz w:val="22"/>
          <w:szCs w:val="22"/>
          <w:lang w:val="es-PE"/>
        </w:rPr>
        <w:t>. Ciudad de México: INEGI.</w:t>
      </w:r>
    </w:p>
    <w:p w14:paraId="6EE7410A" w14:textId="77777777" w:rsidR="00083019" w:rsidRPr="00083019" w:rsidRDefault="00083019" w:rsidP="00083019">
      <w:pPr>
        <w:spacing w:after="240" w:line="360" w:lineRule="auto"/>
        <w:ind w:left="284" w:hanging="284"/>
        <w:jc w:val="both"/>
        <w:rPr>
          <w:rFonts w:ascii="AGaramond" w:hAnsi="AGaramond" w:cs="Times New Roman"/>
          <w:sz w:val="22"/>
          <w:szCs w:val="22"/>
          <w:lang w:val="es-PE"/>
        </w:rPr>
      </w:pPr>
      <w:r w:rsidRPr="00083019">
        <w:rPr>
          <w:rFonts w:ascii="AGaramond" w:hAnsi="AGaramond" w:cs="Times New Roman"/>
          <w:sz w:val="22"/>
          <w:szCs w:val="22"/>
          <w:lang w:val="es-PE"/>
        </w:rPr>
        <w:t xml:space="preserve">Instituto Nacional de Estadística y Geografía (INEGI). (2011). </w:t>
      </w:r>
      <w:r w:rsidRPr="00083019">
        <w:rPr>
          <w:rFonts w:ascii="AGaramond" w:hAnsi="AGaramond" w:cs="Times New Roman"/>
          <w:i/>
          <w:sz w:val="22"/>
          <w:szCs w:val="22"/>
          <w:lang w:val="es-PE"/>
        </w:rPr>
        <w:t>Censo de Población y Vivienda 2010: marco conceptual.</w:t>
      </w:r>
      <w:r w:rsidRPr="00083019">
        <w:rPr>
          <w:rFonts w:ascii="AGaramond" w:hAnsi="AGaramond" w:cs="Times New Roman"/>
          <w:sz w:val="22"/>
          <w:szCs w:val="22"/>
          <w:lang w:val="es-PE"/>
        </w:rPr>
        <w:t xml:space="preserve"> Ciudad de México: INEGI.</w:t>
      </w:r>
    </w:p>
    <w:p w14:paraId="2AF5BECE" w14:textId="63A371DF" w:rsidR="00083019" w:rsidRDefault="00083019" w:rsidP="00083019">
      <w:pPr>
        <w:spacing w:after="240" w:line="360" w:lineRule="auto"/>
        <w:ind w:left="284" w:hanging="284"/>
        <w:jc w:val="both"/>
        <w:rPr>
          <w:rFonts w:ascii="AGaramond" w:hAnsi="AGaramond" w:cs="Times New Roman"/>
          <w:sz w:val="22"/>
          <w:szCs w:val="22"/>
          <w:lang w:val="es-PE"/>
        </w:rPr>
      </w:pPr>
      <w:r w:rsidRPr="00083019">
        <w:rPr>
          <w:rFonts w:ascii="AGaramond" w:hAnsi="AGaramond" w:cs="Times New Roman"/>
          <w:sz w:val="22"/>
          <w:szCs w:val="22"/>
          <w:lang w:val="es-PE"/>
        </w:rPr>
        <w:t xml:space="preserve">Instituto Nacional de Estadística y Geografía (INEGI). (2018). </w:t>
      </w:r>
      <w:r w:rsidRPr="00083019">
        <w:rPr>
          <w:rFonts w:ascii="AGaramond" w:hAnsi="AGaramond" w:cs="Times New Roman"/>
          <w:i/>
          <w:sz w:val="22"/>
          <w:szCs w:val="22"/>
          <w:lang w:val="es-PE"/>
        </w:rPr>
        <w:t>Encuesta Intercensal 2015: marco conceptual</w:t>
      </w:r>
      <w:r w:rsidRPr="00083019">
        <w:rPr>
          <w:rFonts w:ascii="AGaramond" w:hAnsi="AGaramond" w:cs="Times New Roman"/>
          <w:sz w:val="22"/>
          <w:szCs w:val="22"/>
          <w:lang w:val="es-PE"/>
        </w:rPr>
        <w:t>. Ciudad de México: INEGI.</w:t>
      </w:r>
    </w:p>
    <w:p w14:paraId="0E0007EE" w14:textId="205DA57F" w:rsidR="00083019" w:rsidRDefault="00083019" w:rsidP="00083019">
      <w:pPr>
        <w:pStyle w:val="Bibliografa"/>
        <w:spacing w:after="240" w:line="360" w:lineRule="auto"/>
        <w:ind w:left="284" w:hanging="284"/>
        <w:jc w:val="both"/>
        <w:rPr>
          <w:rFonts w:ascii="AGaramond" w:hAnsi="AGaramond" w:cs="Times New Roman"/>
          <w:noProof/>
          <w:lang w:val="es-PE"/>
        </w:rPr>
      </w:pPr>
      <w:r w:rsidRPr="00083019">
        <w:rPr>
          <w:rFonts w:ascii="AGaramond" w:hAnsi="AGaramond" w:cs="Times New Roman"/>
          <w:noProof/>
          <w:lang w:val="es-PE"/>
        </w:rPr>
        <w:t xml:space="preserve">Partida, V. (2013). </w:t>
      </w:r>
      <w:r w:rsidRPr="00083019">
        <w:rPr>
          <w:rFonts w:ascii="AGaramond" w:hAnsi="AGaramond" w:cs="Times New Roman"/>
          <w:i/>
          <w:noProof/>
          <w:lang w:val="es-PE"/>
        </w:rPr>
        <w:t>Notas para un curso de análisis demográfico</w:t>
      </w:r>
      <w:r w:rsidRPr="00083019">
        <w:rPr>
          <w:rFonts w:ascii="AGaramond" w:hAnsi="AGaramond" w:cs="Times New Roman"/>
          <w:noProof/>
          <w:lang w:val="es-PE"/>
        </w:rPr>
        <w:t>. Ciudad de México: Facultad Latinoamericana de Ciencias Sociales (</w:t>
      </w:r>
      <w:r>
        <w:rPr>
          <w:rFonts w:ascii="AGaramond" w:hAnsi="AGaramond" w:cs="Times New Roman"/>
          <w:noProof/>
          <w:lang w:val="es-PE"/>
        </w:rPr>
        <w:t>m</w:t>
      </w:r>
      <w:r w:rsidRPr="00083019">
        <w:rPr>
          <w:rFonts w:ascii="AGaramond" w:hAnsi="AGaramond" w:cs="Times New Roman"/>
          <w:noProof/>
          <w:lang w:val="es-PE"/>
        </w:rPr>
        <w:t>imeografiado).</w:t>
      </w:r>
    </w:p>
    <w:p w14:paraId="21B1BF6C" w14:textId="77777777" w:rsidR="00083019" w:rsidRPr="00083019" w:rsidRDefault="00083019" w:rsidP="00083019">
      <w:pPr>
        <w:pStyle w:val="Bibliografa"/>
        <w:spacing w:after="240" w:line="360" w:lineRule="auto"/>
        <w:ind w:left="284" w:hanging="284"/>
        <w:jc w:val="both"/>
        <w:rPr>
          <w:rFonts w:ascii="AGaramond" w:hAnsi="AGaramond" w:cs="Times New Roman"/>
          <w:noProof/>
          <w:lang w:val="es-PE"/>
        </w:rPr>
      </w:pPr>
      <w:r w:rsidRPr="00083019">
        <w:rPr>
          <w:rFonts w:ascii="AGaramond" w:hAnsi="AGaramond" w:cs="Times New Roman"/>
          <w:noProof/>
          <w:lang w:val="es-PE"/>
        </w:rPr>
        <w:t xml:space="preserve">Partida, V. (2014). </w:t>
      </w:r>
      <w:r w:rsidRPr="00083019">
        <w:rPr>
          <w:rFonts w:ascii="AGaramond" w:hAnsi="AGaramond" w:cs="Times New Roman"/>
          <w:i/>
          <w:noProof/>
          <w:lang w:val="es-PE"/>
        </w:rPr>
        <w:t>Estimación indirecta de la migración interrregional: el caso de México</w:t>
      </w:r>
      <w:r w:rsidRPr="00083019">
        <w:rPr>
          <w:rFonts w:ascii="AGaramond" w:hAnsi="AGaramond" w:cs="Times New Roman"/>
          <w:noProof/>
          <w:lang w:val="es-PE"/>
        </w:rPr>
        <w:t>. Ciudad de México: Facultad Latinoamericana de Ciencias Sociales, Sede México.</w:t>
      </w:r>
    </w:p>
    <w:p w14:paraId="394811D8" w14:textId="293F0627" w:rsidR="00083019" w:rsidRPr="00083019" w:rsidRDefault="00083019" w:rsidP="00083019">
      <w:pPr>
        <w:pStyle w:val="Bibliografa"/>
        <w:spacing w:after="240" w:line="360" w:lineRule="auto"/>
        <w:ind w:left="284" w:hanging="284"/>
        <w:jc w:val="both"/>
        <w:rPr>
          <w:rFonts w:ascii="AGaramond" w:hAnsi="AGaramond" w:cs="Times New Roman"/>
          <w:noProof/>
          <w:lang w:val="es-PE"/>
        </w:rPr>
      </w:pPr>
      <w:r w:rsidRPr="00083019">
        <w:rPr>
          <w:rFonts w:ascii="AGaramond" w:hAnsi="AGaramond" w:cs="Times New Roman"/>
          <w:noProof/>
          <w:lang w:val="es-PE"/>
        </w:rPr>
        <w:t xml:space="preserve">Partida, V. (2015). </w:t>
      </w:r>
      <w:r w:rsidR="00FF5DBB">
        <w:rPr>
          <w:rFonts w:ascii="AGaramond" w:hAnsi="AGaramond" w:cs="Times New Roman"/>
          <w:noProof/>
          <w:lang w:val="es-PE"/>
        </w:rPr>
        <w:t>“</w:t>
      </w:r>
      <w:r w:rsidRPr="00083019">
        <w:rPr>
          <w:rFonts w:ascii="AGaramond" w:hAnsi="AGaramond" w:cs="Times New Roman"/>
          <w:noProof/>
          <w:lang w:val="es-PE"/>
        </w:rPr>
        <w:t>Medición de la migración interna en México a partir de los censos de población de 1990-2010</w:t>
      </w:r>
      <w:r w:rsidR="00FF5DBB">
        <w:rPr>
          <w:rFonts w:ascii="AGaramond" w:hAnsi="AGaramond" w:cs="Times New Roman"/>
          <w:noProof/>
          <w:lang w:val="es-PE"/>
        </w:rPr>
        <w:t>”</w:t>
      </w:r>
      <w:r w:rsidRPr="00083019">
        <w:rPr>
          <w:rFonts w:ascii="AGaramond" w:hAnsi="AGaramond" w:cs="Times New Roman"/>
          <w:noProof/>
          <w:lang w:val="es-PE"/>
        </w:rPr>
        <w:t xml:space="preserve">. En R. Cruz, y F. Acosta, </w:t>
      </w:r>
      <w:r w:rsidRPr="00083019">
        <w:rPr>
          <w:rFonts w:ascii="AGaramond" w:hAnsi="AGaramond" w:cs="Times New Roman"/>
          <w:i/>
          <w:noProof/>
          <w:lang w:val="es-PE"/>
        </w:rPr>
        <w:t>Migración interna en México: tendencias recientes en la movilidad interestatal</w:t>
      </w:r>
      <w:r w:rsidRPr="00083019">
        <w:rPr>
          <w:rFonts w:ascii="AGaramond" w:hAnsi="AGaramond" w:cs="Times New Roman"/>
          <w:noProof/>
          <w:lang w:val="es-PE"/>
        </w:rPr>
        <w:t xml:space="preserve"> (p</w:t>
      </w:r>
      <w:r w:rsidR="009A1606">
        <w:rPr>
          <w:rFonts w:ascii="AGaramond" w:hAnsi="AGaramond" w:cs="Times New Roman"/>
          <w:noProof/>
          <w:lang w:val="es-PE"/>
        </w:rPr>
        <w:t>p</w:t>
      </w:r>
      <w:r w:rsidRPr="00083019">
        <w:rPr>
          <w:rFonts w:ascii="AGaramond" w:hAnsi="AGaramond" w:cs="Times New Roman"/>
          <w:noProof/>
          <w:lang w:val="es-PE"/>
        </w:rPr>
        <w:t xml:space="preserve">. 57-114). Tijuana: El Colegio de la Frontera Norte. </w:t>
      </w:r>
    </w:p>
    <w:p w14:paraId="4113848D" w14:textId="77777777" w:rsidR="00083019" w:rsidRPr="00083019" w:rsidRDefault="00083019" w:rsidP="00083019">
      <w:pPr>
        <w:pStyle w:val="Bibliografa"/>
        <w:spacing w:after="240" w:line="360" w:lineRule="auto"/>
        <w:ind w:left="284" w:hanging="284"/>
        <w:jc w:val="both"/>
        <w:rPr>
          <w:rFonts w:ascii="AGaramond" w:eastAsia="Times New Roman" w:hAnsi="AGaramond"/>
        </w:rPr>
      </w:pPr>
      <w:r w:rsidRPr="00083019">
        <w:rPr>
          <w:rFonts w:ascii="AGaramond" w:eastAsia="Times New Roman" w:hAnsi="AGaramond" w:cs="Times New Roman"/>
        </w:rPr>
        <w:t xml:space="preserve">Serna, T. (2008). </w:t>
      </w:r>
      <w:r w:rsidRPr="00083019">
        <w:rPr>
          <w:rFonts w:ascii="AGaramond" w:eastAsia="Times New Roman" w:hAnsi="AGaramond" w:cs="Times New Roman"/>
          <w:i/>
        </w:rPr>
        <w:t>Migración y selectividad. Estudio comparativo de dos zonas metropolitanas de gran atracción migratoria: Puerto Vallarta y Tijuana. Tesis para optar al grado de Maestra en Población y Desarrollo</w:t>
      </w:r>
      <w:r w:rsidRPr="00083019">
        <w:rPr>
          <w:rFonts w:ascii="AGaramond" w:eastAsia="Times New Roman" w:hAnsi="AGaramond" w:cs="Times New Roman"/>
        </w:rPr>
        <w:t>. Ciudad de México: Facultad Latinoamericana de Ciencias Sociales.</w:t>
      </w:r>
      <w:r w:rsidRPr="00083019">
        <w:rPr>
          <w:rFonts w:ascii="AGaramond" w:eastAsia="Times New Roman" w:hAnsi="AGaramond"/>
        </w:rPr>
        <w:t xml:space="preserve"> </w:t>
      </w:r>
    </w:p>
    <w:p w14:paraId="24D0E5FF" w14:textId="5D187318" w:rsidR="00083019" w:rsidRPr="00083019" w:rsidRDefault="008F7824" w:rsidP="00083019">
      <w:pPr>
        <w:pStyle w:val="Bibliografa"/>
        <w:spacing w:after="240" w:line="360" w:lineRule="auto"/>
        <w:ind w:left="284" w:hanging="284"/>
        <w:jc w:val="both"/>
        <w:rPr>
          <w:rFonts w:ascii="AGaramond" w:hAnsi="AGaramond" w:cs="Times New Roman"/>
          <w:noProof/>
          <w:lang w:val="es-PE"/>
        </w:rPr>
      </w:pPr>
      <w:proofErr w:type="spellStart"/>
      <w:r>
        <w:rPr>
          <w:rFonts w:ascii="AGaramond" w:eastAsia="Times New Roman" w:hAnsi="AGaramond" w:cs="Times New Roman"/>
        </w:rPr>
        <w:lastRenderedPageBreak/>
        <w:t>Sjöberg</w:t>
      </w:r>
      <w:proofErr w:type="spellEnd"/>
      <w:r w:rsidR="00083019" w:rsidRPr="00083019">
        <w:rPr>
          <w:rFonts w:ascii="AGaramond" w:eastAsia="Times New Roman" w:hAnsi="AGaramond" w:cs="Times New Roman"/>
        </w:rPr>
        <w:t xml:space="preserve">, G. (1965). </w:t>
      </w:r>
      <w:r w:rsidR="00FF5DBB">
        <w:rPr>
          <w:rFonts w:ascii="AGaramond" w:eastAsia="Times New Roman" w:hAnsi="AGaramond" w:cs="Times New Roman"/>
        </w:rPr>
        <w:t>“</w:t>
      </w:r>
      <w:r w:rsidR="00083019" w:rsidRPr="00083019">
        <w:rPr>
          <w:rFonts w:ascii="AGaramond" w:eastAsia="Times New Roman" w:hAnsi="AGaramond" w:cs="Times New Roman"/>
        </w:rPr>
        <w:t>Origen y evolución de las ciudades</w:t>
      </w:r>
      <w:r w:rsidR="00FF5DBB">
        <w:rPr>
          <w:rFonts w:ascii="AGaramond" w:eastAsia="Times New Roman" w:hAnsi="AGaramond" w:cs="Times New Roman"/>
        </w:rPr>
        <w:t>”</w:t>
      </w:r>
      <w:r w:rsidR="00083019" w:rsidRPr="00083019">
        <w:rPr>
          <w:rFonts w:ascii="AGaramond" w:eastAsia="Times New Roman" w:hAnsi="AGaramond" w:cs="Times New Roman"/>
        </w:rPr>
        <w:t xml:space="preserve">. En </w:t>
      </w:r>
      <w:r w:rsidR="00D93F60">
        <w:rPr>
          <w:rFonts w:ascii="AGaramond" w:eastAsia="Times New Roman" w:hAnsi="AGaramond" w:cs="Times New Roman"/>
        </w:rPr>
        <w:t>AA. VV</w:t>
      </w:r>
      <w:r w:rsidR="00FE736D">
        <w:rPr>
          <w:rFonts w:ascii="AGaramond" w:eastAsia="Times New Roman" w:hAnsi="AGaramond" w:cs="Times New Roman"/>
        </w:rPr>
        <w:t>.</w:t>
      </w:r>
      <w:r w:rsidR="00083019" w:rsidRPr="00083019">
        <w:rPr>
          <w:rFonts w:ascii="AGaramond" w:eastAsia="Times New Roman" w:hAnsi="AGaramond" w:cs="Times New Roman"/>
        </w:rPr>
        <w:t xml:space="preserve">, </w:t>
      </w:r>
      <w:r w:rsidR="00083019" w:rsidRPr="00083019">
        <w:rPr>
          <w:rFonts w:ascii="AGaramond" w:eastAsia="Times New Roman" w:hAnsi="AGaramond" w:cs="Times New Roman"/>
          <w:i/>
        </w:rPr>
        <w:t xml:space="preserve">La Ciudad </w:t>
      </w:r>
      <w:r w:rsidR="00083019" w:rsidRPr="00083019">
        <w:rPr>
          <w:rFonts w:ascii="AGaramond" w:eastAsia="Times New Roman" w:hAnsi="AGaramond" w:cs="Times New Roman"/>
        </w:rPr>
        <w:t>(p</w:t>
      </w:r>
      <w:r w:rsidR="009A1606">
        <w:rPr>
          <w:rFonts w:ascii="AGaramond" w:eastAsia="Times New Roman" w:hAnsi="AGaramond" w:cs="Times New Roman"/>
        </w:rPr>
        <w:t xml:space="preserve">p. </w:t>
      </w:r>
      <w:r w:rsidR="00083019" w:rsidRPr="00083019">
        <w:rPr>
          <w:rFonts w:ascii="AGaramond" w:eastAsia="Times New Roman" w:hAnsi="AGaramond" w:cs="Times New Roman"/>
        </w:rPr>
        <w:t>37-58). Madrid: Alianza.</w:t>
      </w:r>
    </w:p>
    <w:p w14:paraId="33874181" w14:textId="492AD5BB" w:rsidR="008177DD" w:rsidRDefault="00083019" w:rsidP="009A1606">
      <w:pPr>
        <w:pStyle w:val="Textoindependiente"/>
        <w:spacing w:after="240" w:line="360" w:lineRule="auto"/>
        <w:ind w:left="284" w:hanging="284"/>
        <w:jc w:val="both"/>
        <w:rPr>
          <w:rFonts w:ascii="AGaramond" w:hAnsi="AGaramond" w:cs="Times New Roman"/>
          <w:sz w:val="22"/>
          <w:szCs w:val="22"/>
          <w:lang w:val="es-PE"/>
        </w:rPr>
      </w:pPr>
      <w:r w:rsidRPr="00083019">
        <w:rPr>
          <w:rFonts w:ascii="AGaramond" w:hAnsi="AGaramond" w:cs="Times New Roman"/>
          <w:noProof/>
          <w:sz w:val="22"/>
          <w:szCs w:val="22"/>
          <w:lang w:val="es-PE"/>
        </w:rPr>
        <w:t>Welti</w:t>
      </w:r>
      <w:r w:rsidRPr="00083019">
        <w:rPr>
          <w:rFonts w:ascii="AGaramond" w:hAnsi="AGaramond" w:cs="Times New Roman"/>
          <w:sz w:val="22"/>
          <w:szCs w:val="22"/>
          <w:lang w:val="es-PE"/>
        </w:rPr>
        <w:t xml:space="preserve">, C., Herrera, A., Macías, H., Ramón, E., Rodríguez, J., </w:t>
      </w:r>
      <w:proofErr w:type="spellStart"/>
      <w:r w:rsidRPr="00083019">
        <w:rPr>
          <w:rFonts w:ascii="AGaramond" w:hAnsi="AGaramond" w:cs="Times New Roman"/>
          <w:sz w:val="22"/>
          <w:szCs w:val="22"/>
          <w:lang w:val="es-PE"/>
        </w:rPr>
        <w:t>Chackiel</w:t>
      </w:r>
      <w:proofErr w:type="spellEnd"/>
      <w:r w:rsidRPr="00083019">
        <w:rPr>
          <w:rFonts w:ascii="AGaramond" w:hAnsi="AGaramond" w:cs="Times New Roman"/>
          <w:sz w:val="22"/>
          <w:szCs w:val="22"/>
          <w:lang w:val="es-PE"/>
        </w:rPr>
        <w:t xml:space="preserve">, J., </w:t>
      </w:r>
      <w:r w:rsidR="009A1606">
        <w:rPr>
          <w:rFonts w:ascii="AGaramond" w:hAnsi="AGaramond" w:cs="Times New Roman"/>
          <w:i/>
          <w:iCs/>
          <w:sz w:val="22"/>
          <w:szCs w:val="22"/>
          <w:lang w:val="es-PE"/>
        </w:rPr>
        <w:t>et al.</w:t>
      </w:r>
      <w:r w:rsidRPr="00083019">
        <w:rPr>
          <w:rFonts w:ascii="AGaramond" w:hAnsi="AGaramond" w:cs="Times New Roman"/>
          <w:sz w:val="22"/>
          <w:szCs w:val="22"/>
          <w:lang w:val="es-PE"/>
        </w:rPr>
        <w:t xml:space="preserve"> (1997). </w:t>
      </w:r>
      <w:r w:rsidRPr="00083019">
        <w:rPr>
          <w:rFonts w:ascii="AGaramond" w:hAnsi="AGaramond" w:cs="Times New Roman"/>
          <w:i/>
          <w:sz w:val="22"/>
          <w:szCs w:val="22"/>
          <w:lang w:val="es-PE"/>
        </w:rPr>
        <w:t>Demografía I</w:t>
      </w:r>
      <w:r w:rsidRPr="00083019">
        <w:rPr>
          <w:rFonts w:ascii="AGaramond" w:hAnsi="AGaramond" w:cs="Times New Roman"/>
          <w:sz w:val="22"/>
          <w:szCs w:val="22"/>
          <w:lang w:val="es-PE"/>
        </w:rPr>
        <w:t>. Ciudad de México: Programa Latinoamericano de Actividades en Población (</w:t>
      </w:r>
      <w:proofErr w:type="spellStart"/>
      <w:r w:rsidRPr="00083019">
        <w:rPr>
          <w:rFonts w:ascii="AGaramond" w:hAnsi="AGaramond" w:cs="Times New Roman"/>
          <w:sz w:val="22"/>
          <w:szCs w:val="22"/>
          <w:lang w:val="es-PE"/>
        </w:rPr>
        <w:t>PROLAP</w:t>
      </w:r>
      <w:proofErr w:type="spellEnd"/>
      <w:r w:rsidRPr="00083019">
        <w:rPr>
          <w:rFonts w:ascii="AGaramond" w:hAnsi="AGaramond" w:cs="Times New Roman"/>
          <w:sz w:val="22"/>
          <w:szCs w:val="22"/>
          <w:lang w:val="es-PE"/>
        </w:rPr>
        <w:t>).</w:t>
      </w:r>
      <w:bookmarkEnd w:id="3"/>
    </w:p>
    <w:p w14:paraId="0B564679" w14:textId="77777777" w:rsidR="008177DD" w:rsidRDefault="008177DD">
      <w:pPr>
        <w:rPr>
          <w:rFonts w:ascii="AGaramond" w:hAnsi="AGaramond" w:cs="Times New Roman"/>
          <w:sz w:val="22"/>
          <w:szCs w:val="22"/>
          <w:lang w:val="es-PE"/>
        </w:rPr>
      </w:pPr>
      <w:r>
        <w:rPr>
          <w:rFonts w:ascii="AGaramond" w:hAnsi="AGaramond" w:cs="Times New Roman"/>
          <w:sz w:val="22"/>
          <w:szCs w:val="22"/>
          <w:lang w:val="es-PE"/>
        </w:rPr>
        <w:br w:type="page"/>
      </w:r>
    </w:p>
    <w:p w14:paraId="2C9E2420" w14:textId="613E3F4C" w:rsidR="008177DD" w:rsidRPr="00BE1360" w:rsidRDefault="008177DD" w:rsidP="008177DD">
      <w:pPr>
        <w:spacing w:after="120" w:line="360" w:lineRule="auto"/>
        <w:jc w:val="both"/>
        <w:rPr>
          <w:rFonts w:ascii="AGaramond" w:hAnsi="AGaramond"/>
          <w:b/>
        </w:rPr>
      </w:pPr>
      <w:r w:rsidRPr="00BE1360">
        <w:rPr>
          <w:rFonts w:ascii="AGaramond" w:hAnsi="AGaramond"/>
          <w:b/>
        </w:rPr>
        <w:lastRenderedPageBreak/>
        <w:t>ANEXOS</w:t>
      </w:r>
    </w:p>
    <w:p w14:paraId="49DCA994" w14:textId="77777777" w:rsidR="008177DD" w:rsidRPr="008177DD" w:rsidRDefault="008177DD" w:rsidP="008177DD">
      <w:pPr>
        <w:pStyle w:val="Descripcin"/>
        <w:spacing w:before="126" w:line="360" w:lineRule="auto"/>
        <w:rPr>
          <w:rFonts w:ascii="AGaramond" w:hAnsi="AGaramond"/>
          <w:b w:val="0"/>
          <w:bCs/>
          <w:i/>
          <w:szCs w:val="22"/>
        </w:rPr>
      </w:pPr>
      <w:r w:rsidRPr="008177DD">
        <w:rPr>
          <w:rFonts w:ascii="AGaramond" w:hAnsi="AGaramond"/>
          <w:b w:val="0"/>
          <w:bCs/>
          <w:szCs w:val="22"/>
        </w:rPr>
        <w:t>Cuadro A</w:t>
      </w:r>
      <w:r w:rsidRPr="008177DD">
        <w:rPr>
          <w:rFonts w:ascii="AGaramond" w:hAnsi="AGaramond"/>
          <w:b w:val="0"/>
          <w:bCs/>
          <w:szCs w:val="22"/>
        </w:rPr>
        <w:noBreakHyphen/>
        <w:t>1. Tasas de inmigración, de emigración y de migración neta masculina cohorte-periodo y edad-periodo para Playa del Carmen y el resto del país según edad, 1995-2000</w:t>
      </w:r>
    </w:p>
    <w:p w14:paraId="31627752" w14:textId="77777777" w:rsidR="008177DD" w:rsidRPr="00BE1360" w:rsidRDefault="008177DD" w:rsidP="008177DD">
      <w:pPr>
        <w:jc w:val="center"/>
        <w:rPr>
          <w:rFonts w:ascii="AGaramond" w:hAnsi="AGaramond"/>
          <w:lang w:val="es-PE"/>
        </w:rPr>
      </w:pPr>
      <w:r w:rsidRPr="00BE1360">
        <w:rPr>
          <w:rFonts w:ascii="AGaramond" w:hAnsi="AGaramond"/>
          <w:noProof/>
          <w:lang w:val="es-ES"/>
        </w:rPr>
        <w:drawing>
          <wp:inline distT="0" distB="0" distL="0" distR="0" wp14:anchorId="39AC242D" wp14:editId="1BF4A106">
            <wp:extent cx="5580000" cy="2088000"/>
            <wp:effectExtent l="0" t="0" r="1905" b="7620"/>
            <wp:docPr id="38" name="Imagen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0000" cy="2088000"/>
                    </a:xfrm>
                    <a:prstGeom prst="rect">
                      <a:avLst/>
                    </a:prstGeom>
                    <a:noFill/>
                    <a:ln>
                      <a:noFill/>
                    </a:ln>
                  </pic:spPr>
                </pic:pic>
              </a:graphicData>
            </a:graphic>
          </wp:inline>
        </w:drawing>
      </w:r>
    </w:p>
    <w:p w14:paraId="2988557D" w14:textId="77777777" w:rsidR="008177DD" w:rsidRPr="00BE1360" w:rsidRDefault="008177DD" w:rsidP="008177DD">
      <w:pPr>
        <w:spacing w:after="240" w:line="360" w:lineRule="auto"/>
        <w:rPr>
          <w:rFonts w:ascii="AGaramond" w:eastAsia="Times New Roman" w:hAnsi="AGaramond" w:cs="Times New Roman"/>
          <w:sz w:val="20"/>
          <w:szCs w:val="20"/>
        </w:rPr>
      </w:pPr>
      <w:r w:rsidRPr="00BE1360">
        <w:rPr>
          <w:rFonts w:ascii="AGaramond" w:eastAsia="Times New Roman" w:hAnsi="AGaramond" w:cs="Times New Roman"/>
          <w:sz w:val="20"/>
          <w:szCs w:val="20"/>
        </w:rPr>
        <w:t>Fuente: elaboración propia con base en Cuadro 1.</w:t>
      </w:r>
    </w:p>
    <w:p w14:paraId="6E4467EF" w14:textId="77777777" w:rsidR="008177DD" w:rsidRPr="008177DD" w:rsidRDefault="008177DD" w:rsidP="008177DD">
      <w:pPr>
        <w:pStyle w:val="Descripcin"/>
        <w:spacing w:before="126" w:line="360" w:lineRule="auto"/>
        <w:rPr>
          <w:rFonts w:ascii="AGaramond" w:hAnsi="AGaramond"/>
          <w:b w:val="0"/>
          <w:bCs/>
          <w:i/>
          <w:szCs w:val="22"/>
        </w:rPr>
      </w:pPr>
      <w:r w:rsidRPr="008177DD">
        <w:rPr>
          <w:rFonts w:ascii="AGaramond" w:hAnsi="AGaramond"/>
          <w:b w:val="0"/>
          <w:bCs/>
          <w:szCs w:val="22"/>
        </w:rPr>
        <w:t>Cuadro A</w:t>
      </w:r>
      <w:r w:rsidRPr="008177DD">
        <w:rPr>
          <w:rFonts w:ascii="AGaramond" w:hAnsi="AGaramond"/>
          <w:b w:val="0"/>
          <w:bCs/>
          <w:szCs w:val="22"/>
        </w:rPr>
        <w:noBreakHyphen/>
        <w:t>2. Tasas de inmigración, de emigración y de migración neta femenina cohorte-periodo y edad-periodo para Playa del Carmen y el resto del país según edad, 1995-2000</w:t>
      </w:r>
    </w:p>
    <w:p w14:paraId="51543F9F" w14:textId="77777777" w:rsidR="008177DD" w:rsidRPr="00BE1360" w:rsidRDefault="008177DD" w:rsidP="008177DD">
      <w:pPr>
        <w:jc w:val="center"/>
        <w:rPr>
          <w:rFonts w:ascii="AGaramond" w:hAnsi="AGaramond"/>
        </w:rPr>
      </w:pPr>
      <w:r w:rsidRPr="00BE1360">
        <w:rPr>
          <w:rFonts w:ascii="AGaramond" w:hAnsi="AGaramond"/>
          <w:noProof/>
          <w:lang w:val="es-ES"/>
        </w:rPr>
        <w:drawing>
          <wp:inline distT="0" distB="0" distL="0" distR="0" wp14:anchorId="12D23262" wp14:editId="24E38CDB">
            <wp:extent cx="5580000" cy="2088000"/>
            <wp:effectExtent l="0" t="0" r="1905" b="7620"/>
            <wp:docPr id="41" name="Imagen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0000" cy="2088000"/>
                    </a:xfrm>
                    <a:prstGeom prst="rect">
                      <a:avLst/>
                    </a:prstGeom>
                    <a:noFill/>
                    <a:ln>
                      <a:noFill/>
                    </a:ln>
                  </pic:spPr>
                </pic:pic>
              </a:graphicData>
            </a:graphic>
          </wp:inline>
        </w:drawing>
      </w:r>
    </w:p>
    <w:p w14:paraId="2819A415" w14:textId="77777777" w:rsidR="008177DD" w:rsidRPr="00BE1360" w:rsidRDefault="008177DD" w:rsidP="008177DD">
      <w:pPr>
        <w:spacing w:after="240" w:line="360" w:lineRule="auto"/>
        <w:rPr>
          <w:rFonts w:ascii="AGaramond" w:eastAsia="Times New Roman" w:hAnsi="AGaramond" w:cs="Times New Roman"/>
          <w:sz w:val="20"/>
          <w:szCs w:val="20"/>
        </w:rPr>
      </w:pPr>
      <w:r w:rsidRPr="00BE1360">
        <w:rPr>
          <w:rFonts w:ascii="AGaramond" w:eastAsia="Times New Roman" w:hAnsi="AGaramond" w:cs="Times New Roman"/>
          <w:sz w:val="20"/>
          <w:szCs w:val="20"/>
        </w:rPr>
        <w:t>Fuente: elaboración propia con base en Cuadro 2.</w:t>
      </w:r>
    </w:p>
    <w:p w14:paraId="34FF3199" w14:textId="77777777" w:rsidR="008177DD" w:rsidRDefault="008177DD">
      <w:pPr>
        <w:rPr>
          <w:rFonts w:ascii="AGaramond" w:eastAsia="Times New Roman" w:hAnsi="AGaramond" w:cs="Times New Roman"/>
          <w:b/>
          <w:sz w:val="22"/>
          <w:szCs w:val="22"/>
          <w:lang w:val="es-ES" w:eastAsia="es-ES"/>
        </w:rPr>
      </w:pPr>
      <w:r>
        <w:rPr>
          <w:rFonts w:ascii="AGaramond" w:hAnsi="AGaramond"/>
          <w:szCs w:val="22"/>
        </w:rPr>
        <w:br w:type="page"/>
      </w:r>
    </w:p>
    <w:p w14:paraId="7AB893FD" w14:textId="4EABEF11" w:rsidR="008177DD" w:rsidRPr="008177DD" w:rsidRDefault="008177DD" w:rsidP="008177DD">
      <w:pPr>
        <w:pStyle w:val="Descripcin"/>
        <w:spacing w:before="126" w:line="360" w:lineRule="auto"/>
        <w:rPr>
          <w:rFonts w:ascii="AGaramond" w:hAnsi="AGaramond"/>
          <w:b w:val="0"/>
          <w:bCs/>
          <w:i/>
          <w:szCs w:val="22"/>
        </w:rPr>
      </w:pPr>
      <w:r w:rsidRPr="008177DD">
        <w:rPr>
          <w:rFonts w:ascii="AGaramond" w:hAnsi="AGaramond"/>
          <w:b w:val="0"/>
          <w:bCs/>
          <w:szCs w:val="22"/>
        </w:rPr>
        <w:lastRenderedPageBreak/>
        <w:t>Cuadro A</w:t>
      </w:r>
      <w:r w:rsidRPr="008177DD">
        <w:rPr>
          <w:rFonts w:ascii="AGaramond" w:hAnsi="AGaramond"/>
          <w:b w:val="0"/>
          <w:bCs/>
          <w:szCs w:val="22"/>
        </w:rPr>
        <w:noBreakHyphen/>
        <w:t>3. Tasas de inmigración, de emigración y de migración neta cohorte-periodo y edad-periodo para Playa del Carmen y el resto del país según edad, 1995-2000</w:t>
      </w:r>
    </w:p>
    <w:p w14:paraId="1612535D" w14:textId="77777777" w:rsidR="008177DD" w:rsidRPr="00BE1360" w:rsidRDefault="008177DD" w:rsidP="008177DD">
      <w:pPr>
        <w:jc w:val="center"/>
        <w:rPr>
          <w:rFonts w:ascii="AGaramond" w:eastAsia="Times New Roman" w:hAnsi="AGaramond" w:cs="Times New Roman"/>
          <w:sz w:val="20"/>
          <w:szCs w:val="20"/>
        </w:rPr>
      </w:pPr>
      <w:r w:rsidRPr="00BE1360">
        <w:rPr>
          <w:rFonts w:ascii="AGaramond" w:hAnsi="AGaramond"/>
          <w:noProof/>
          <w:lang w:val="es-ES"/>
        </w:rPr>
        <w:drawing>
          <wp:inline distT="0" distB="0" distL="0" distR="0" wp14:anchorId="489F6A53" wp14:editId="26BED7E8">
            <wp:extent cx="5580000" cy="2088000"/>
            <wp:effectExtent l="0" t="0" r="1905" b="7620"/>
            <wp:docPr id="42" name="Imagen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0000" cy="2088000"/>
                    </a:xfrm>
                    <a:prstGeom prst="rect">
                      <a:avLst/>
                    </a:prstGeom>
                    <a:noFill/>
                    <a:ln>
                      <a:noFill/>
                    </a:ln>
                  </pic:spPr>
                </pic:pic>
              </a:graphicData>
            </a:graphic>
          </wp:inline>
        </w:drawing>
      </w:r>
    </w:p>
    <w:p w14:paraId="5814D367" w14:textId="77777777" w:rsidR="008177DD" w:rsidRPr="00BE1360" w:rsidRDefault="008177DD" w:rsidP="008177DD">
      <w:pPr>
        <w:spacing w:after="240" w:line="360" w:lineRule="auto"/>
        <w:rPr>
          <w:rFonts w:ascii="AGaramond" w:eastAsia="Times New Roman" w:hAnsi="AGaramond" w:cs="Times New Roman"/>
          <w:sz w:val="20"/>
          <w:szCs w:val="20"/>
        </w:rPr>
      </w:pPr>
      <w:r w:rsidRPr="00BE1360">
        <w:rPr>
          <w:rFonts w:ascii="AGaramond" w:eastAsia="Times New Roman" w:hAnsi="AGaramond" w:cs="Times New Roman"/>
          <w:sz w:val="20"/>
          <w:szCs w:val="20"/>
        </w:rPr>
        <w:t>Fuente: elaboración propia con base en Cuadro 3.</w:t>
      </w:r>
    </w:p>
    <w:p w14:paraId="31FEEE3C" w14:textId="77777777" w:rsidR="008177DD" w:rsidRPr="008177DD" w:rsidRDefault="008177DD" w:rsidP="008177DD">
      <w:pPr>
        <w:spacing w:line="360" w:lineRule="auto"/>
        <w:jc w:val="center"/>
        <w:rPr>
          <w:rFonts w:ascii="AGaramond" w:hAnsi="AGaramond" w:cs="Times New Roman"/>
          <w:sz w:val="22"/>
          <w:szCs w:val="22"/>
        </w:rPr>
      </w:pPr>
      <w:r w:rsidRPr="008177DD">
        <w:rPr>
          <w:rFonts w:ascii="AGaramond" w:hAnsi="AGaramond" w:cs="Times New Roman"/>
          <w:sz w:val="22"/>
          <w:szCs w:val="22"/>
        </w:rPr>
        <w:t>Cuadro A</w:t>
      </w:r>
      <w:r w:rsidRPr="008177DD">
        <w:rPr>
          <w:rFonts w:ascii="AGaramond" w:hAnsi="AGaramond" w:cs="Times New Roman"/>
          <w:sz w:val="22"/>
          <w:szCs w:val="22"/>
        </w:rPr>
        <w:noBreakHyphen/>
        <w:t>4. Tasas de inmigración, de emigración y de migración neta masculina cohorte-periodo y edad-periodo para Playa del Carmen y el resto del país según edad, 2005-2010</w:t>
      </w:r>
    </w:p>
    <w:p w14:paraId="1C064925" w14:textId="77777777" w:rsidR="008177DD" w:rsidRPr="00BE1360" w:rsidRDefault="008177DD" w:rsidP="008177DD">
      <w:pPr>
        <w:jc w:val="center"/>
        <w:rPr>
          <w:rFonts w:ascii="AGaramond" w:hAnsi="AGaramond"/>
        </w:rPr>
      </w:pPr>
      <w:r w:rsidRPr="00BE1360">
        <w:rPr>
          <w:rFonts w:ascii="AGaramond" w:hAnsi="AGaramond"/>
          <w:noProof/>
          <w:lang w:val="es-ES"/>
        </w:rPr>
        <w:drawing>
          <wp:inline distT="0" distB="0" distL="0" distR="0" wp14:anchorId="026DAC63" wp14:editId="447B01EB">
            <wp:extent cx="5580000" cy="2160000"/>
            <wp:effectExtent l="0" t="0" r="1905" b="0"/>
            <wp:docPr id="54" name="Imagen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0000" cy="2160000"/>
                    </a:xfrm>
                    <a:prstGeom prst="rect">
                      <a:avLst/>
                    </a:prstGeom>
                    <a:noFill/>
                    <a:ln>
                      <a:noFill/>
                    </a:ln>
                  </pic:spPr>
                </pic:pic>
              </a:graphicData>
            </a:graphic>
          </wp:inline>
        </w:drawing>
      </w:r>
    </w:p>
    <w:p w14:paraId="3830BFA6" w14:textId="38AA1143" w:rsidR="008177DD" w:rsidRDefault="008177DD" w:rsidP="008177DD">
      <w:pPr>
        <w:rPr>
          <w:rFonts w:ascii="AGaramond" w:eastAsia="Times New Roman" w:hAnsi="AGaramond" w:cs="Times New Roman"/>
          <w:sz w:val="20"/>
          <w:szCs w:val="20"/>
        </w:rPr>
      </w:pPr>
      <w:r w:rsidRPr="00BE1360">
        <w:rPr>
          <w:rFonts w:ascii="AGaramond" w:eastAsia="Times New Roman" w:hAnsi="AGaramond" w:cs="Times New Roman"/>
          <w:sz w:val="20"/>
          <w:szCs w:val="20"/>
        </w:rPr>
        <w:t>Fuente: elaboración propia con base en Cuadro 4.</w:t>
      </w:r>
    </w:p>
    <w:p w14:paraId="6F65185F" w14:textId="77777777" w:rsidR="008177DD" w:rsidRDefault="008177DD">
      <w:pPr>
        <w:rPr>
          <w:rFonts w:ascii="AGaramond" w:eastAsia="Times New Roman" w:hAnsi="AGaramond" w:cs="Times New Roman"/>
          <w:sz w:val="20"/>
          <w:szCs w:val="20"/>
        </w:rPr>
      </w:pPr>
      <w:r>
        <w:rPr>
          <w:rFonts w:ascii="AGaramond" w:eastAsia="Times New Roman" w:hAnsi="AGaramond" w:cs="Times New Roman"/>
          <w:sz w:val="20"/>
          <w:szCs w:val="20"/>
        </w:rPr>
        <w:br w:type="page"/>
      </w:r>
    </w:p>
    <w:p w14:paraId="72D035BA" w14:textId="77777777" w:rsidR="008177DD" w:rsidRPr="00BE1360" w:rsidRDefault="008177DD" w:rsidP="008177DD">
      <w:pPr>
        <w:rPr>
          <w:rFonts w:ascii="AGaramond" w:eastAsia="Times New Roman" w:hAnsi="AGaramond" w:cs="Times New Roman"/>
          <w:sz w:val="20"/>
          <w:szCs w:val="20"/>
        </w:rPr>
      </w:pPr>
    </w:p>
    <w:p w14:paraId="4135076A" w14:textId="77777777" w:rsidR="008177DD" w:rsidRPr="008177DD" w:rsidRDefault="008177DD" w:rsidP="008177DD">
      <w:pPr>
        <w:pStyle w:val="Descripcin"/>
        <w:spacing w:before="126" w:line="360" w:lineRule="auto"/>
        <w:rPr>
          <w:rFonts w:ascii="AGaramond" w:hAnsi="AGaramond"/>
          <w:b w:val="0"/>
          <w:bCs/>
          <w:i/>
          <w:szCs w:val="22"/>
        </w:rPr>
      </w:pPr>
      <w:r w:rsidRPr="008177DD">
        <w:rPr>
          <w:rFonts w:ascii="AGaramond" w:hAnsi="AGaramond"/>
          <w:b w:val="0"/>
          <w:bCs/>
          <w:szCs w:val="22"/>
        </w:rPr>
        <w:t>Cuadro A</w:t>
      </w:r>
      <w:r w:rsidRPr="008177DD">
        <w:rPr>
          <w:rFonts w:ascii="AGaramond" w:hAnsi="AGaramond"/>
          <w:b w:val="0"/>
          <w:bCs/>
          <w:szCs w:val="22"/>
        </w:rPr>
        <w:noBreakHyphen/>
        <w:t>5. Tasas de inmigración, de emigración y de migración neta femenina cohorte-periodo y edad-periodo para Playa del Carmen y el resto del país según edad, 2005-2010</w:t>
      </w:r>
    </w:p>
    <w:p w14:paraId="2A6A4B9F" w14:textId="77777777" w:rsidR="008177DD" w:rsidRPr="00BE1360" w:rsidRDefault="008177DD" w:rsidP="008177DD">
      <w:pPr>
        <w:jc w:val="center"/>
        <w:rPr>
          <w:rFonts w:ascii="AGaramond" w:hAnsi="AGaramond"/>
        </w:rPr>
      </w:pPr>
      <w:r w:rsidRPr="00BE1360">
        <w:rPr>
          <w:rFonts w:ascii="AGaramond" w:hAnsi="AGaramond"/>
          <w:noProof/>
          <w:lang w:val="es-ES"/>
        </w:rPr>
        <w:drawing>
          <wp:inline distT="0" distB="0" distL="0" distR="0" wp14:anchorId="3E0577CE" wp14:editId="72D1E5BC">
            <wp:extent cx="5580000" cy="2160000"/>
            <wp:effectExtent l="0" t="0" r="1905" b="0"/>
            <wp:docPr id="55" name="Imagen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0000" cy="2160000"/>
                    </a:xfrm>
                    <a:prstGeom prst="rect">
                      <a:avLst/>
                    </a:prstGeom>
                    <a:noFill/>
                    <a:ln>
                      <a:noFill/>
                    </a:ln>
                  </pic:spPr>
                </pic:pic>
              </a:graphicData>
            </a:graphic>
          </wp:inline>
        </w:drawing>
      </w:r>
    </w:p>
    <w:p w14:paraId="4AE3CBA2" w14:textId="77777777" w:rsidR="008177DD" w:rsidRPr="00BE1360" w:rsidRDefault="008177DD" w:rsidP="008177DD">
      <w:pPr>
        <w:spacing w:after="240" w:line="360" w:lineRule="auto"/>
        <w:rPr>
          <w:rFonts w:ascii="AGaramond" w:eastAsia="Times New Roman" w:hAnsi="AGaramond" w:cs="Times New Roman"/>
          <w:sz w:val="20"/>
          <w:szCs w:val="20"/>
        </w:rPr>
      </w:pPr>
      <w:r w:rsidRPr="00BE1360">
        <w:rPr>
          <w:rFonts w:ascii="AGaramond" w:eastAsia="Times New Roman" w:hAnsi="AGaramond" w:cs="Times New Roman"/>
          <w:sz w:val="20"/>
          <w:szCs w:val="20"/>
        </w:rPr>
        <w:t>Fuente: elaboración propia con base en Cuadro 5.</w:t>
      </w:r>
    </w:p>
    <w:p w14:paraId="2007DA86" w14:textId="77777777" w:rsidR="008177DD" w:rsidRPr="008177DD" w:rsidRDefault="008177DD" w:rsidP="008177DD">
      <w:pPr>
        <w:pStyle w:val="Descripcin"/>
        <w:spacing w:before="126" w:line="360" w:lineRule="auto"/>
        <w:rPr>
          <w:rFonts w:ascii="AGaramond" w:hAnsi="AGaramond"/>
          <w:b w:val="0"/>
          <w:bCs/>
          <w:i/>
          <w:szCs w:val="22"/>
        </w:rPr>
      </w:pPr>
      <w:r w:rsidRPr="008177DD">
        <w:rPr>
          <w:rFonts w:ascii="AGaramond" w:hAnsi="AGaramond"/>
          <w:b w:val="0"/>
          <w:bCs/>
          <w:szCs w:val="22"/>
        </w:rPr>
        <w:t>Cuadro A</w:t>
      </w:r>
      <w:r w:rsidRPr="008177DD">
        <w:rPr>
          <w:rFonts w:ascii="AGaramond" w:hAnsi="AGaramond"/>
          <w:b w:val="0"/>
          <w:bCs/>
          <w:szCs w:val="22"/>
        </w:rPr>
        <w:noBreakHyphen/>
        <w:t>6. Tasas de inmigración, de emigración y de migración neta cohorte-periodo y edad-periodo para Playa del Carmen y el resto del país según edad, 2005-2010</w:t>
      </w:r>
    </w:p>
    <w:p w14:paraId="685703E5" w14:textId="77777777" w:rsidR="008177DD" w:rsidRPr="00BE1360" w:rsidRDefault="008177DD" w:rsidP="008177DD">
      <w:pPr>
        <w:jc w:val="center"/>
        <w:rPr>
          <w:rFonts w:ascii="AGaramond" w:eastAsia="Times New Roman" w:hAnsi="AGaramond" w:cs="Times New Roman"/>
          <w:sz w:val="20"/>
          <w:szCs w:val="20"/>
        </w:rPr>
      </w:pPr>
      <w:r w:rsidRPr="00BE1360">
        <w:rPr>
          <w:rFonts w:ascii="AGaramond" w:hAnsi="AGaramond"/>
          <w:noProof/>
          <w:lang w:val="es-ES"/>
        </w:rPr>
        <w:drawing>
          <wp:inline distT="0" distB="0" distL="0" distR="0" wp14:anchorId="79675D92" wp14:editId="0D7DA90C">
            <wp:extent cx="5580000" cy="2160000"/>
            <wp:effectExtent l="0" t="0" r="1905" b="0"/>
            <wp:docPr id="56" name="Imagen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0000" cy="2160000"/>
                    </a:xfrm>
                    <a:prstGeom prst="rect">
                      <a:avLst/>
                    </a:prstGeom>
                    <a:noFill/>
                    <a:ln>
                      <a:noFill/>
                    </a:ln>
                  </pic:spPr>
                </pic:pic>
              </a:graphicData>
            </a:graphic>
          </wp:inline>
        </w:drawing>
      </w:r>
    </w:p>
    <w:p w14:paraId="6D3D5163" w14:textId="79699D03" w:rsidR="008177DD" w:rsidRDefault="008177DD" w:rsidP="008177DD">
      <w:pPr>
        <w:spacing w:after="240" w:line="360" w:lineRule="auto"/>
        <w:rPr>
          <w:rFonts w:ascii="AGaramond" w:eastAsia="Times New Roman" w:hAnsi="AGaramond" w:cs="Times New Roman"/>
          <w:sz w:val="20"/>
          <w:szCs w:val="20"/>
        </w:rPr>
      </w:pPr>
      <w:r w:rsidRPr="00BE1360">
        <w:rPr>
          <w:rFonts w:ascii="AGaramond" w:eastAsia="Times New Roman" w:hAnsi="AGaramond" w:cs="Times New Roman"/>
          <w:sz w:val="20"/>
          <w:szCs w:val="20"/>
        </w:rPr>
        <w:t>Fuente: elaboración propia con base en Cuadro 6.</w:t>
      </w:r>
    </w:p>
    <w:p w14:paraId="63B96536" w14:textId="77777777" w:rsidR="008177DD" w:rsidRDefault="008177DD">
      <w:pPr>
        <w:rPr>
          <w:rFonts w:ascii="AGaramond" w:eastAsia="Times New Roman" w:hAnsi="AGaramond" w:cs="Times New Roman"/>
          <w:sz w:val="20"/>
          <w:szCs w:val="20"/>
        </w:rPr>
      </w:pPr>
      <w:r>
        <w:rPr>
          <w:rFonts w:ascii="AGaramond" w:eastAsia="Times New Roman" w:hAnsi="AGaramond" w:cs="Times New Roman"/>
          <w:sz w:val="20"/>
          <w:szCs w:val="20"/>
        </w:rPr>
        <w:br w:type="page"/>
      </w:r>
    </w:p>
    <w:p w14:paraId="64684410" w14:textId="77777777" w:rsidR="008177DD" w:rsidRPr="00233FE6" w:rsidRDefault="008177DD" w:rsidP="00233FE6">
      <w:pPr>
        <w:spacing w:line="360" w:lineRule="auto"/>
        <w:jc w:val="center"/>
        <w:rPr>
          <w:rFonts w:ascii="AGaramond" w:hAnsi="AGaramond" w:cs="Times New Roman"/>
          <w:sz w:val="22"/>
          <w:szCs w:val="22"/>
        </w:rPr>
      </w:pPr>
      <w:r w:rsidRPr="00233FE6">
        <w:rPr>
          <w:rFonts w:ascii="AGaramond" w:hAnsi="AGaramond" w:cs="Times New Roman"/>
          <w:sz w:val="22"/>
          <w:szCs w:val="22"/>
        </w:rPr>
        <w:lastRenderedPageBreak/>
        <w:t>Cuadro A</w:t>
      </w:r>
      <w:r w:rsidRPr="00233FE6">
        <w:rPr>
          <w:rFonts w:ascii="AGaramond" w:hAnsi="AGaramond" w:cs="Times New Roman"/>
          <w:sz w:val="22"/>
          <w:szCs w:val="22"/>
        </w:rPr>
        <w:noBreakHyphen/>
        <w:t>7. Tasas de inmigración, de emigración y de migración neta masculina cohorte-periodo y edad-periodo para Playa del Carmen y el resto del país según edad, 2010-2015</w:t>
      </w:r>
    </w:p>
    <w:p w14:paraId="0F0818D2" w14:textId="77777777" w:rsidR="008177DD" w:rsidRPr="00BE1360" w:rsidRDefault="008177DD" w:rsidP="00233FE6">
      <w:pPr>
        <w:jc w:val="center"/>
        <w:rPr>
          <w:rFonts w:ascii="AGaramond" w:hAnsi="AGaramond"/>
          <w:lang w:val="es-PE"/>
        </w:rPr>
      </w:pPr>
      <w:r w:rsidRPr="00BE1360">
        <w:rPr>
          <w:rFonts w:ascii="AGaramond" w:hAnsi="AGaramond"/>
          <w:noProof/>
          <w:lang w:val="es-ES"/>
        </w:rPr>
        <w:drawing>
          <wp:inline distT="0" distB="0" distL="0" distR="0" wp14:anchorId="28CAE057" wp14:editId="0A0D3F2D">
            <wp:extent cx="5580000" cy="2160000"/>
            <wp:effectExtent l="0" t="0" r="1905" b="0"/>
            <wp:docPr id="57" name="Imagen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80000" cy="2160000"/>
                    </a:xfrm>
                    <a:prstGeom prst="rect">
                      <a:avLst/>
                    </a:prstGeom>
                    <a:noFill/>
                    <a:ln>
                      <a:noFill/>
                    </a:ln>
                  </pic:spPr>
                </pic:pic>
              </a:graphicData>
            </a:graphic>
          </wp:inline>
        </w:drawing>
      </w:r>
    </w:p>
    <w:p w14:paraId="44ACDF32" w14:textId="77777777" w:rsidR="008177DD" w:rsidRPr="00BE1360" w:rsidRDefault="008177DD" w:rsidP="00233FE6">
      <w:pPr>
        <w:spacing w:after="240" w:line="360" w:lineRule="auto"/>
        <w:rPr>
          <w:rFonts w:ascii="AGaramond" w:eastAsia="Times New Roman" w:hAnsi="AGaramond" w:cs="Times New Roman"/>
          <w:sz w:val="20"/>
          <w:szCs w:val="20"/>
        </w:rPr>
      </w:pPr>
      <w:r w:rsidRPr="00BE1360">
        <w:rPr>
          <w:rFonts w:ascii="AGaramond" w:eastAsia="Times New Roman" w:hAnsi="AGaramond" w:cs="Times New Roman"/>
          <w:sz w:val="20"/>
          <w:szCs w:val="20"/>
        </w:rPr>
        <w:t>Fuente: elaboración propia con base en Cuadro 7.</w:t>
      </w:r>
    </w:p>
    <w:p w14:paraId="36FB4FC4" w14:textId="77777777" w:rsidR="008177DD" w:rsidRPr="00233FE6" w:rsidRDefault="008177DD" w:rsidP="00233FE6">
      <w:pPr>
        <w:pStyle w:val="Descripcin"/>
        <w:spacing w:before="126" w:line="360" w:lineRule="auto"/>
        <w:rPr>
          <w:rFonts w:ascii="AGaramond" w:hAnsi="AGaramond"/>
          <w:b w:val="0"/>
          <w:bCs/>
          <w:i/>
          <w:szCs w:val="22"/>
        </w:rPr>
      </w:pPr>
      <w:r w:rsidRPr="00233FE6">
        <w:rPr>
          <w:rFonts w:ascii="AGaramond" w:hAnsi="AGaramond"/>
          <w:b w:val="0"/>
          <w:bCs/>
          <w:szCs w:val="22"/>
        </w:rPr>
        <w:t>Cuadro A</w:t>
      </w:r>
      <w:r w:rsidRPr="00233FE6">
        <w:rPr>
          <w:rFonts w:ascii="AGaramond" w:hAnsi="AGaramond"/>
          <w:b w:val="0"/>
          <w:bCs/>
          <w:szCs w:val="22"/>
        </w:rPr>
        <w:noBreakHyphen/>
        <w:t>8. Tasas de inmigración, de emigración y de migración neta femenina cohorte-periodo y edad-periodo para Playa del Carmen y el resto del país según edad, 2010-2015</w:t>
      </w:r>
    </w:p>
    <w:p w14:paraId="622FDA6F" w14:textId="77777777" w:rsidR="008177DD" w:rsidRPr="00BE1360" w:rsidRDefault="008177DD" w:rsidP="00233FE6">
      <w:pPr>
        <w:jc w:val="center"/>
        <w:rPr>
          <w:rFonts w:ascii="AGaramond" w:hAnsi="AGaramond"/>
        </w:rPr>
      </w:pPr>
      <w:r w:rsidRPr="00BE1360">
        <w:rPr>
          <w:rFonts w:ascii="AGaramond" w:hAnsi="AGaramond"/>
          <w:noProof/>
          <w:lang w:val="es-ES"/>
        </w:rPr>
        <w:drawing>
          <wp:inline distT="0" distB="0" distL="0" distR="0" wp14:anchorId="393D6575" wp14:editId="036A179E">
            <wp:extent cx="5580000" cy="2160000"/>
            <wp:effectExtent l="0" t="0" r="1905" b="0"/>
            <wp:docPr id="58" name="Imagen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0000" cy="2160000"/>
                    </a:xfrm>
                    <a:prstGeom prst="rect">
                      <a:avLst/>
                    </a:prstGeom>
                    <a:noFill/>
                    <a:ln>
                      <a:noFill/>
                    </a:ln>
                  </pic:spPr>
                </pic:pic>
              </a:graphicData>
            </a:graphic>
          </wp:inline>
        </w:drawing>
      </w:r>
    </w:p>
    <w:p w14:paraId="60DBB20F" w14:textId="77777777" w:rsidR="008177DD" w:rsidRPr="00BE1360" w:rsidRDefault="008177DD" w:rsidP="00233FE6">
      <w:pPr>
        <w:spacing w:after="240" w:line="360" w:lineRule="auto"/>
        <w:rPr>
          <w:rFonts w:ascii="AGaramond" w:eastAsia="Times New Roman" w:hAnsi="AGaramond" w:cs="Times New Roman"/>
          <w:sz w:val="20"/>
          <w:szCs w:val="20"/>
        </w:rPr>
      </w:pPr>
      <w:r w:rsidRPr="00BE1360">
        <w:rPr>
          <w:rFonts w:ascii="AGaramond" w:eastAsia="Times New Roman" w:hAnsi="AGaramond" w:cs="Times New Roman"/>
          <w:sz w:val="20"/>
          <w:szCs w:val="20"/>
        </w:rPr>
        <w:t>Fuente: elaboración propia con base en Cuadro 8.</w:t>
      </w:r>
    </w:p>
    <w:p w14:paraId="0F7A1195" w14:textId="77777777" w:rsidR="00233FE6" w:rsidRDefault="00233FE6">
      <w:pPr>
        <w:rPr>
          <w:rFonts w:ascii="AGaramond" w:eastAsia="Times New Roman" w:hAnsi="AGaramond" w:cs="Times New Roman"/>
          <w:b/>
          <w:sz w:val="22"/>
          <w:szCs w:val="22"/>
          <w:lang w:val="es-ES" w:eastAsia="es-ES"/>
        </w:rPr>
      </w:pPr>
      <w:r>
        <w:rPr>
          <w:rFonts w:ascii="AGaramond" w:hAnsi="AGaramond"/>
          <w:szCs w:val="22"/>
        </w:rPr>
        <w:br w:type="page"/>
      </w:r>
    </w:p>
    <w:p w14:paraId="674ACC34" w14:textId="4E00CB0A" w:rsidR="008177DD" w:rsidRPr="00233FE6" w:rsidRDefault="008177DD" w:rsidP="00233FE6">
      <w:pPr>
        <w:pStyle w:val="Descripcin"/>
        <w:spacing w:before="126" w:line="360" w:lineRule="auto"/>
        <w:rPr>
          <w:rFonts w:ascii="AGaramond" w:hAnsi="AGaramond"/>
          <w:b w:val="0"/>
          <w:bCs/>
          <w:i/>
          <w:szCs w:val="22"/>
        </w:rPr>
      </w:pPr>
      <w:r w:rsidRPr="00233FE6">
        <w:rPr>
          <w:rFonts w:ascii="AGaramond" w:hAnsi="AGaramond"/>
          <w:b w:val="0"/>
          <w:bCs/>
          <w:szCs w:val="22"/>
        </w:rPr>
        <w:lastRenderedPageBreak/>
        <w:t>Cuadro A 9. Tasas de inmigración, de emigración y de migración neta masculina cohorte-periodo y edad-periodo para Playa del Carmen y el resto del país según edad, 2010-2015</w:t>
      </w:r>
    </w:p>
    <w:p w14:paraId="3B88D02A" w14:textId="77777777" w:rsidR="008177DD" w:rsidRPr="00BE1360" w:rsidRDefault="008177DD" w:rsidP="00233FE6">
      <w:pPr>
        <w:jc w:val="center"/>
        <w:rPr>
          <w:rFonts w:ascii="AGaramond" w:eastAsia="Times New Roman" w:hAnsi="AGaramond" w:cs="Times New Roman"/>
          <w:sz w:val="20"/>
          <w:szCs w:val="20"/>
        </w:rPr>
      </w:pPr>
      <w:r w:rsidRPr="00BE1360">
        <w:rPr>
          <w:rFonts w:ascii="AGaramond" w:hAnsi="AGaramond"/>
          <w:noProof/>
          <w:lang w:val="es-ES"/>
        </w:rPr>
        <w:drawing>
          <wp:inline distT="0" distB="0" distL="0" distR="0" wp14:anchorId="1818C146" wp14:editId="08BB48BD">
            <wp:extent cx="5580000" cy="2160000"/>
            <wp:effectExtent l="0" t="0" r="1905" b="0"/>
            <wp:docPr id="59" name="Imagen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0000" cy="2160000"/>
                    </a:xfrm>
                    <a:prstGeom prst="rect">
                      <a:avLst/>
                    </a:prstGeom>
                    <a:noFill/>
                    <a:ln>
                      <a:noFill/>
                    </a:ln>
                  </pic:spPr>
                </pic:pic>
              </a:graphicData>
            </a:graphic>
          </wp:inline>
        </w:drawing>
      </w:r>
    </w:p>
    <w:p w14:paraId="0AA6BCF8" w14:textId="77777777" w:rsidR="008177DD" w:rsidRPr="00BE1360" w:rsidRDefault="008177DD" w:rsidP="008177DD">
      <w:pPr>
        <w:rPr>
          <w:rFonts w:ascii="AGaramond" w:eastAsia="Times New Roman" w:hAnsi="AGaramond" w:cs="Times New Roman"/>
          <w:sz w:val="20"/>
          <w:szCs w:val="20"/>
        </w:rPr>
      </w:pPr>
      <w:r w:rsidRPr="00BE1360">
        <w:rPr>
          <w:rFonts w:ascii="AGaramond" w:eastAsia="Times New Roman" w:hAnsi="AGaramond" w:cs="Times New Roman"/>
          <w:sz w:val="20"/>
          <w:szCs w:val="20"/>
        </w:rPr>
        <w:t>Fuente: elaboración propia con base en Cuadro 9.</w:t>
      </w:r>
    </w:p>
    <w:p w14:paraId="3DD901E7" w14:textId="77777777" w:rsidR="00D35101" w:rsidRPr="008177DD" w:rsidRDefault="00D35101" w:rsidP="009A1606">
      <w:pPr>
        <w:pStyle w:val="Textoindependiente"/>
        <w:spacing w:after="240" w:line="360" w:lineRule="auto"/>
        <w:ind w:left="284" w:hanging="284"/>
        <w:jc w:val="both"/>
        <w:rPr>
          <w:rFonts w:ascii="AGaramond" w:hAnsi="AGaramond" w:cs="Arial"/>
          <w:sz w:val="22"/>
          <w:szCs w:val="22"/>
        </w:rPr>
      </w:pPr>
    </w:p>
    <w:p w14:paraId="186DD70D" w14:textId="4BE6D513" w:rsidR="008557D5" w:rsidRPr="00083019" w:rsidRDefault="008557D5" w:rsidP="00937DC4">
      <w:pPr>
        <w:spacing w:line="360" w:lineRule="auto"/>
        <w:jc w:val="both"/>
        <w:rPr>
          <w:rFonts w:ascii="AGaramond" w:hAnsi="AGaramond"/>
        </w:rPr>
      </w:pPr>
    </w:p>
    <w:sectPr w:rsidR="008557D5" w:rsidRPr="00083019" w:rsidSect="004B7824">
      <w:headerReference w:type="default" r:id="rId36"/>
      <w:footerReference w:type="even" r:id="rId37"/>
      <w:footerReference w:type="default" r:id="rId38"/>
      <w:headerReference w:type="first" r:id="rId39"/>
      <w:footerReference w:type="first" r:id="rId40"/>
      <w:pgSz w:w="12240" w:h="15840"/>
      <w:pgMar w:top="713" w:right="1041" w:bottom="1417" w:left="1275" w:header="713" w:footer="708" w:gutter="0"/>
      <w:pgNumType w:start="3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3AD06" w14:textId="77777777" w:rsidR="009E24D1" w:rsidRDefault="009E24D1" w:rsidP="00DD28DE">
      <w:r>
        <w:separator/>
      </w:r>
    </w:p>
  </w:endnote>
  <w:endnote w:type="continuationSeparator" w:id="0">
    <w:p w14:paraId="75201E35" w14:textId="77777777" w:rsidR="009E24D1" w:rsidRDefault="009E24D1" w:rsidP="00DD2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Garamond">
    <w:panose1 w:val="02020500000000000000"/>
    <w:charset w:val="00"/>
    <w:family w:val="roman"/>
    <w:notTrueType/>
    <w:pitch w:val="variable"/>
    <w:sig w:usb0="800000AF" w:usb1="4000004A" w:usb2="00000000" w:usb3="00000000" w:csb0="00000001" w:csb1="00000000"/>
  </w:font>
  <w:font w:name="Adobe Garamond Pro">
    <w:altName w:val="Georgia"/>
    <w:panose1 w:val="00000000000000000000"/>
    <w:charset w:val="00"/>
    <w:family w:val="roman"/>
    <w:notTrueType/>
    <w:pitch w:val="variable"/>
    <w:sig w:usb0="00000007" w:usb1="00000001" w:usb2="00000000" w:usb3="00000000" w:csb0="00000093" w:csb1="00000000"/>
  </w:font>
  <w:font w:name="Times">
    <w:panose1 w:val="02020603050405020304"/>
    <w:charset w:val="00"/>
    <w:family w:val="roman"/>
    <w:pitch w:val="variable"/>
    <w:sig w:usb0="E0002EFF" w:usb1="C000785B" w:usb2="00000009" w:usb3="00000000" w:csb0="000001FF" w:csb1="00000000"/>
  </w:font>
  <w:font w:name="HGMinchoE">
    <w:charset w:val="80"/>
    <w:family w:val="modern"/>
    <w:pitch w:val="fixed"/>
    <w:sig w:usb0="E00002FF" w:usb1="2AC7EDFE" w:usb2="00000012" w:usb3="00000000" w:csb0="00020001"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019438407"/>
      <w:docPartObj>
        <w:docPartGallery w:val="Page Numbers (Bottom of Page)"/>
        <w:docPartUnique/>
      </w:docPartObj>
    </w:sdtPr>
    <w:sdtEndPr>
      <w:rPr>
        <w:rStyle w:val="Nmerodepgina"/>
      </w:rPr>
    </w:sdtEndPr>
    <w:sdtContent>
      <w:p w14:paraId="52DE739E" w14:textId="77777777" w:rsidR="00DD28DE" w:rsidRDefault="00A418C7" w:rsidP="00B042F8">
        <w:pPr>
          <w:pStyle w:val="Piedepgina"/>
          <w:framePr w:wrap="none" w:vAnchor="text" w:hAnchor="margin" w:xAlign="right" w:y="1"/>
          <w:rPr>
            <w:rStyle w:val="Nmerodepgina"/>
          </w:rPr>
        </w:pPr>
        <w:r>
          <w:rPr>
            <w:rStyle w:val="Nmerodepgina"/>
          </w:rPr>
          <w:fldChar w:fldCharType="begin"/>
        </w:r>
        <w:r w:rsidR="00DD28DE">
          <w:rPr>
            <w:rStyle w:val="Nmerodepgina"/>
          </w:rPr>
          <w:instrText xml:space="preserve"> PAGE </w:instrText>
        </w:r>
        <w:r>
          <w:rPr>
            <w:rStyle w:val="Nmerodepgina"/>
          </w:rPr>
          <w:fldChar w:fldCharType="end"/>
        </w:r>
      </w:p>
    </w:sdtContent>
  </w:sdt>
  <w:p w14:paraId="3B066205" w14:textId="77777777" w:rsidR="00DD28DE" w:rsidRDefault="00DD28DE" w:rsidP="00DD28D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AGaramond" w:hAnsi="AGaramond"/>
      </w:rPr>
      <w:id w:val="1317304555"/>
      <w:docPartObj>
        <w:docPartGallery w:val="Page Numbers (Bottom of Page)"/>
        <w:docPartUnique/>
      </w:docPartObj>
    </w:sdtPr>
    <w:sdtEndPr>
      <w:rPr>
        <w:rStyle w:val="Nmerodepgina"/>
      </w:rPr>
    </w:sdtEndPr>
    <w:sdtContent>
      <w:p w14:paraId="1EAB36E8" w14:textId="303CFE34" w:rsidR="00DD28DE" w:rsidRPr="00B7573F" w:rsidRDefault="00A418C7" w:rsidP="00DD28DE">
        <w:pPr>
          <w:pStyle w:val="Piedepgina"/>
          <w:framePr w:wrap="none" w:vAnchor="text" w:hAnchor="page" w:x="10991" w:y="161"/>
          <w:rPr>
            <w:rStyle w:val="Nmerodepgina"/>
            <w:rFonts w:ascii="AGaramond" w:hAnsi="AGaramond"/>
          </w:rPr>
        </w:pPr>
        <w:r w:rsidRPr="00B7573F">
          <w:rPr>
            <w:rStyle w:val="Nmerodepgina"/>
            <w:rFonts w:ascii="AGaramond" w:hAnsi="AGaramond"/>
          </w:rPr>
          <w:fldChar w:fldCharType="begin"/>
        </w:r>
        <w:r w:rsidR="00DD28DE" w:rsidRPr="00B7573F">
          <w:rPr>
            <w:rStyle w:val="Nmerodepgina"/>
            <w:rFonts w:ascii="AGaramond" w:hAnsi="AGaramond"/>
          </w:rPr>
          <w:instrText xml:space="preserve"> PAGE </w:instrText>
        </w:r>
        <w:r w:rsidRPr="00B7573F">
          <w:rPr>
            <w:rStyle w:val="Nmerodepgina"/>
            <w:rFonts w:ascii="AGaramond" w:hAnsi="AGaramond"/>
          </w:rPr>
          <w:fldChar w:fldCharType="separate"/>
        </w:r>
        <w:r w:rsidR="00232888" w:rsidRPr="00B7573F">
          <w:rPr>
            <w:rStyle w:val="Nmerodepgina"/>
            <w:rFonts w:ascii="AGaramond" w:hAnsi="AGaramond"/>
            <w:noProof/>
          </w:rPr>
          <w:t>1</w:t>
        </w:r>
        <w:r w:rsidRPr="00B7573F">
          <w:rPr>
            <w:rStyle w:val="Nmerodepgina"/>
            <w:rFonts w:ascii="AGaramond" w:hAnsi="AGaramond"/>
          </w:rPr>
          <w:fldChar w:fldCharType="end"/>
        </w:r>
      </w:p>
    </w:sdtContent>
  </w:sdt>
  <w:p w14:paraId="29662066" w14:textId="302F8E22" w:rsidR="00DD28DE" w:rsidRPr="00B7573F" w:rsidRDefault="00F16B86" w:rsidP="001E793C">
    <w:pPr>
      <w:pStyle w:val="Ningnestilodeprrafo"/>
      <w:spacing w:line="240" w:lineRule="auto"/>
      <w:ind w:right="710"/>
      <w:jc w:val="right"/>
      <w:rPr>
        <w:rFonts w:ascii="AGaramond" w:hAnsi="AGaramond" w:cs="Times"/>
        <w:iCs/>
        <w:sz w:val="16"/>
        <w:szCs w:val="16"/>
        <w:lang w:val="es-VE"/>
      </w:rPr>
    </w:pPr>
    <w:r w:rsidRPr="00B7573F">
      <w:rPr>
        <w:rFonts w:ascii="AGaramond" w:hAnsi="AGaramond" w:cs="Times"/>
        <w:iCs/>
        <w:noProof/>
        <w:sz w:val="16"/>
        <w:szCs w:val="16"/>
        <w:lang w:val="es-VE" w:eastAsia="es-VE"/>
      </w:rPr>
      <mc:AlternateContent>
        <mc:Choice Requires="wps">
          <w:drawing>
            <wp:anchor distT="0" distB="0" distL="114300" distR="114300" simplePos="0" relativeHeight="251652096" behindDoc="0" locked="0" layoutInCell="1" allowOverlap="1" wp14:anchorId="0B49BD65" wp14:editId="64989018">
              <wp:simplePos x="0" y="0"/>
              <wp:positionH relativeFrom="column">
                <wp:posOffset>6033770</wp:posOffset>
              </wp:positionH>
              <wp:positionV relativeFrom="paragraph">
                <wp:posOffset>14605</wp:posOffset>
              </wp:positionV>
              <wp:extent cx="0" cy="796290"/>
              <wp:effectExtent l="0" t="0" r="38100" b="22860"/>
              <wp:wrapNone/>
              <wp:docPr id="5"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96290"/>
                      </a:xfrm>
                      <a:prstGeom prst="line">
                        <a:avLst/>
                      </a:prstGeom>
                      <a:noFill/>
                      <a:ln w="952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AFB2D" id="Conector recto 1"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1pt,1.15pt" to="475.1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" strokecolor="black [3200]">
              <v:stroke joinstyle="miter"/>
              <o:lock v:ext="edit" shapetype="f"/>
            </v:line>
          </w:pict>
        </mc:Fallback>
      </mc:AlternateContent>
    </w:r>
    <w:r w:rsidR="00575408" w:rsidRPr="00B7573F">
      <w:rPr>
        <w:rFonts w:ascii="AGaramond" w:hAnsi="AGaramond" w:cs="Times"/>
        <w:iCs/>
        <w:sz w:val="16"/>
        <w:szCs w:val="16"/>
        <w:lang w:val="es-VE"/>
      </w:rPr>
      <w:t xml:space="preserve"> Temas de Coyuntura </w:t>
    </w:r>
    <w:r w:rsidR="00DD28DE" w:rsidRPr="00B7573F">
      <w:rPr>
        <w:rFonts w:ascii="AGaramond" w:hAnsi="AGaramond" w:cs="Times"/>
        <w:iCs/>
        <w:sz w:val="16"/>
        <w:szCs w:val="16"/>
        <w:lang w:val="es-VE"/>
      </w:rPr>
      <w:t>N</w:t>
    </w:r>
    <w:r w:rsidR="0022144A">
      <w:rPr>
        <w:rFonts w:ascii="AGaramond" w:hAnsi="AGaramond" w:cs="Times"/>
        <w:iCs/>
        <w:sz w:val="16"/>
        <w:szCs w:val="16"/>
        <w:lang w:val="es-VE"/>
      </w:rPr>
      <w:t>.</w:t>
    </w:r>
    <w:r w:rsidR="00DD28DE" w:rsidRPr="00B7573F">
      <w:rPr>
        <w:rFonts w:ascii="AGaramond" w:hAnsi="AGaramond" w:cs="Times"/>
        <w:iCs/>
        <w:sz w:val="16"/>
        <w:szCs w:val="16"/>
        <w:lang w:val="es-VE"/>
      </w:rPr>
      <w:t xml:space="preserve">º </w:t>
    </w:r>
    <w:r w:rsidR="003342C7">
      <w:rPr>
        <w:rFonts w:ascii="AGaramond" w:hAnsi="AGaramond" w:cs="Times"/>
        <w:iCs/>
        <w:sz w:val="16"/>
        <w:szCs w:val="16"/>
        <w:lang w:val="es-VE"/>
      </w:rPr>
      <w:t>8</w:t>
    </w:r>
    <w:r w:rsidR="00AC4995">
      <w:rPr>
        <w:rFonts w:ascii="AGaramond" w:hAnsi="AGaramond" w:cs="Times"/>
        <w:iCs/>
        <w:sz w:val="16"/>
        <w:szCs w:val="16"/>
        <w:lang w:val="es-VE"/>
      </w:rPr>
      <w:t>2</w:t>
    </w:r>
    <w:r w:rsidR="005B0CCF">
      <w:rPr>
        <w:rFonts w:ascii="AGaramond" w:hAnsi="AGaramond" w:cs="Times"/>
        <w:iCs/>
        <w:sz w:val="16"/>
        <w:szCs w:val="16"/>
        <w:lang w:val="es-VE"/>
      </w:rPr>
      <w:t>-</w:t>
    </w:r>
    <w:r w:rsidR="003342C7">
      <w:rPr>
        <w:rFonts w:ascii="AGaramond" w:hAnsi="AGaramond" w:cs="Times"/>
        <w:iCs/>
        <w:sz w:val="16"/>
        <w:szCs w:val="16"/>
        <w:lang w:val="es-VE"/>
      </w:rPr>
      <w:t>8</w:t>
    </w:r>
    <w:r w:rsidR="00AC4995">
      <w:rPr>
        <w:rFonts w:ascii="AGaramond" w:hAnsi="AGaramond" w:cs="Times"/>
        <w:iCs/>
        <w:sz w:val="16"/>
        <w:szCs w:val="16"/>
        <w:lang w:val="es-VE"/>
      </w:rPr>
      <w:t>3</w:t>
    </w:r>
  </w:p>
  <w:p w14:paraId="4DF5B2C9" w14:textId="26E2EDD4" w:rsidR="00DD28DE" w:rsidRPr="00B7573F" w:rsidRDefault="00DD28DE" w:rsidP="001E793C">
    <w:pPr>
      <w:pStyle w:val="Ningnestilodeprrafo"/>
      <w:spacing w:line="240" w:lineRule="auto"/>
      <w:ind w:right="710"/>
      <w:jc w:val="right"/>
      <w:rPr>
        <w:rFonts w:ascii="AGaramond" w:hAnsi="AGaramond" w:cs="Times"/>
        <w:iCs/>
        <w:sz w:val="16"/>
        <w:szCs w:val="16"/>
        <w:lang w:val="es-VE"/>
      </w:rPr>
    </w:pPr>
    <w:r w:rsidRPr="00B7573F">
      <w:rPr>
        <w:rFonts w:ascii="AGaramond" w:hAnsi="AGaramond" w:cs="Times"/>
        <w:iCs/>
        <w:sz w:val="16"/>
        <w:szCs w:val="16"/>
        <w:lang w:val="es-VE"/>
      </w:rPr>
      <w:t>Semestre</w:t>
    </w:r>
    <w:r w:rsidR="005B0CCF">
      <w:rPr>
        <w:rFonts w:ascii="AGaramond" w:hAnsi="AGaramond" w:cs="Times"/>
        <w:iCs/>
        <w:sz w:val="16"/>
        <w:szCs w:val="16"/>
        <w:lang w:val="es-VE"/>
      </w:rPr>
      <w:t xml:space="preserve"> </w:t>
    </w:r>
    <w:proofErr w:type="gramStart"/>
    <w:r w:rsidR="005B0CCF">
      <w:rPr>
        <w:rFonts w:ascii="AGaramond" w:hAnsi="AGaramond" w:cs="Times"/>
        <w:iCs/>
        <w:sz w:val="16"/>
        <w:szCs w:val="16"/>
        <w:lang w:val="es-VE"/>
      </w:rPr>
      <w:t>Jul.</w:t>
    </w:r>
    <w:proofErr w:type="gramEnd"/>
    <w:r w:rsidR="005B0CCF">
      <w:rPr>
        <w:rFonts w:ascii="AGaramond" w:hAnsi="AGaramond" w:cs="Times"/>
        <w:iCs/>
        <w:sz w:val="16"/>
        <w:szCs w:val="16"/>
        <w:lang w:val="es-VE"/>
      </w:rPr>
      <w:t xml:space="preserve"> 20</w:t>
    </w:r>
    <w:r w:rsidR="00AC4995">
      <w:rPr>
        <w:rFonts w:ascii="AGaramond" w:hAnsi="AGaramond" w:cs="Times"/>
        <w:iCs/>
        <w:sz w:val="16"/>
        <w:szCs w:val="16"/>
        <w:lang w:val="es-VE"/>
      </w:rPr>
      <w:t>20</w:t>
    </w:r>
    <w:r w:rsidR="005B0CCF">
      <w:rPr>
        <w:rFonts w:ascii="AGaramond" w:hAnsi="AGaramond" w:cs="Times"/>
        <w:iCs/>
        <w:sz w:val="16"/>
        <w:szCs w:val="16"/>
        <w:lang w:val="es-VE"/>
      </w:rPr>
      <w:t>–Jun. 20</w:t>
    </w:r>
    <w:r w:rsidR="003342C7">
      <w:rPr>
        <w:rFonts w:ascii="AGaramond" w:hAnsi="AGaramond" w:cs="Times"/>
        <w:iCs/>
        <w:sz w:val="16"/>
        <w:szCs w:val="16"/>
        <w:lang w:val="es-VE"/>
      </w:rPr>
      <w:t>2</w:t>
    </w:r>
    <w:r w:rsidR="00AC4995">
      <w:rPr>
        <w:rFonts w:ascii="AGaramond" w:hAnsi="AGaramond" w:cs="Times"/>
        <w:iCs/>
        <w:sz w:val="16"/>
        <w:szCs w:val="16"/>
        <w:lang w:val="es-VE"/>
      </w:rPr>
      <w:t>1</w:t>
    </w:r>
  </w:p>
  <w:p w14:paraId="65D898AB" w14:textId="6EB53EAB" w:rsidR="00DD28DE" w:rsidRPr="00B7573F" w:rsidRDefault="00DD28DE" w:rsidP="001E793C">
    <w:pPr>
      <w:pStyle w:val="Ningnestilodeprrafo"/>
      <w:ind w:right="710"/>
      <w:jc w:val="right"/>
      <w:rPr>
        <w:rFonts w:ascii="AGaramond" w:hAnsi="AGaramond" w:cs="Times"/>
        <w:iCs/>
        <w:sz w:val="16"/>
        <w:szCs w:val="16"/>
        <w:lang w:val="es-VE"/>
      </w:rPr>
    </w:pPr>
    <w:r w:rsidRPr="00B7573F">
      <w:rPr>
        <w:rFonts w:ascii="AGaramond" w:hAnsi="AGaramond" w:cs="Times"/>
        <w:iCs/>
        <w:sz w:val="16"/>
        <w:szCs w:val="16"/>
        <w:lang w:val="es-VE"/>
      </w:rPr>
      <w:t xml:space="preserve"> ISSN:</w:t>
    </w:r>
    <w:r w:rsidR="00335A7C">
      <w:rPr>
        <w:rFonts w:ascii="AGaramond" w:hAnsi="AGaramond" w:cs="Times"/>
        <w:iCs/>
        <w:sz w:val="16"/>
        <w:szCs w:val="16"/>
        <w:lang w:val="es-VE"/>
      </w:rPr>
      <w:t xml:space="preserve"> 2244-8663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39ABA" w14:textId="77777777" w:rsidR="006F6469" w:rsidRPr="00B7573F" w:rsidRDefault="006F6469" w:rsidP="006F6469">
    <w:pPr>
      <w:pStyle w:val="TITULOS"/>
      <w:jc w:val="left"/>
      <w:rPr>
        <w:rFonts w:ascii="AGaramond" w:hAnsi="AGaramond"/>
      </w:rPr>
    </w:pPr>
  </w:p>
  <w:p w14:paraId="58A38FE9" w14:textId="6B34FC76" w:rsidR="006F6469" w:rsidRPr="00B7573F" w:rsidRDefault="00F16B86" w:rsidP="006F6469">
    <w:pPr>
      <w:pStyle w:val="Ningnestilodeprrafo"/>
      <w:spacing w:line="240" w:lineRule="auto"/>
      <w:ind w:right="143"/>
      <w:jc w:val="right"/>
      <w:rPr>
        <w:rFonts w:ascii="AGaramond" w:hAnsi="AGaramond" w:cs="Times"/>
        <w:iCs/>
        <w:sz w:val="16"/>
        <w:szCs w:val="16"/>
        <w:lang w:val="es-VE"/>
      </w:rPr>
    </w:pPr>
    <w:r w:rsidRPr="00B7573F">
      <w:rPr>
        <w:rFonts w:ascii="AGaramond" w:hAnsi="AGaramond" w:cs="Times"/>
        <w:iCs/>
        <w:noProof/>
        <w:sz w:val="16"/>
        <w:szCs w:val="16"/>
        <w:lang w:val="es-VE" w:eastAsia="es-VE"/>
      </w:rPr>
      <mc:AlternateContent>
        <mc:Choice Requires="wps">
          <w:drawing>
            <wp:anchor distT="0" distB="0" distL="114300" distR="114300" simplePos="0" relativeHeight="251665408" behindDoc="0" locked="0" layoutInCell="1" allowOverlap="1" wp14:anchorId="2AC52FD4" wp14:editId="69C8A663">
              <wp:simplePos x="0" y="0"/>
              <wp:positionH relativeFrom="column">
                <wp:posOffset>6273165</wp:posOffset>
              </wp:positionH>
              <wp:positionV relativeFrom="paragraph">
                <wp:posOffset>23495</wp:posOffset>
              </wp:positionV>
              <wp:extent cx="0" cy="795655"/>
              <wp:effectExtent l="0" t="0" r="0" b="4445"/>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95655"/>
                      </a:xfrm>
                      <a:prstGeom prst="line">
                        <a:avLst/>
                      </a:prstGeom>
                      <a:noFill/>
                      <a:ln w="952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91987" id="Line 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95pt,1.85pt" to="493.9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" strokecolor="black [3200]">
              <v:stroke joinstyle="miter"/>
              <o:lock v:ext="edit" shapetype="f"/>
            </v:line>
          </w:pict>
        </mc:Fallback>
      </mc:AlternateContent>
    </w:r>
    <w:r w:rsidR="00011FC6" w:rsidRPr="00B7573F">
      <w:rPr>
        <w:rFonts w:ascii="AGaramond" w:hAnsi="AGaramond" w:cs="Times"/>
        <w:iCs/>
        <w:sz w:val="16"/>
        <w:szCs w:val="16"/>
        <w:lang w:val="es-VE"/>
      </w:rPr>
      <w:t xml:space="preserve"> </w:t>
    </w:r>
    <w:r w:rsidR="000D78D3" w:rsidRPr="00B7573F">
      <w:rPr>
        <w:rFonts w:ascii="AGaramond" w:hAnsi="AGaramond" w:cs="Times"/>
        <w:iCs/>
        <w:sz w:val="16"/>
        <w:szCs w:val="16"/>
        <w:lang w:val="es-VE"/>
      </w:rPr>
      <w:t>Temas de Coyuntura</w:t>
    </w:r>
    <w:r w:rsidR="00011FC6" w:rsidRPr="00B7573F">
      <w:rPr>
        <w:rFonts w:ascii="AGaramond" w:hAnsi="AGaramond" w:cs="Times"/>
        <w:iCs/>
        <w:sz w:val="16"/>
        <w:szCs w:val="16"/>
        <w:lang w:val="es-VE"/>
      </w:rPr>
      <w:t xml:space="preserve"> </w:t>
    </w:r>
    <w:r w:rsidR="006F6469" w:rsidRPr="00B7573F">
      <w:rPr>
        <w:rFonts w:ascii="AGaramond" w:hAnsi="AGaramond" w:cs="Times"/>
        <w:iCs/>
        <w:sz w:val="16"/>
        <w:szCs w:val="16"/>
        <w:lang w:val="es-VE"/>
      </w:rPr>
      <w:t>N</w:t>
    </w:r>
    <w:r w:rsidR="0022144A">
      <w:rPr>
        <w:rFonts w:ascii="AGaramond" w:hAnsi="AGaramond" w:cs="Times"/>
        <w:iCs/>
        <w:sz w:val="16"/>
        <w:szCs w:val="16"/>
        <w:lang w:val="es-VE"/>
      </w:rPr>
      <w:t>.</w:t>
    </w:r>
    <w:r w:rsidR="006F6469" w:rsidRPr="00B7573F">
      <w:rPr>
        <w:rFonts w:ascii="AGaramond" w:hAnsi="AGaramond" w:cs="Times"/>
        <w:iCs/>
        <w:sz w:val="16"/>
        <w:szCs w:val="16"/>
        <w:lang w:val="es-VE"/>
      </w:rPr>
      <w:t xml:space="preserve">º </w:t>
    </w:r>
    <w:r w:rsidR="003342C7">
      <w:rPr>
        <w:rFonts w:ascii="AGaramond" w:hAnsi="AGaramond" w:cs="Times"/>
        <w:iCs/>
        <w:sz w:val="16"/>
        <w:szCs w:val="16"/>
        <w:lang w:val="es-VE"/>
      </w:rPr>
      <w:t>8</w:t>
    </w:r>
    <w:r w:rsidR="0048422C">
      <w:rPr>
        <w:rFonts w:ascii="AGaramond" w:hAnsi="AGaramond" w:cs="Times"/>
        <w:iCs/>
        <w:sz w:val="16"/>
        <w:szCs w:val="16"/>
        <w:lang w:val="es-VE"/>
      </w:rPr>
      <w:t>2</w:t>
    </w:r>
    <w:r w:rsidR="005B0CCF">
      <w:rPr>
        <w:rFonts w:ascii="AGaramond" w:hAnsi="AGaramond" w:cs="Times"/>
        <w:iCs/>
        <w:sz w:val="16"/>
        <w:szCs w:val="16"/>
        <w:lang w:val="es-VE"/>
      </w:rPr>
      <w:t>-</w:t>
    </w:r>
    <w:r w:rsidR="003342C7">
      <w:rPr>
        <w:rFonts w:ascii="AGaramond" w:hAnsi="AGaramond" w:cs="Times"/>
        <w:iCs/>
        <w:sz w:val="16"/>
        <w:szCs w:val="16"/>
        <w:lang w:val="es-VE"/>
      </w:rPr>
      <w:t>8</w:t>
    </w:r>
    <w:r w:rsidR="0048422C">
      <w:rPr>
        <w:rFonts w:ascii="AGaramond" w:hAnsi="AGaramond" w:cs="Times"/>
        <w:iCs/>
        <w:sz w:val="16"/>
        <w:szCs w:val="16"/>
        <w:lang w:val="es-VE"/>
      </w:rPr>
      <w:t>3</w:t>
    </w:r>
    <w:r w:rsidR="006F6469" w:rsidRPr="00B7573F">
      <w:rPr>
        <w:rFonts w:ascii="AGaramond" w:hAnsi="AGaramond" w:cs="Times"/>
        <w:iCs/>
        <w:noProof/>
        <w:sz w:val="16"/>
        <w:szCs w:val="16"/>
        <w:lang w:val="es-VE"/>
      </w:rPr>
      <w:t xml:space="preserve"> </w:t>
    </w:r>
  </w:p>
  <w:p w14:paraId="15D4BC48" w14:textId="196F1E49" w:rsidR="006F6469" w:rsidRPr="00B7573F" w:rsidRDefault="006F6469" w:rsidP="006F6469">
    <w:pPr>
      <w:pStyle w:val="Ningnestilodeprrafo"/>
      <w:spacing w:line="240" w:lineRule="auto"/>
      <w:ind w:right="143"/>
      <w:jc w:val="right"/>
      <w:rPr>
        <w:rFonts w:ascii="AGaramond" w:hAnsi="AGaramond" w:cs="Times"/>
        <w:iCs/>
        <w:sz w:val="16"/>
        <w:szCs w:val="16"/>
        <w:lang w:val="es-VE"/>
      </w:rPr>
    </w:pPr>
    <w:r w:rsidRPr="00B7573F">
      <w:rPr>
        <w:rFonts w:ascii="AGaramond" w:hAnsi="AGaramond" w:cs="Times"/>
        <w:iCs/>
        <w:sz w:val="16"/>
        <w:szCs w:val="16"/>
        <w:lang w:val="es-VE"/>
      </w:rPr>
      <w:t xml:space="preserve">Semestre </w:t>
    </w:r>
    <w:proofErr w:type="gramStart"/>
    <w:r w:rsidR="005B0CCF">
      <w:rPr>
        <w:rFonts w:ascii="AGaramond" w:hAnsi="AGaramond" w:cs="Times"/>
        <w:iCs/>
        <w:sz w:val="16"/>
        <w:szCs w:val="16"/>
        <w:lang w:val="es-VE"/>
      </w:rPr>
      <w:t>Jul.</w:t>
    </w:r>
    <w:proofErr w:type="gramEnd"/>
    <w:r w:rsidR="005B0CCF">
      <w:rPr>
        <w:rFonts w:ascii="AGaramond" w:hAnsi="AGaramond" w:cs="Times"/>
        <w:iCs/>
        <w:sz w:val="16"/>
        <w:szCs w:val="16"/>
        <w:lang w:val="es-VE"/>
      </w:rPr>
      <w:t xml:space="preserve"> 20</w:t>
    </w:r>
    <w:r w:rsidR="0048422C">
      <w:rPr>
        <w:rFonts w:ascii="AGaramond" w:hAnsi="AGaramond" w:cs="Times"/>
        <w:iCs/>
        <w:sz w:val="16"/>
        <w:szCs w:val="16"/>
        <w:lang w:val="es-VE"/>
      </w:rPr>
      <w:t>20</w:t>
    </w:r>
    <w:r w:rsidR="005B0CCF">
      <w:rPr>
        <w:rFonts w:ascii="AGaramond" w:hAnsi="AGaramond" w:cs="Times"/>
        <w:iCs/>
        <w:sz w:val="16"/>
        <w:szCs w:val="16"/>
        <w:lang w:val="es-VE"/>
      </w:rPr>
      <w:t>–Jun. 20</w:t>
    </w:r>
    <w:r w:rsidR="003342C7">
      <w:rPr>
        <w:rFonts w:ascii="AGaramond" w:hAnsi="AGaramond" w:cs="Times"/>
        <w:iCs/>
        <w:sz w:val="16"/>
        <w:szCs w:val="16"/>
        <w:lang w:val="es-VE"/>
      </w:rPr>
      <w:t>2</w:t>
    </w:r>
    <w:r w:rsidR="0048422C">
      <w:rPr>
        <w:rFonts w:ascii="AGaramond" w:hAnsi="AGaramond" w:cs="Times"/>
        <w:iCs/>
        <w:sz w:val="16"/>
        <w:szCs w:val="16"/>
        <w:lang w:val="es-VE"/>
      </w:rPr>
      <w:t>1</w:t>
    </w:r>
  </w:p>
  <w:p w14:paraId="1D47D972" w14:textId="4B3293AD" w:rsidR="006F6469" w:rsidRPr="00B7573F" w:rsidRDefault="006F6469" w:rsidP="006F6469">
    <w:pPr>
      <w:pStyle w:val="Ningnestilodeprrafo"/>
      <w:ind w:right="143"/>
      <w:jc w:val="right"/>
      <w:rPr>
        <w:rFonts w:ascii="AGaramond" w:hAnsi="AGaramond" w:cs="Times"/>
        <w:iCs/>
        <w:sz w:val="16"/>
        <w:szCs w:val="16"/>
        <w:lang w:val="es-VE"/>
      </w:rPr>
    </w:pPr>
    <w:r w:rsidRPr="00B7573F">
      <w:rPr>
        <w:rFonts w:ascii="AGaramond" w:hAnsi="AGaramond" w:cs="Times"/>
        <w:iCs/>
        <w:sz w:val="16"/>
        <w:szCs w:val="16"/>
        <w:lang w:val="es-VE"/>
      </w:rPr>
      <w:t xml:space="preserve"> ISSN: </w:t>
    </w:r>
    <w:r w:rsidR="00335A7C">
      <w:rPr>
        <w:rFonts w:ascii="AGaramond" w:hAnsi="AGaramond" w:cs="Times"/>
        <w:iCs/>
        <w:sz w:val="16"/>
        <w:szCs w:val="16"/>
        <w:lang w:val="es-VE"/>
      </w:rPr>
      <w:t>2244-8663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CE06A" w14:textId="77777777" w:rsidR="009E24D1" w:rsidRDefault="009E24D1" w:rsidP="00DD28DE">
      <w:r>
        <w:separator/>
      </w:r>
    </w:p>
  </w:footnote>
  <w:footnote w:type="continuationSeparator" w:id="0">
    <w:p w14:paraId="272F3E1C" w14:textId="77777777" w:rsidR="009E24D1" w:rsidRDefault="009E24D1" w:rsidP="00DD28DE">
      <w:r>
        <w:continuationSeparator/>
      </w:r>
    </w:p>
  </w:footnote>
  <w:footnote w:id="1">
    <w:p w14:paraId="039DA5D8" w14:textId="77777777" w:rsidR="005F4183" w:rsidRPr="00D3589A" w:rsidRDefault="005F4183" w:rsidP="00D3589A">
      <w:pPr>
        <w:pStyle w:val="Textonotapie"/>
        <w:jc w:val="both"/>
        <w:rPr>
          <w:rFonts w:ascii="AGaramond" w:hAnsi="AGaramond" w:cs="Times New Roman"/>
        </w:rPr>
      </w:pPr>
      <w:r w:rsidRPr="00D3589A">
        <w:rPr>
          <w:rStyle w:val="Refdenotaalpie"/>
          <w:rFonts w:ascii="AGaramond" w:hAnsi="AGaramond" w:cs="Times New Roman"/>
        </w:rPr>
        <w:footnoteRef/>
      </w:r>
      <w:r w:rsidRPr="00D3589A">
        <w:rPr>
          <w:rFonts w:ascii="AGaramond" w:hAnsi="AGaramond" w:cs="Times New Roman"/>
        </w:rPr>
        <w:t xml:space="preserve"> Más detalles sobre el XII Censo General de Población y Vivienda 2000 se pueden consultar en: </w:t>
      </w:r>
      <w:hyperlink r:id="rId1" w:anchor="Documentacion" w:history="1">
        <w:r w:rsidRPr="00D3589A">
          <w:rPr>
            <w:rStyle w:val="Hipervnculo"/>
            <w:rFonts w:ascii="AGaramond" w:hAnsi="AGaramond" w:cs="Times New Roman"/>
          </w:rPr>
          <w:t>XII Censo General de Población y Vivienda 2000 (inegi.org.mx)</w:t>
        </w:r>
      </w:hyperlink>
      <w:r w:rsidRPr="00D3589A">
        <w:rPr>
          <w:rFonts w:ascii="AGaramond" w:hAnsi="AGaramond" w:cs="Times New Roman"/>
        </w:rPr>
        <w:t xml:space="preserve">; incluido los dos cuestionarios empleados en el empadronamiento. La publicación, Síntesis Metodológica del XII Censo General de Población y Vivienda 2000, está disponible en: </w:t>
      </w:r>
      <w:hyperlink r:id="rId2" w:history="1">
        <w:r w:rsidRPr="00D3589A">
          <w:rPr>
            <w:rStyle w:val="Hipervnculo"/>
            <w:rFonts w:ascii="AGaramond" w:hAnsi="AGaramond" w:cs="Times New Roman"/>
          </w:rPr>
          <w:t>Síntesis Metodológica del XII Censo General de Población y Vivienda 2000 (inegi.org.mx)</w:t>
        </w:r>
      </w:hyperlink>
      <w:r w:rsidRPr="00D3589A">
        <w:rPr>
          <w:rFonts w:ascii="AGaramond" w:hAnsi="AGaramond" w:cs="Times New Roman"/>
        </w:rPr>
        <w:t>.</w:t>
      </w:r>
    </w:p>
  </w:footnote>
  <w:footnote w:id="2">
    <w:p w14:paraId="7AF97E53" w14:textId="778BADCF" w:rsidR="005F4183" w:rsidRPr="00D3589A" w:rsidRDefault="005F4183" w:rsidP="00D3589A">
      <w:pPr>
        <w:pStyle w:val="Textonotapie"/>
        <w:jc w:val="both"/>
        <w:rPr>
          <w:rFonts w:ascii="AGaramond" w:hAnsi="AGaramond" w:cs="Times New Roman"/>
        </w:rPr>
      </w:pPr>
      <w:r w:rsidRPr="00D3589A">
        <w:rPr>
          <w:rStyle w:val="Refdenotaalpie"/>
          <w:rFonts w:ascii="AGaramond" w:hAnsi="AGaramond" w:cs="Times New Roman"/>
        </w:rPr>
        <w:footnoteRef/>
      </w:r>
      <w:r w:rsidRPr="00D3589A">
        <w:rPr>
          <w:rFonts w:ascii="AGaramond" w:hAnsi="AGaramond" w:cs="Times New Roman"/>
        </w:rPr>
        <w:t xml:space="preserve"> Mayores detalles sobre el XIII Censo General de Población y Vivienda 2010 se pueden consultar en: </w:t>
      </w:r>
      <w:hyperlink r:id="rId3" w:history="1">
        <w:r w:rsidRPr="00D3589A">
          <w:rPr>
            <w:rStyle w:val="Hipervnculo"/>
            <w:rFonts w:ascii="AGaramond" w:hAnsi="AGaramond" w:cs="Times New Roman"/>
          </w:rPr>
          <w:t>Censo de Población y Vivienda 2010 (inegi.org.mx)</w:t>
        </w:r>
      </w:hyperlink>
      <w:r w:rsidRPr="00D3589A">
        <w:rPr>
          <w:rFonts w:ascii="AGaramond" w:hAnsi="AGaramond" w:cs="Times New Roman"/>
        </w:rPr>
        <w:t xml:space="preserve">; incluyendo los dos cuestionarios empleados en el levantamiento de la información. La publicación, Censo de Población y Vivienda 2010: marco conceptual, está disponible en: </w:t>
      </w:r>
      <w:hyperlink r:id="rId4" w:history="1">
        <w:r w:rsidRPr="00D3589A">
          <w:rPr>
            <w:rStyle w:val="Hipervnculo"/>
            <w:rFonts w:ascii="AGaramond" w:hAnsi="AGaramond" w:cs="Times New Roman"/>
          </w:rPr>
          <w:t>Marco co</w:t>
        </w:r>
        <w:r w:rsidR="00CE7CEA" w:rsidRPr="00D3589A">
          <w:rPr>
            <w:rStyle w:val="Hipervnculo"/>
            <w:rFonts w:ascii="AGaramond" w:hAnsi="AGaramond" w:cs="Times New Roman"/>
          </w:rPr>
          <w:t>n</w:t>
        </w:r>
        <w:r w:rsidRPr="00D3589A">
          <w:rPr>
            <w:rStyle w:val="Hipervnculo"/>
            <w:rFonts w:ascii="AGaramond" w:hAnsi="AGaramond" w:cs="Times New Roman"/>
          </w:rPr>
          <w:t>ceptual del Censo de Población y Vivienda 2010 (inegi.org.mx)</w:t>
        </w:r>
      </w:hyperlink>
      <w:r w:rsidRPr="00D3589A">
        <w:rPr>
          <w:rFonts w:ascii="AGaramond" w:hAnsi="AGaramond" w:cs="Times New Roman"/>
        </w:rPr>
        <w:t>.</w:t>
      </w:r>
    </w:p>
  </w:footnote>
  <w:footnote w:id="3">
    <w:p w14:paraId="507038FA" w14:textId="4497D6C3" w:rsidR="005F4183" w:rsidRPr="00D3589A" w:rsidRDefault="005F4183" w:rsidP="00D3589A">
      <w:pPr>
        <w:pStyle w:val="Textonotapie"/>
        <w:jc w:val="both"/>
        <w:rPr>
          <w:rFonts w:ascii="AGaramond" w:hAnsi="AGaramond" w:cs="Times New Roman"/>
        </w:rPr>
      </w:pPr>
      <w:r w:rsidRPr="00D3589A">
        <w:rPr>
          <w:rStyle w:val="Refdenotaalpie"/>
          <w:rFonts w:ascii="AGaramond" w:hAnsi="AGaramond" w:cs="Times New Roman"/>
        </w:rPr>
        <w:footnoteRef/>
      </w:r>
      <w:r w:rsidRPr="00D3589A">
        <w:rPr>
          <w:rFonts w:ascii="AGaramond" w:hAnsi="AGaramond" w:cs="Times New Roman"/>
        </w:rPr>
        <w:t xml:space="preserve"> Para mayores detalles sobre la Encuesta Intercensal de 2015 se puede consultar la dirección: </w:t>
      </w:r>
      <w:hyperlink r:id="rId5" w:history="1">
        <w:r w:rsidRPr="00D3589A">
          <w:rPr>
            <w:rStyle w:val="Hipervnculo"/>
            <w:rFonts w:ascii="AGaramond" w:hAnsi="AGaramond" w:cs="Times New Roman"/>
          </w:rPr>
          <w:t>Encuesta Intercensal 2015 (inegi.org.mx)</w:t>
        </w:r>
      </w:hyperlink>
      <w:r w:rsidRPr="00D3589A">
        <w:rPr>
          <w:rFonts w:ascii="AGaramond" w:hAnsi="AGaramond" w:cs="Times New Roman"/>
        </w:rPr>
        <w:t xml:space="preserve">; desde donde también se puede descargar el cuestionario utilizado. La publicación, Encuesta Intercensal 2015: marco conceptual, está disponible en: </w:t>
      </w:r>
      <w:hyperlink r:id="rId6" w:history="1">
        <w:r w:rsidRPr="00D3589A">
          <w:rPr>
            <w:rStyle w:val="Hipervnculo"/>
            <w:rFonts w:ascii="AGaramond" w:hAnsi="AGaramond" w:cs="Times New Roman"/>
          </w:rPr>
          <w:t>Encuesta Intercensal 2015. Marco conceptual (inegi.org.mx)</w:t>
        </w:r>
      </w:hyperlink>
      <w:r w:rsidRPr="00D3589A">
        <w:rPr>
          <w:rFonts w:ascii="AGaramond" w:hAnsi="AGaramond" w:cs="Times New Roman"/>
        </w:rPr>
        <w:t>.</w:t>
      </w:r>
    </w:p>
  </w:footnote>
  <w:footnote w:id="4">
    <w:p w14:paraId="2B4334EB" w14:textId="65C7EBE4" w:rsidR="00356D4E" w:rsidRPr="00D3589A" w:rsidRDefault="00356D4E" w:rsidP="00D3589A">
      <w:pPr>
        <w:pStyle w:val="Textonotapie"/>
        <w:jc w:val="both"/>
        <w:rPr>
          <w:rFonts w:ascii="AGaramond" w:hAnsi="AGaramond" w:cs="Times New Roman"/>
        </w:rPr>
      </w:pPr>
      <w:r w:rsidRPr="00D3589A">
        <w:rPr>
          <w:rStyle w:val="Refdenotaalpie"/>
          <w:rFonts w:ascii="AGaramond" w:hAnsi="AGaramond" w:cs="Times New Roman"/>
        </w:rPr>
        <w:footnoteRef/>
      </w:r>
      <w:r w:rsidRPr="00D3589A">
        <w:rPr>
          <w:rFonts w:ascii="AGaramond" w:hAnsi="AGaramond" w:cs="Times New Roman"/>
        </w:rPr>
        <w:t xml:space="preserve"> Para mayores detalles se puede consultar el capítulo 9 de Notas para un curso de análisis demográfico (Partida, 2013</w:t>
      </w:r>
      <w:r w:rsidR="00C1273F" w:rsidRPr="00D3589A">
        <w:rPr>
          <w:rFonts w:ascii="AGaramond" w:hAnsi="AGaramond" w:cs="Times New Roman"/>
        </w:rPr>
        <w:t>, pp.</w:t>
      </w:r>
      <w:r w:rsidRPr="00D3589A">
        <w:rPr>
          <w:rFonts w:ascii="AGaramond" w:hAnsi="AGaramond" w:cs="Times New Roman"/>
        </w:rPr>
        <w:t xml:space="preserve"> 405-493).</w:t>
      </w:r>
    </w:p>
  </w:footnote>
  <w:footnote w:id="5">
    <w:p w14:paraId="43E07ACC" w14:textId="6EF6B07D" w:rsidR="00C1273F" w:rsidRPr="00D3589A" w:rsidRDefault="00C1273F" w:rsidP="00D3589A">
      <w:pPr>
        <w:pStyle w:val="Textonotapie"/>
        <w:jc w:val="both"/>
        <w:rPr>
          <w:rFonts w:ascii="AGaramond" w:hAnsi="AGaramond" w:cs="Times New Roman"/>
        </w:rPr>
      </w:pPr>
      <w:r w:rsidRPr="00D3589A">
        <w:rPr>
          <w:rStyle w:val="Refdenotaalpie"/>
          <w:rFonts w:ascii="AGaramond" w:hAnsi="AGaramond" w:cs="Times New Roman"/>
        </w:rPr>
        <w:footnoteRef/>
      </w:r>
      <w:r w:rsidRPr="00D3589A">
        <w:rPr>
          <w:rFonts w:ascii="AGaramond" w:hAnsi="AGaramond" w:cs="Times New Roman"/>
        </w:rPr>
        <w:t xml:space="preserve"> El INEGI en el conteo de población de 2005 ha contabilizado 100</w:t>
      </w:r>
      <w:r w:rsidR="00DA5005">
        <w:rPr>
          <w:rFonts w:ascii="Times New Roman" w:hAnsi="Times New Roman" w:cs="Times New Roman"/>
        </w:rPr>
        <w:t> </w:t>
      </w:r>
      <w:r w:rsidRPr="00D3589A">
        <w:rPr>
          <w:rFonts w:ascii="AGaramond" w:hAnsi="AGaramond" w:cs="Times New Roman"/>
        </w:rPr>
        <w:t>383 personas en la ciudad y 149</w:t>
      </w:r>
      <w:r w:rsidR="00DA5005">
        <w:rPr>
          <w:rFonts w:ascii="Times New Roman" w:hAnsi="Times New Roman" w:cs="Times New Roman"/>
        </w:rPr>
        <w:t> </w:t>
      </w:r>
      <w:r w:rsidRPr="00D3589A">
        <w:rPr>
          <w:rFonts w:ascii="AGaramond" w:hAnsi="AGaramond" w:cs="Times New Roman"/>
        </w:rPr>
        <w:t xml:space="preserve">923 en el censo de población de 2010. </w:t>
      </w:r>
    </w:p>
  </w:footnote>
  <w:footnote w:id="6">
    <w:p w14:paraId="36B02884" w14:textId="51CEAD0C" w:rsidR="00E87795" w:rsidRPr="00D3589A" w:rsidRDefault="00E87795" w:rsidP="00D3589A">
      <w:pPr>
        <w:pStyle w:val="Textonotapie"/>
        <w:jc w:val="both"/>
        <w:rPr>
          <w:rFonts w:ascii="AGaramond" w:hAnsi="AGaramond" w:cs="Times New Roman"/>
        </w:rPr>
      </w:pPr>
      <w:r w:rsidRPr="00D3589A">
        <w:rPr>
          <w:rStyle w:val="Refdenotaalpie"/>
          <w:rFonts w:ascii="AGaramond" w:hAnsi="AGaramond" w:cs="Times New Roman"/>
        </w:rPr>
        <w:footnoteRef/>
      </w:r>
      <w:r w:rsidRPr="00D3589A">
        <w:rPr>
          <w:rFonts w:ascii="AGaramond" w:hAnsi="AGaramond" w:cs="Times New Roman"/>
        </w:rPr>
        <w:t xml:space="preserve"> El INEGI en el censo de población de 2010 ha contabilizado 149</w:t>
      </w:r>
      <w:r w:rsidR="00DA5005">
        <w:rPr>
          <w:rFonts w:ascii="Times New Roman" w:hAnsi="Times New Roman" w:cs="Times New Roman"/>
        </w:rPr>
        <w:t> </w:t>
      </w:r>
      <w:r w:rsidRPr="00D3589A">
        <w:rPr>
          <w:rFonts w:ascii="AGaramond" w:hAnsi="AGaramond" w:cs="Times New Roman"/>
        </w:rPr>
        <w:t>923 personas en la ciudad y en la Encuesta Intercensal 2015 191</w:t>
      </w:r>
      <w:r w:rsidR="00DA5005">
        <w:rPr>
          <w:rFonts w:ascii="Times New Roman" w:hAnsi="Times New Roman" w:cs="Times New Roman"/>
        </w:rPr>
        <w:t> </w:t>
      </w:r>
      <w:r w:rsidRPr="00D3589A">
        <w:rPr>
          <w:rFonts w:ascii="AGaramond" w:hAnsi="AGaramond" w:cs="Times New Roman"/>
        </w:rPr>
        <w:t>760 habitantes.</w:t>
      </w:r>
    </w:p>
  </w:footnote>
  <w:footnote w:id="7">
    <w:p w14:paraId="0D7009E9" w14:textId="51D79CFE" w:rsidR="00873FAC" w:rsidRPr="00F14AA8" w:rsidRDefault="00873FAC" w:rsidP="00F14AA8">
      <w:pPr>
        <w:pStyle w:val="Textonotapie"/>
        <w:jc w:val="both"/>
        <w:rPr>
          <w:rFonts w:ascii="AGaramond" w:eastAsia="Times New Roman" w:hAnsi="AGaramond" w:cs="Times New Roman"/>
          <w:lang w:val="es-MX"/>
        </w:rPr>
      </w:pPr>
      <w:r w:rsidRPr="00F14AA8">
        <w:rPr>
          <w:rStyle w:val="Refdenotaalpie"/>
          <w:rFonts w:ascii="AGaramond" w:hAnsi="AGaramond" w:cs="Times New Roman"/>
        </w:rPr>
        <w:footnoteRef/>
      </w:r>
      <w:r w:rsidRPr="00F14AA8">
        <w:rPr>
          <w:rFonts w:ascii="AGaramond" w:hAnsi="AGaramond" w:cs="Times New Roman"/>
        </w:rPr>
        <w:t xml:space="preserve"> La nomenclatura y las expresiones matemáticas que se han utilizado para las tasas en este trabajo son las planteadas por Partida (</w:t>
      </w:r>
      <w:r w:rsidRPr="00F14AA8">
        <w:rPr>
          <w:rFonts w:ascii="AGaramond" w:eastAsia="Times New Roman" w:hAnsi="AGaramond" w:cs="Times New Roman"/>
          <w:lang w:val="es-MX"/>
        </w:rPr>
        <w:t>2013</w:t>
      </w:r>
      <w:r w:rsidR="00F14AA8">
        <w:rPr>
          <w:rFonts w:ascii="AGaramond" w:eastAsia="Times New Roman" w:hAnsi="AGaramond" w:cs="Times New Roman"/>
          <w:lang w:val="es-MX"/>
        </w:rPr>
        <w:t>, pp.</w:t>
      </w:r>
      <w:r w:rsidRPr="00F14AA8">
        <w:rPr>
          <w:rFonts w:ascii="AGaramond" w:eastAsia="Times New Roman" w:hAnsi="AGaramond" w:cs="Times New Roman"/>
          <w:lang w:val="es-MX"/>
        </w:rPr>
        <w:t xml:space="preserve"> 405-493).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3D4AF" w14:textId="2FDBBBE3" w:rsidR="00DD28DE" w:rsidRPr="00B7573F" w:rsidRDefault="00F514A2" w:rsidP="001620EE">
    <w:pPr>
      <w:pStyle w:val="ENCABEZATITULO"/>
      <w:ind w:left="142"/>
      <w:jc w:val="left"/>
      <w:rPr>
        <w:rFonts w:ascii="AGaramond" w:hAnsi="AGaramond"/>
        <w:sz w:val="22"/>
        <w:szCs w:val="22"/>
        <w:lang w:val="es-VE"/>
      </w:rPr>
    </w:pPr>
    <w:r w:rsidRPr="00F514A2">
      <w:rPr>
        <w:rFonts w:ascii="AGaramond" w:hAnsi="AGaramond"/>
        <w:sz w:val="22"/>
        <w:szCs w:val="22"/>
        <w:lang w:val="es-VE"/>
      </w:rPr>
      <w:t>Análisis de la migración interna hacia y desde Playa del Carmen, México, 1995-2015</w:t>
    </w:r>
  </w:p>
  <w:p w14:paraId="0A42FAF2" w14:textId="77777777" w:rsidR="001E793C" w:rsidRPr="00B7573F" w:rsidRDefault="00F16B86" w:rsidP="001E793C">
    <w:pPr>
      <w:pStyle w:val="ENCABEZATITULO"/>
      <w:rPr>
        <w:rFonts w:ascii="AGaramond" w:hAnsi="AGaramond"/>
        <w:sz w:val="22"/>
        <w:szCs w:val="22"/>
        <w:lang w:val="es-VE"/>
      </w:rPr>
    </w:pPr>
    <w:r w:rsidRPr="00B7573F">
      <w:rPr>
        <w:rFonts w:ascii="AGaramond" w:hAnsi="AGaramond"/>
        <w:noProof/>
        <w:sz w:val="22"/>
        <w:szCs w:val="22"/>
        <w:lang w:val="es-VE" w:eastAsia="es-VE"/>
      </w:rPr>
      <mc:AlternateContent>
        <mc:Choice Requires="wps">
          <w:drawing>
            <wp:anchor distT="0" distB="0" distL="114300" distR="114300" simplePos="0" relativeHeight="251663360" behindDoc="0" locked="0" layoutInCell="1" allowOverlap="1" wp14:anchorId="7E86D68B" wp14:editId="15E19CD1">
              <wp:simplePos x="0" y="0"/>
              <wp:positionH relativeFrom="column">
                <wp:posOffset>33020</wp:posOffset>
              </wp:positionH>
              <wp:positionV relativeFrom="paragraph">
                <wp:posOffset>57150</wp:posOffset>
              </wp:positionV>
              <wp:extent cx="6219825" cy="0"/>
              <wp:effectExtent l="0" t="0" r="3175" b="0"/>
              <wp:wrapNone/>
              <wp:docPr id="6"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219825"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5A2010F" id="Conector recto 2"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4.5pt" to="492.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" strokecolor="black [3200]" strokeweight=".5pt">
              <v:stroke joinstyle="miter"/>
              <o:lock v:ext="edit" shapetype="f"/>
            </v:line>
          </w:pict>
        </mc:Fallback>
      </mc:AlternateContent>
    </w:r>
  </w:p>
  <w:p w14:paraId="26813151" w14:textId="6073F824" w:rsidR="00427DC8" w:rsidRPr="002A60A2" w:rsidRDefault="00693FF4" w:rsidP="00427DC8">
    <w:pPr>
      <w:pStyle w:val="ENCABEZATITULO"/>
      <w:ind w:right="143"/>
      <w:jc w:val="right"/>
      <w:rPr>
        <w:rFonts w:ascii="AGaramond" w:hAnsi="AGaramond"/>
        <w:i w:val="0"/>
        <w:caps/>
        <w:sz w:val="22"/>
        <w:szCs w:val="22"/>
        <w:lang w:val="es-VE"/>
      </w:rPr>
    </w:pPr>
    <w:r w:rsidRPr="002A60A2">
      <w:rPr>
        <w:rFonts w:ascii="AGaramond" w:hAnsi="AGaramond"/>
        <w:i w:val="0"/>
        <w:caps/>
        <w:sz w:val="22"/>
        <w:szCs w:val="22"/>
        <w:lang w:val="es-VE"/>
      </w:rPr>
      <w:t>Manuel Gerardo Delgado-Linero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4967A" w14:textId="54690E34" w:rsidR="006F6469" w:rsidRPr="00B7573F" w:rsidRDefault="00F16B86" w:rsidP="006F6469">
    <w:pPr>
      <w:ind w:left="142"/>
      <w:rPr>
        <w:rFonts w:ascii="AGaramond" w:hAnsi="AGaramond"/>
        <w:color w:val="000000" w:themeColor="text1"/>
        <w:sz w:val="15"/>
        <w:szCs w:val="15"/>
      </w:rPr>
    </w:pPr>
    <w:r w:rsidRPr="00B7573F">
      <w:rPr>
        <w:rFonts w:ascii="AGaramond" w:hAnsi="AGaramond" w:cs="Times"/>
        <w:iCs/>
        <w:noProof/>
        <w:sz w:val="16"/>
        <w:szCs w:val="16"/>
        <w:lang w:val="es-VE" w:eastAsia="es-VE"/>
      </w:rPr>
      <mc:AlternateContent>
        <mc:Choice Requires="wps">
          <w:drawing>
            <wp:anchor distT="0" distB="0" distL="114300" distR="114300" simplePos="0" relativeHeight="251664384" behindDoc="0" locked="0" layoutInCell="1" allowOverlap="1" wp14:anchorId="65851040" wp14:editId="3CCD4B0E">
              <wp:simplePos x="0" y="0"/>
              <wp:positionH relativeFrom="column">
                <wp:posOffset>0</wp:posOffset>
              </wp:positionH>
              <wp:positionV relativeFrom="paragraph">
                <wp:posOffset>-635</wp:posOffset>
              </wp:positionV>
              <wp:extent cx="0" cy="339725"/>
              <wp:effectExtent l="0" t="0" r="0" b="3175"/>
              <wp:wrapNone/>
              <wp:docPr id="4"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39725"/>
                      </a:xfrm>
                      <a:prstGeom prst="line">
                        <a:avLst/>
                      </a:prstGeom>
                      <a:noFill/>
                      <a:ln w="952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EB2E0" id="Conector recto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0,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" strokecolor="black [3200]">
              <v:stroke joinstyle="miter"/>
              <o:lock v:ext="edit" shapetype="f"/>
            </v:line>
          </w:pict>
        </mc:Fallback>
      </mc:AlternateContent>
    </w:r>
    <w:r w:rsidR="006F6469" w:rsidRPr="00B7573F">
      <w:rPr>
        <w:rFonts w:ascii="AGaramond" w:hAnsi="AGaramond"/>
        <w:color w:val="000000" w:themeColor="text1"/>
        <w:sz w:val="16"/>
        <w:szCs w:val="16"/>
      </w:rPr>
      <w:t>F</w:t>
    </w:r>
    <w:r w:rsidR="006F6469" w:rsidRPr="00B7573F">
      <w:rPr>
        <w:rFonts w:ascii="AGaramond" w:hAnsi="AGaramond"/>
        <w:color w:val="000000" w:themeColor="text1"/>
        <w:sz w:val="15"/>
        <w:szCs w:val="15"/>
      </w:rPr>
      <w:t xml:space="preserve">echa de recepción </w:t>
    </w:r>
    <w:r w:rsidR="00620D7F">
      <w:rPr>
        <w:rFonts w:ascii="AGaramond" w:hAnsi="AGaramond"/>
        <w:color w:val="000000" w:themeColor="text1"/>
        <w:sz w:val="15"/>
        <w:szCs w:val="15"/>
      </w:rPr>
      <w:t>19</w:t>
    </w:r>
    <w:r w:rsidR="006F6469" w:rsidRPr="00B7573F">
      <w:rPr>
        <w:rFonts w:ascii="AGaramond" w:hAnsi="AGaramond"/>
        <w:color w:val="000000" w:themeColor="text1"/>
        <w:sz w:val="15"/>
        <w:szCs w:val="15"/>
      </w:rPr>
      <w:t>/</w:t>
    </w:r>
    <w:r w:rsidR="00620D7F">
      <w:rPr>
        <w:rFonts w:ascii="AGaramond" w:hAnsi="AGaramond"/>
        <w:color w:val="000000" w:themeColor="text1"/>
        <w:sz w:val="15"/>
        <w:szCs w:val="15"/>
      </w:rPr>
      <w:t>05</w:t>
    </w:r>
    <w:r w:rsidR="006F6469" w:rsidRPr="00B7573F">
      <w:rPr>
        <w:rFonts w:ascii="AGaramond" w:hAnsi="AGaramond"/>
        <w:color w:val="000000" w:themeColor="text1"/>
        <w:sz w:val="15"/>
        <w:szCs w:val="15"/>
      </w:rPr>
      <w:t>/</w:t>
    </w:r>
    <w:r w:rsidR="00AF4CA5">
      <w:rPr>
        <w:rFonts w:ascii="AGaramond" w:hAnsi="AGaramond"/>
        <w:color w:val="000000" w:themeColor="text1"/>
        <w:sz w:val="15"/>
        <w:szCs w:val="15"/>
      </w:rPr>
      <w:t>20</w:t>
    </w:r>
    <w:r w:rsidR="00620D7F">
      <w:rPr>
        <w:rFonts w:ascii="AGaramond" w:hAnsi="AGaramond"/>
        <w:color w:val="000000" w:themeColor="text1"/>
        <w:sz w:val="15"/>
        <w:szCs w:val="15"/>
      </w:rPr>
      <w:t>21</w:t>
    </w:r>
  </w:p>
  <w:p w14:paraId="5D6DAE52" w14:textId="1BCBB219" w:rsidR="006F6469" w:rsidRPr="00B7573F" w:rsidRDefault="006F6469" w:rsidP="006F6469">
    <w:pPr>
      <w:ind w:left="142"/>
      <w:rPr>
        <w:rFonts w:ascii="AGaramond" w:hAnsi="AGaramond"/>
        <w:color w:val="000000" w:themeColor="text1"/>
        <w:sz w:val="15"/>
        <w:szCs w:val="15"/>
      </w:rPr>
    </w:pPr>
    <w:r w:rsidRPr="00B7573F">
      <w:rPr>
        <w:rFonts w:ascii="AGaramond" w:hAnsi="AGaramond"/>
        <w:color w:val="000000" w:themeColor="text1"/>
        <w:sz w:val="15"/>
        <w:szCs w:val="15"/>
      </w:rPr>
      <w:t xml:space="preserve">Fecha de aceptación: </w:t>
    </w:r>
    <w:r w:rsidR="00620D7F">
      <w:rPr>
        <w:rFonts w:ascii="AGaramond" w:hAnsi="AGaramond"/>
        <w:color w:val="000000" w:themeColor="text1"/>
        <w:sz w:val="15"/>
        <w:szCs w:val="15"/>
      </w:rPr>
      <w:t>24</w:t>
    </w:r>
    <w:r w:rsidRPr="00B7573F">
      <w:rPr>
        <w:rFonts w:ascii="AGaramond" w:hAnsi="AGaramond"/>
        <w:color w:val="000000" w:themeColor="text1"/>
        <w:sz w:val="15"/>
        <w:szCs w:val="15"/>
      </w:rPr>
      <w:t>/</w:t>
    </w:r>
    <w:r w:rsidR="00620D7F">
      <w:rPr>
        <w:rFonts w:ascii="AGaramond" w:hAnsi="AGaramond"/>
        <w:color w:val="000000" w:themeColor="text1"/>
        <w:sz w:val="15"/>
        <w:szCs w:val="15"/>
      </w:rPr>
      <w:t>06</w:t>
    </w:r>
    <w:r w:rsidRPr="00B7573F">
      <w:rPr>
        <w:rFonts w:ascii="AGaramond" w:hAnsi="AGaramond"/>
        <w:color w:val="000000" w:themeColor="text1"/>
        <w:sz w:val="15"/>
        <w:szCs w:val="15"/>
      </w:rPr>
      <w:t>/</w:t>
    </w:r>
    <w:r w:rsidR="00AF4CA5">
      <w:rPr>
        <w:rFonts w:ascii="AGaramond" w:hAnsi="AGaramond"/>
        <w:color w:val="000000" w:themeColor="text1"/>
        <w:sz w:val="15"/>
        <w:szCs w:val="15"/>
      </w:rPr>
      <w:t>20</w:t>
    </w:r>
    <w:r w:rsidR="00620D7F">
      <w:rPr>
        <w:rFonts w:ascii="AGaramond" w:hAnsi="AGaramond"/>
        <w:color w:val="000000" w:themeColor="text1"/>
        <w:sz w:val="15"/>
        <w:szCs w:val="15"/>
      </w:rPr>
      <w:t>21</w:t>
    </w:r>
  </w:p>
  <w:p w14:paraId="53C55E1F" w14:textId="5F73C18A" w:rsidR="006F6469" w:rsidRPr="00B7573F" w:rsidRDefault="006F6469" w:rsidP="006F6469">
    <w:pPr>
      <w:ind w:left="142"/>
      <w:rPr>
        <w:rFonts w:ascii="AGaramond" w:hAnsi="AGaramond"/>
        <w:color w:val="000000" w:themeColor="text1"/>
        <w:sz w:val="15"/>
        <w:szCs w:val="15"/>
      </w:rPr>
    </w:pPr>
    <w:r w:rsidRPr="00B7573F">
      <w:rPr>
        <w:rFonts w:ascii="AGaramond" w:hAnsi="AGaramond"/>
        <w:color w:val="000000" w:themeColor="text1"/>
        <w:sz w:val="15"/>
        <w:szCs w:val="15"/>
      </w:rPr>
      <w:t>Pp</w:t>
    </w:r>
    <w:r w:rsidR="0066699B" w:rsidRPr="00B7573F">
      <w:rPr>
        <w:rFonts w:ascii="AGaramond" w:hAnsi="AGaramond"/>
        <w:color w:val="000000" w:themeColor="text1"/>
        <w:sz w:val="15"/>
        <w:szCs w:val="15"/>
      </w:rPr>
      <w:t>.</w:t>
    </w:r>
    <w:r w:rsidRPr="00B7573F">
      <w:rPr>
        <w:rFonts w:ascii="AGaramond" w:hAnsi="AGaramond"/>
        <w:color w:val="000000" w:themeColor="text1"/>
        <w:sz w:val="15"/>
        <w:szCs w:val="15"/>
      </w:rPr>
      <w:t xml:space="preserve"> </w:t>
    </w:r>
    <w:r w:rsidR="00615C7D">
      <w:rPr>
        <w:rFonts w:ascii="AGaramond" w:hAnsi="AGaramond"/>
        <w:color w:val="000000" w:themeColor="text1"/>
        <w:sz w:val="15"/>
        <w:szCs w:val="15"/>
      </w:rPr>
      <w:t>36</w:t>
    </w:r>
    <w:r w:rsidRPr="00B7573F">
      <w:rPr>
        <w:rFonts w:ascii="AGaramond" w:hAnsi="AGaramond"/>
        <w:color w:val="000000" w:themeColor="text1"/>
        <w:sz w:val="15"/>
        <w:szCs w:val="15"/>
      </w:rPr>
      <w:t xml:space="preserve"> – Pp. </w:t>
    </w:r>
    <w:r w:rsidR="00BF767D">
      <w:rPr>
        <w:rFonts w:ascii="AGaramond" w:hAnsi="AGaramond"/>
        <w:color w:val="000000" w:themeColor="text1"/>
        <w:sz w:val="15"/>
        <w:szCs w:val="15"/>
      </w:rPr>
      <w:t>73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4C453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1C526D"/>
    <w:multiLevelType w:val="hybridMultilevel"/>
    <w:tmpl w:val="B150B81C"/>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15:restartNumberingAfterBreak="0">
    <w:nsid w:val="07E0462F"/>
    <w:multiLevelType w:val="hybridMultilevel"/>
    <w:tmpl w:val="6A0E1044"/>
    <w:lvl w:ilvl="0" w:tplc="D27210A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DB0DDD"/>
    <w:multiLevelType w:val="hybridMultilevel"/>
    <w:tmpl w:val="0F78E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C44F74"/>
    <w:multiLevelType w:val="hybridMultilevel"/>
    <w:tmpl w:val="D826C8EA"/>
    <w:lvl w:ilvl="0" w:tplc="200A0001">
      <w:start w:val="1"/>
      <w:numFmt w:val="bullet"/>
      <w:lvlText w:val=""/>
      <w:lvlJc w:val="left"/>
      <w:pPr>
        <w:ind w:left="720" w:hanging="360"/>
      </w:pPr>
      <w:rPr>
        <w:rFonts w:ascii="Symbol" w:hAnsi="Symbol"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5" w15:restartNumberingAfterBreak="0">
    <w:nsid w:val="12A56E30"/>
    <w:multiLevelType w:val="hybridMultilevel"/>
    <w:tmpl w:val="EBD4AAD8"/>
    <w:lvl w:ilvl="0" w:tplc="A88EFD4C">
      <w:start w:val="1"/>
      <w:numFmt w:val="bullet"/>
      <w:lvlText w:val="•"/>
      <w:lvlJc w:val="left"/>
      <w:pPr>
        <w:tabs>
          <w:tab w:val="num" w:pos="360"/>
        </w:tabs>
        <w:ind w:left="360" w:hanging="360"/>
      </w:pPr>
      <w:rPr>
        <w:rFonts w:ascii="Times New Roman" w:hAnsi="Times New Roman" w:hint="default"/>
      </w:rPr>
    </w:lvl>
    <w:lvl w:ilvl="1" w:tplc="E8882914" w:tentative="1">
      <w:start w:val="1"/>
      <w:numFmt w:val="bullet"/>
      <w:lvlText w:val="•"/>
      <w:lvlJc w:val="left"/>
      <w:pPr>
        <w:tabs>
          <w:tab w:val="num" w:pos="1080"/>
        </w:tabs>
        <w:ind w:left="1080" w:hanging="360"/>
      </w:pPr>
      <w:rPr>
        <w:rFonts w:ascii="Times New Roman" w:hAnsi="Times New Roman" w:hint="default"/>
      </w:rPr>
    </w:lvl>
    <w:lvl w:ilvl="2" w:tplc="5898300A" w:tentative="1">
      <w:start w:val="1"/>
      <w:numFmt w:val="bullet"/>
      <w:lvlText w:val="•"/>
      <w:lvlJc w:val="left"/>
      <w:pPr>
        <w:tabs>
          <w:tab w:val="num" w:pos="1800"/>
        </w:tabs>
        <w:ind w:left="1800" w:hanging="360"/>
      </w:pPr>
      <w:rPr>
        <w:rFonts w:ascii="Times New Roman" w:hAnsi="Times New Roman" w:hint="default"/>
      </w:rPr>
    </w:lvl>
    <w:lvl w:ilvl="3" w:tplc="4B44D0F8" w:tentative="1">
      <w:start w:val="1"/>
      <w:numFmt w:val="bullet"/>
      <w:lvlText w:val="•"/>
      <w:lvlJc w:val="left"/>
      <w:pPr>
        <w:tabs>
          <w:tab w:val="num" w:pos="2520"/>
        </w:tabs>
        <w:ind w:left="2520" w:hanging="360"/>
      </w:pPr>
      <w:rPr>
        <w:rFonts w:ascii="Times New Roman" w:hAnsi="Times New Roman" w:hint="default"/>
      </w:rPr>
    </w:lvl>
    <w:lvl w:ilvl="4" w:tplc="6038CE58" w:tentative="1">
      <w:start w:val="1"/>
      <w:numFmt w:val="bullet"/>
      <w:lvlText w:val="•"/>
      <w:lvlJc w:val="left"/>
      <w:pPr>
        <w:tabs>
          <w:tab w:val="num" w:pos="3240"/>
        </w:tabs>
        <w:ind w:left="3240" w:hanging="360"/>
      </w:pPr>
      <w:rPr>
        <w:rFonts w:ascii="Times New Roman" w:hAnsi="Times New Roman" w:hint="default"/>
      </w:rPr>
    </w:lvl>
    <w:lvl w:ilvl="5" w:tplc="834EEA7E" w:tentative="1">
      <w:start w:val="1"/>
      <w:numFmt w:val="bullet"/>
      <w:lvlText w:val="•"/>
      <w:lvlJc w:val="left"/>
      <w:pPr>
        <w:tabs>
          <w:tab w:val="num" w:pos="3960"/>
        </w:tabs>
        <w:ind w:left="3960" w:hanging="360"/>
      </w:pPr>
      <w:rPr>
        <w:rFonts w:ascii="Times New Roman" w:hAnsi="Times New Roman" w:hint="default"/>
      </w:rPr>
    </w:lvl>
    <w:lvl w:ilvl="6" w:tplc="8F927732" w:tentative="1">
      <w:start w:val="1"/>
      <w:numFmt w:val="bullet"/>
      <w:lvlText w:val="•"/>
      <w:lvlJc w:val="left"/>
      <w:pPr>
        <w:tabs>
          <w:tab w:val="num" w:pos="4680"/>
        </w:tabs>
        <w:ind w:left="4680" w:hanging="360"/>
      </w:pPr>
      <w:rPr>
        <w:rFonts w:ascii="Times New Roman" w:hAnsi="Times New Roman" w:hint="default"/>
      </w:rPr>
    </w:lvl>
    <w:lvl w:ilvl="7" w:tplc="2BE8B2B4" w:tentative="1">
      <w:start w:val="1"/>
      <w:numFmt w:val="bullet"/>
      <w:lvlText w:val="•"/>
      <w:lvlJc w:val="left"/>
      <w:pPr>
        <w:tabs>
          <w:tab w:val="num" w:pos="5400"/>
        </w:tabs>
        <w:ind w:left="5400" w:hanging="360"/>
      </w:pPr>
      <w:rPr>
        <w:rFonts w:ascii="Times New Roman" w:hAnsi="Times New Roman" w:hint="default"/>
      </w:rPr>
    </w:lvl>
    <w:lvl w:ilvl="8" w:tplc="12768C28" w:tentative="1">
      <w:start w:val="1"/>
      <w:numFmt w:val="bullet"/>
      <w:lvlText w:val="•"/>
      <w:lvlJc w:val="left"/>
      <w:pPr>
        <w:tabs>
          <w:tab w:val="num" w:pos="6120"/>
        </w:tabs>
        <w:ind w:left="6120" w:hanging="360"/>
      </w:pPr>
      <w:rPr>
        <w:rFonts w:ascii="Times New Roman" w:hAnsi="Times New Roman" w:hint="default"/>
      </w:rPr>
    </w:lvl>
  </w:abstractNum>
  <w:abstractNum w:abstractNumId="6" w15:restartNumberingAfterBreak="0">
    <w:nsid w:val="133760D2"/>
    <w:multiLevelType w:val="hybridMultilevel"/>
    <w:tmpl w:val="51603C4A"/>
    <w:lvl w:ilvl="0" w:tplc="200A001B">
      <w:start w:val="1"/>
      <w:numFmt w:val="lowerRoman"/>
      <w:lvlText w:val="%1."/>
      <w:lvlJc w:val="righ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 w15:restartNumberingAfterBreak="0">
    <w:nsid w:val="138F0FA1"/>
    <w:multiLevelType w:val="hybridMultilevel"/>
    <w:tmpl w:val="A6E40696"/>
    <w:lvl w:ilvl="0" w:tplc="4454B24C">
      <w:start w:val="1"/>
      <w:numFmt w:val="bullet"/>
      <w:lvlText w:val="*"/>
      <w:lvlJc w:val="left"/>
      <w:pPr>
        <w:ind w:left="720" w:hanging="360"/>
      </w:pPr>
      <w:rPr>
        <w:rFonts w:ascii="Arial" w:hAnsi="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8" w15:restartNumberingAfterBreak="0">
    <w:nsid w:val="141D5164"/>
    <w:multiLevelType w:val="hybridMultilevel"/>
    <w:tmpl w:val="CD7A5DF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5AC0D78"/>
    <w:multiLevelType w:val="hybridMultilevel"/>
    <w:tmpl w:val="5464D05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84C4F4C"/>
    <w:multiLevelType w:val="multilevel"/>
    <w:tmpl w:val="80E08BA4"/>
    <w:lvl w:ilvl="0">
      <w:start w:val="1"/>
      <w:numFmt w:val="decimal"/>
      <w:pStyle w:val="Titulo1"/>
      <w:lvlText w:val="%1."/>
      <w:lvlJc w:val="left"/>
      <w:pPr>
        <w:ind w:left="890" w:hanging="360"/>
      </w:pPr>
    </w:lvl>
    <w:lvl w:ilvl="1">
      <w:start w:val="1"/>
      <w:numFmt w:val="decimal"/>
      <w:isLgl/>
      <w:lvlText w:val="%1.%2"/>
      <w:lvlJc w:val="left"/>
      <w:pPr>
        <w:ind w:left="890" w:hanging="360"/>
      </w:pPr>
      <w:rPr>
        <w:rFonts w:hint="default"/>
      </w:rPr>
    </w:lvl>
    <w:lvl w:ilvl="2">
      <w:start w:val="1"/>
      <w:numFmt w:val="decimal"/>
      <w:isLgl/>
      <w:lvlText w:val="%1.%2.%3"/>
      <w:lvlJc w:val="left"/>
      <w:pPr>
        <w:ind w:left="1250" w:hanging="720"/>
      </w:pPr>
      <w:rPr>
        <w:rFonts w:hint="default"/>
      </w:rPr>
    </w:lvl>
    <w:lvl w:ilvl="3">
      <w:start w:val="1"/>
      <w:numFmt w:val="decimal"/>
      <w:isLgl/>
      <w:lvlText w:val="%1.%2.%3.%4"/>
      <w:lvlJc w:val="left"/>
      <w:pPr>
        <w:ind w:left="1250" w:hanging="720"/>
      </w:pPr>
      <w:rPr>
        <w:rFonts w:hint="default"/>
      </w:rPr>
    </w:lvl>
    <w:lvl w:ilvl="4">
      <w:start w:val="1"/>
      <w:numFmt w:val="decimal"/>
      <w:isLgl/>
      <w:lvlText w:val="%1.%2.%3.%4.%5"/>
      <w:lvlJc w:val="left"/>
      <w:pPr>
        <w:ind w:left="1610" w:hanging="1080"/>
      </w:pPr>
      <w:rPr>
        <w:rFonts w:hint="default"/>
      </w:rPr>
    </w:lvl>
    <w:lvl w:ilvl="5">
      <w:start w:val="1"/>
      <w:numFmt w:val="decimal"/>
      <w:isLgl/>
      <w:lvlText w:val="%1.%2.%3.%4.%5.%6"/>
      <w:lvlJc w:val="left"/>
      <w:pPr>
        <w:ind w:left="1610" w:hanging="1080"/>
      </w:pPr>
      <w:rPr>
        <w:rFonts w:hint="default"/>
      </w:rPr>
    </w:lvl>
    <w:lvl w:ilvl="6">
      <w:start w:val="1"/>
      <w:numFmt w:val="decimal"/>
      <w:isLgl/>
      <w:lvlText w:val="%1.%2.%3.%4.%5.%6.%7"/>
      <w:lvlJc w:val="left"/>
      <w:pPr>
        <w:ind w:left="1970" w:hanging="1440"/>
      </w:pPr>
      <w:rPr>
        <w:rFonts w:hint="default"/>
      </w:rPr>
    </w:lvl>
    <w:lvl w:ilvl="7">
      <w:start w:val="1"/>
      <w:numFmt w:val="decimal"/>
      <w:isLgl/>
      <w:lvlText w:val="%1.%2.%3.%4.%5.%6.%7.%8"/>
      <w:lvlJc w:val="left"/>
      <w:pPr>
        <w:ind w:left="1970" w:hanging="1440"/>
      </w:pPr>
      <w:rPr>
        <w:rFonts w:hint="default"/>
      </w:rPr>
    </w:lvl>
    <w:lvl w:ilvl="8">
      <w:start w:val="1"/>
      <w:numFmt w:val="decimal"/>
      <w:isLgl/>
      <w:lvlText w:val="%1.%2.%3.%4.%5.%6.%7.%8.%9"/>
      <w:lvlJc w:val="left"/>
      <w:pPr>
        <w:ind w:left="2330" w:hanging="1800"/>
      </w:pPr>
      <w:rPr>
        <w:rFonts w:hint="default"/>
      </w:rPr>
    </w:lvl>
  </w:abstractNum>
  <w:abstractNum w:abstractNumId="11" w15:restartNumberingAfterBreak="0">
    <w:nsid w:val="18D01AF4"/>
    <w:multiLevelType w:val="hybridMultilevel"/>
    <w:tmpl w:val="8FAE9BDC"/>
    <w:lvl w:ilvl="0" w:tplc="200A000F">
      <w:start w:val="1"/>
      <w:numFmt w:val="decimal"/>
      <w:lvlText w:val="%1."/>
      <w:lvlJc w:val="left"/>
      <w:pPr>
        <w:ind w:left="4150" w:hanging="360"/>
      </w:pPr>
    </w:lvl>
    <w:lvl w:ilvl="1" w:tplc="200A0019" w:tentative="1">
      <w:start w:val="1"/>
      <w:numFmt w:val="lowerLetter"/>
      <w:lvlText w:val="%2."/>
      <w:lvlJc w:val="left"/>
      <w:pPr>
        <w:ind w:left="4870" w:hanging="360"/>
      </w:pPr>
    </w:lvl>
    <w:lvl w:ilvl="2" w:tplc="200A001B" w:tentative="1">
      <w:start w:val="1"/>
      <w:numFmt w:val="lowerRoman"/>
      <w:lvlText w:val="%3."/>
      <w:lvlJc w:val="right"/>
      <w:pPr>
        <w:ind w:left="5590" w:hanging="180"/>
      </w:pPr>
    </w:lvl>
    <w:lvl w:ilvl="3" w:tplc="200A000F" w:tentative="1">
      <w:start w:val="1"/>
      <w:numFmt w:val="decimal"/>
      <w:lvlText w:val="%4."/>
      <w:lvlJc w:val="left"/>
      <w:pPr>
        <w:ind w:left="6310" w:hanging="360"/>
      </w:pPr>
    </w:lvl>
    <w:lvl w:ilvl="4" w:tplc="200A0019" w:tentative="1">
      <w:start w:val="1"/>
      <w:numFmt w:val="lowerLetter"/>
      <w:lvlText w:val="%5."/>
      <w:lvlJc w:val="left"/>
      <w:pPr>
        <w:ind w:left="7030" w:hanging="360"/>
      </w:pPr>
    </w:lvl>
    <w:lvl w:ilvl="5" w:tplc="200A001B" w:tentative="1">
      <w:start w:val="1"/>
      <w:numFmt w:val="lowerRoman"/>
      <w:lvlText w:val="%6."/>
      <w:lvlJc w:val="right"/>
      <w:pPr>
        <w:ind w:left="7750" w:hanging="180"/>
      </w:pPr>
    </w:lvl>
    <w:lvl w:ilvl="6" w:tplc="200A000F" w:tentative="1">
      <w:start w:val="1"/>
      <w:numFmt w:val="decimal"/>
      <w:lvlText w:val="%7."/>
      <w:lvlJc w:val="left"/>
      <w:pPr>
        <w:ind w:left="8470" w:hanging="360"/>
      </w:pPr>
    </w:lvl>
    <w:lvl w:ilvl="7" w:tplc="200A0019" w:tentative="1">
      <w:start w:val="1"/>
      <w:numFmt w:val="lowerLetter"/>
      <w:lvlText w:val="%8."/>
      <w:lvlJc w:val="left"/>
      <w:pPr>
        <w:ind w:left="9190" w:hanging="360"/>
      </w:pPr>
    </w:lvl>
    <w:lvl w:ilvl="8" w:tplc="200A001B" w:tentative="1">
      <w:start w:val="1"/>
      <w:numFmt w:val="lowerRoman"/>
      <w:lvlText w:val="%9."/>
      <w:lvlJc w:val="right"/>
      <w:pPr>
        <w:ind w:left="9910" w:hanging="180"/>
      </w:pPr>
    </w:lvl>
  </w:abstractNum>
  <w:abstractNum w:abstractNumId="12" w15:restartNumberingAfterBreak="0">
    <w:nsid w:val="1C3B3674"/>
    <w:multiLevelType w:val="hybridMultilevel"/>
    <w:tmpl w:val="64408A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C96681A"/>
    <w:multiLevelType w:val="multilevel"/>
    <w:tmpl w:val="0D223832"/>
    <w:lvl w:ilvl="0">
      <w:start w:val="2"/>
      <w:numFmt w:val="decimal"/>
      <w:lvlText w:val="%1"/>
      <w:lvlJc w:val="left"/>
      <w:pPr>
        <w:ind w:left="432" w:hanging="432"/>
      </w:pPr>
      <w:rPr>
        <w:rFonts w:hint="default"/>
      </w:rPr>
    </w:lvl>
    <w:lvl w:ilvl="1">
      <w:start w:val="1"/>
      <w:numFmt w:val="decimal"/>
      <w:pStyle w:val="Titulo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290"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0F06243"/>
    <w:multiLevelType w:val="multilevel"/>
    <w:tmpl w:val="EA3A57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44E0C16"/>
    <w:multiLevelType w:val="hybridMultilevel"/>
    <w:tmpl w:val="79E49942"/>
    <w:lvl w:ilvl="0" w:tplc="200A0001">
      <w:start w:val="1"/>
      <w:numFmt w:val="bullet"/>
      <w:lvlText w:val=""/>
      <w:lvlJc w:val="left"/>
      <w:pPr>
        <w:ind w:left="1004" w:hanging="360"/>
      </w:pPr>
      <w:rPr>
        <w:rFonts w:ascii="Symbol" w:hAnsi="Symbol" w:hint="default"/>
      </w:rPr>
    </w:lvl>
    <w:lvl w:ilvl="1" w:tplc="200A0003" w:tentative="1">
      <w:start w:val="1"/>
      <w:numFmt w:val="bullet"/>
      <w:lvlText w:val="o"/>
      <w:lvlJc w:val="left"/>
      <w:pPr>
        <w:ind w:left="1724" w:hanging="360"/>
      </w:pPr>
      <w:rPr>
        <w:rFonts w:ascii="Courier New" w:hAnsi="Courier New" w:cs="Courier New" w:hint="default"/>
      </w:rPr>
    </w:lvl>
    <w:lvl w:ilvl="2" w:tplc="200A0005" w:tentative="1">
      <w:start w:val="1"/>
      <w:numFmt w:val="bullet"/>
      <w:lvlText w:val=""/>
      <w:lvlJc w:val="left"/>
      <w:pPr>
        <w:ind w:left="2444" w:hanging="360"/>
      </w:pPr>
      <w:rPr>
        <w:rFonts w:ascii="Wingdings" w:hAnsi="Wingdings" w:hint="default"/>
      </w:rPr>
    </w:lvl>
    <w:lvl w:ilvl="3" w:tplc="200A0001" w:tentative="1">
      <w:start w:val="1"/>
      <w:numFmt w:val="bullet"/>
      <w:lvlText w:val=""/>
      <w:lvlJc w:val="left"/>
      <w:pPr>
        <w:ind w:left="3164" w:hanging="360"/>
      </w:pPr>
      <w:rPr>
        <w:rFonts w:ascii="Symbol" w:hAnsi="Symbol" w:hint="default"/>
      </w:rPr>
    </w:lvl>
    <w:lvl w:ilvl="4" w:tplc="200A0003" w:tentative="1">
      <w:start w:val="1"/>
      <w:numFmt w:val="bullet"/>
      <w:lvlText w:val="o"/>
      <w:lvlJc w:val="left"/>
      <w:pPr>
        <w:ind w:left="3884" w:hanging="360"/>
      </w:pPr>
      <w:rPr>
        <w:rFonts w:ascii="Courier New" w:hAnsi="Courier New" w:cs="Courier New" w:hint="default"/>
      </w:rPr>
    </w:lvl>
    <w:lvl w:ilvl="5" w:tplc="200A0005" w:tentative="1">
      <w:start w:val="1"/>
      <w:numFmt w:val="bullet"/>
      <w:lvlText w:val=""/>
      <w:lvlJc w:val="left"/>
      <w:pPr>
        <w:ind w:left="4604" w:hanging="360"/>
      </w:pPr>
      <w:rPr>
        <w:rFonts w:ascii="Wingdings" w:hAnsi="Wingdings" w:hint="default"/>
      </w:rPr>
    </w:lvl>
    <w:lvl w:ilvl="6" w:tplc="200A0001" w:tentative="1">
      <w:start w:val="1"/>
      <w:numFmt w:val="bullet"/>
      <w:lvlText w:val=""/>
      <w:lvlJc w:val="left"/>
      <w:pPr>
        <w:ind w:left="5324" w:hanging="360"/>
      </w:pPr>
      <w:rPr>
        <w:rFonts w:ascii="Symbol" w:hAnsi="Symbol" w:hint="default"/>
      </w:rPr>
    </w:lvl>
    <w:lvl w:ilvl="7" w:tplc="200A0003" w:tentative="1">
      <w:start w:val="1"/>
      <w:numFmt w:val="bullet"/>
      <w:lvlText w:val="o"/>
      <w:lvlJc w:val="left"/>
      <w:pPr>
        <w:ind w:left="6044" w:hanging="360"/>
      </w:pPr>
      <w:rPr>
        <w:rFonts w:ascii="Courier New" w:hAnsi="Courier New" w:cs="Courier New" w:hint="default"/>
      </w:rPr>
    </w:lvl>
    <w:lvl w:ilvl="8" w:tplc="200A0005" w:tentative="1">
      <w:start w:val="1"/>
      <w:numFmt w:val="bullet"/>
      <w:lvlText w:val=""/>
      <w:lvlJc w:val="left"/>
      <w:pPr>
        <w:ind w:left="6764" w:hanging="360"/>
      </w:pPr>
      <w:rPr>
        <w:rFonts w:ascii="Wingdings" w:hAnsi="Wingdings" w:hint="default"/>
      </w:rPr>
    </w:lvl>
  </w:abstractNum>
  <w:abstractNum w:abstractNumId="16" w15:restartNumberingAfterBreak="0">
    <w:nsid w:val="2D375EAC"/>
    <w:multiLevelType w:val="hybridMultilevel"/>
    <w:tmpl w:val="E1CC04C2"/>
    <w:lvl w:ilvl="0" w:tplc="148C9162">
      <w:start w:val="1"/>
      <w:numFmt w:val="bullet"/>
      <w:lvlText w:val=""/>
      <w:lvlJc w:val="left"/>
      <w:pPr>
        <w:ind w:left="720" w:hanging="360"/>
      </w:pPr>
      <w:rPr>
        <w:rFonts w:ascii="Symbol" w:eastAsiaTheme="minorEastAsia"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7" w15:restartNumberingAfterBreak="0">
    <w:nsid w:val="360475CE"/>
    <w:multiLevelType w:val="hybridMultilevel"/>
    <w:tmpl w:val="3EF00510"/>
    <w:lvl w:ilvl="0" w:tplc="ADAAFEDC">
      <w:start w:val="1"/>
      <w:numFmt w:val="lowerRoman"/>
      <w:lvlText w:val="%1."/>
      <w:lvlJc w:val="left"/>
      <w:pPr>
        <w:ind w:left="1080" w:hanging="720"/>
      </w:pPr>
      <w:rPr>
        <w:rFonts w:hint="default"/>
        <w:sz w:val="24"/>
        <w:szCs w:val="24"/>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8" w15:restartNumberingAfterBreak="0">
    <w:nsid w:val="4460623E"/>
    <w:multiLevelType w:val="hybridMultilevel"/>
    <w:tmpl w:val="83D641F2"/>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49A46F88"/>
    <w:multiLevelType w:val="hybridMultilevel"/>
    <w:tmpl w:val="E932E3A0"/>
    <w:lvl w:ilvl="0" w:tplc="D27210A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1012AD"/>
    <w:multiLevelType w:val="hybridMultilevel"/>
    <w:tmpl w:val="687863F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532329B3"/>
    <w:multiLevelType w:val="hybridMultilevel"/>
    <w:tmpl w:val="E60C14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3815214"/>
    <w:multiLevelType w:val="hybridMultilevel"/>
    <w:tmpl w:val="2EFAAEEE"/>
    <w:lvl w:ilvl="0" w:tplc="61103728">
      <w:start w:val="1"/>
      <w:numFmt w:val="decimal"/>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542268D1"/>
    <w:multiLevelType w:val="hybridMultilevel"/>
    <w:tmpl w:val="DE4E0852"/>
    <w:lvl w:ilvl="0" w:tplc="200A000F">
      <w:start w:val="1"/>
      <w:numFmt w:val="decimal"/>
      <w:lvlText w:val="%1."/>
      <w:lvlJc w:val="left"/>
      <w:pPr>
        <w:ind w:left="530" w:hanging="360"/>
      </w:pPr>
      <w:rPr>
        <w:rFonts w:hint="default"/>
      </w:rPr>
    </w:lvl>
    <w:lvl w:ilvl="1" w:tplc="200A0019" w:tentative="1">
      <w:start w:val="1"/>
      <w:numFmt w:val="lowerLetter"/>
      <w:lvlText w:val="%2."/>
      <w:lvlJc w:val="left"/>
      <w:pPr>
        <w:ind w:left="1250" w:hanging="360"/>
      </w:pPr>
    </w:lvl>
    <w:lvl w:ilvl="2" w:tplc="200A001B" w:tentative="1">
      <w:start w:val="1"/>
      <w:numFmt w:val="lowerRoman"/>
      <w:lvlText w:val="%3."/>
      <w:lvlJc w:val="right"/>
      <w:pPr>
        <w:ind w:left="1970" w:hanging="180"/>
      </w:pPr>
    </w:lvl>
    <w:lvl w:ilvl="3" w:tplc="200A000F" w:tentative="1">
      <w:start w:val="1"/>
      <w:numFmt w:val="decimal"/>
      <w:lvlText w:val="%4."/>
      <w:lvlJc w:val="left"/>
      <w:pPr>
        <w:ind w:left="2690" w:hanging="360"/>
      </w:pPr>
    </w:lvl>
    <w:lvl w:ilvl="4" w:tplc="200A0019" w:tentative="1">
      <w:start w:val="1"/>
      <w:numFmt w:val="lowerLetter"/>
      <w:lvlText w:val="%5."/>
      <w:lvlJc w:val="left"/>
      <w:pPr>
        <w:ind w:left="3410" w:hanging="360"/>
      </w:pPr>
    </w:lvl>
    <w:lvl w:ilvl="5" w:tplc="200A001B" w:tentative="1">
      <w:start w:val="1"/>
      <w:numFmt w:val="lowerRoman"/>
      <w:lvlText w:val="%6."/>
      <w:lvlJc w:val="right"/>
      <w:pPr>
        <w:ind w:left="4130" w:hanging="180"/>
      </w:pPr>
    </w:lvl>
    <w:lvl w:ilvl="6" w:tplc="200A000F" w:tentative="1">
      <w:start w:val="1"/>
      <w:numFmt w:val="decimal"/>
      <w:lvlText w:val="%7."/>
      <w:lvlJc w:val="left"/>
      <w:pPr>
        <w:ind w:left="4850" w:hanging="360"/>
      </w:pPr>
    </w:lvl>
    <w:lvl w:ilvl="7" w:tplc="200A0019" w:tentative="1">
      <w:start w:val="1"/>
      <w:numFmt w:val="lowerLetter"/>
      <w:lvlText w:val="%8."/>
      <w:lvlJc w:val="left"/>
      <w:pPr>
        <w:ind w:left="5570" w:hanging="360"/>
      </w:pPr>
    </w:lvl>
    <w:lvl w:ilvl="8" w:tplc="200A001B" w:tentative="1">
      <w:start w:val="1"/>
      <w:numFmt w:val="lowerRoman"/>
      <w:lvlText w:val="%9."/>
      <w:lvlJc w:val="right"/>
      <w:pPr>
        <w:ind w:left="6290" w:hanging="180"/>
      </w:pPr>
    </w:lvl>
  </w:abstractNum>
  <w:abstractNum w:abstractNumId="24" w15:restartNumberingAfterBreak="0">
    <w:nsid w:val="570C391F"/>
    <w:multiLevelType w:val="hybridMultilevel"/>
    <w:tmpl w:val="712AC320"/>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5" w15:restartNumberingAfterBreak="0">
    <w:nsid w:val="57843640"/>
    <w:multiLevelType w:val="hybridMultilevel"/>
    <w:tmpl w:val="02E0AB54"/>
    <w:lvl w:ilvl="0" w:tplc="DE1C7F20">
      <w:start w:val="1"/>
      <w:numFmt w:val="bullet"/>
      <w:lvlText w:val="•"/>
      <w:lvlJc w:val="left"/>
      <w:pPr>
        <w:ind w:left="360" w:hanging="360"/>
      </w:pPr>
      <w:rPr>
        <w:rFonts w:ascii="Arial" w:hAnsi="Arial"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26" w15:restartNumberingAfterBreak="0">
    <w:nsid w:val="67F90992"/>
    <w:multiLevelType w:val="hybridMultilevel"/>
    <w:tmpl w:val="FBAC80E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7" w15:restartNumberingAfterBreak="0">
    <w:nsid w:val="6B9D2CD6"/>
    <w:multiLevelType w:val="hybridMultilevel"/>
    <w:tmpl w:val="9F32DC18"/>
    <w:lvl w:ilvl="0" w:tplc="A3CC4A3E">
      <w:start w:val="1"/>
      <w:numFmt w:val="decimal"/>
      <w:pStyle w:val="MTDisplayEquation"/>
      <w:lvlText w:val="%1."/>
      <w:lvlJc w:val="left"/>
      <w:pPr>
        <w:ind w:left="1211" w:hanging="360"/>
      </w:pPr>
      <w:rPr>
        <w:rFonts w:hint="default"/>
      </w:rPr>
    </w:lvl>
    <w:lvl w:ilvl="1" w:tplc="200A0019">
      <w:start w:val="1"/>
      <w:numFmt w:val="lowerLetter"/>
      <w:lvlText w:val="%2."/>
      <w:lvlJc w:val="left"/>
      <w:pPr>
        <w:ind w:left="1865" w:hanging="360"/>
      </w:pPr>
    </w:lvl>
    <w:lvl w:ilvl="2" w:tplc="200A001B">
      <w:start w:val="1"/>
      <w:numFmt w:val="lowerRoman"/>
      <w:lvlText w:val="%3."/>
      <w:lvlJc w:val="right"/>
      <w:pPr>
        <w:ind w:left="2585" w:hanging="180"/>
      </w:pPr>
    </w:lvl>
    <w:lvl w:ilvl="3" w:tplc="200A000F">
      <w:start w:val="1"/>
      <w:numFmt w:val="decimal"/>
      <w:lvlText w:val="%4."/>
      <w:lvlJc w:val="left"/>
      <w:pPr>
        <w:ind w:left="3305" w:hanging="360"/>
      </w:pPr>
    </w:lvl>
    <w:lvl w:ilvl="4" w:tplc="200A0019" w:tentative="1">
      <w:start w:val="1"/>
      <w:numFmt w:val="lowerLetter"/>
      <w:lvlText w:val="%5."/>
      <w:lvlJc w:val="left"/>
      <w:pPr>
        <w:ind w:left="4025" w:hanging="360"/>
      </w:pPr>
    </w:lvl>
    <w:lvl w:ilvl="5" w:tplc="200A001B" w:tentative="1">
      <w:start w:val="1"/>
      <w:numFmt w:val="lowerRoman"/>
      <w:lvlText w:val="%6."/>
      <w:lvlJc w:val="right"/>
      <w:pPr>
        <w:ind w:left="4745" w:hanging="180"/>
      </w:pPr>
    </w:lvl>
    <w:lvl w:ilvl="6" w:tplc="200A000F" w:tentative="1">
      <w:start w:val="1"/>
      <w:numFmt w:val="decimal"/>
      <w:lvlText w:val="%7."/>
      <w:lvlJc w:val="left"/>
      <w:pPr>
        <w:ind w:left="5465" w:hanging="360"/>
      </w:pPr>
    </w:lvl>
    <w:lvl w:ilvl="7" w:tplc="200A0019" w:tentative="1">
      <w:start w:val="1"/>
      <w:numFmt w:val="lowerLetter"/>
      <w:lvlText w:val="%8."/>
      <w:lvlJc w:val="left"/>
      <w:pPr>
        <w:ind w:left="6185" w:hanging="360"/>
      </w:pPr>
    </w:lvl>
    <w:lvl w:ilvl="8" w:tplc="200A001B" w:tentative="1">
      <w:start w:val="1"/>
      <w:numFmt w:val="lowerRoman"/>
      <w:lvlText w:val="%9."/>
      <w:lvlJc w:val="right"/>
      <w:pPr>
        <w:ind w:left="6905" w:hanging="180"/>
      </w:pPr>
    </w:lvl>
  </w:abstractNum>
  <w:abstractNum w:abstractNumId="28" w15:restartNumberingAfterBreak="0">
    <w:nsid w:val="6FC76614"/>
    <w:multiLevelType w:val="hybridMultilevel"/>
    <w:tmpl w:val="B8A6640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9" w15:restartNumberingAfterBreak="0">
    <w:nsid w:val="70CA4FC6"/>
    <w:multiLevelType w:val="hybridMultilevel"/>
    <w:tmpl w:val="56B6099E"/>
    <w:lvl w:ilvl="0" w:tplc="B950DE64">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723952FA"/>
    <w:multiLevelType w:val="hybridMultilevel"/>
    <w:tmpl w:val="5CDAA28E"/>
    <w:lvl w:ilvl="0" w:tplc="97DEA1F8">
      <w:start w:val="1"/>
      <w:numFmt w:val="decimal"/>
      <w:lvlText w:val="%1."/>
      <w:lvlJc w:val="left"/>
      <w:pPr>
        <w:ind w:left="1080" w:hanging="720"/>
      </w:pPr>
      <w:rPr>
        <w:rFonts w:ascii="Times New Roman" w:hAnsi="Times New Roman" w:hint="default"/>
        <w:b w:val="0"/>
        <w:i w:val="0"/>
        <w:sz w:val="24"/>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1" w15:restartNumberingAfterBreak="0">
    <w:nsid w:val="73A3107C"/>
    <w:multiLevelType w:val="multilevel"/>
    <w:tmpl w:val="7ACC5340"/>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32" w15:restartNumberingAfterBreak="0">
    <w:nsid w:val="7507629D"/>
    <w:multiLevelType w:val="hybridMultilevel"/>
    <w:tmpl w:val="20E69F6E"/>
    <w:lvl w:ilvl="0" w:tplc="200A0011">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3" w15:restartNumberingAfterBreak="0">
    <w:nsid w:val="78076FE2"/>
    <w:multiLevelType w:val="hybridMultilevel"/>
    <w:tmpl w:val="A85C3A9A"/>
    <w:lvl w:ilvl="0" w:tplc="97DEA1F8">
      <w:start w:val="1"/>
      <w:numFmt w:val="decimal"/>
      <w:lvlText w:val="%1."/>
      <w:lvlJc w:val="left"/>
      <w:pPr>
        <w:ind w:left="720" w:hanging="360"/>
      </w:pPr>
      <w:rPr>
        <w:rFonts w:ascii="Times New Roman" w:hAnsi="Times New Roman" w:hint="default"/>
        <w:b w:val="0"/>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8B92314"/>
    <w:multiLevelType w:val="hybridMultilevel"/>
    <w:tmpl w:val="03343A58"/>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5" w15:restartNumberingAfterBreak="0">
    <w:nsid w:val="78F81CA4"/>
    <w:multiLevelType w:val="hybridMultilevel"/>
    <w:tmpl w:val="06D8CA22"/>
    <w:lvl w:ilvl="0" w:tplc="19D43E72">
      <w:start w:val="1"/>
      <w:numFmt w:val="bullet"/>
      <w:lvlText w:val="•"/>
      <w:lvlJc w:val="left"/>
      <w:pPr>
        <w:tabs>
          <w:tab w:val="num" w:pos="360"/>
        </w:tabs>
        <w:ind w:left="360" w:hanging="360"/>
      </w:pPr>
      <w:rPr>
        <w:rFonts w:ascii="Times New Roman" w:hAnsi="Times New Roman" w:hint="default"/>
      </w:rPr>
    </w:lvl>
    <w:lvl w:ilvl="1" w:tplc="FF38A1BE" w:tentative="1">
      <w:start w:val="1"/>
      <w:numFmt w:val="bullet"/>
      <w:lvlText w:val="•"/>
      <w:lvlJc w:val="left"/>
      <w:pPr>
        <w:tabs>
          <w:tab w:val="num" w:pos="1080"/>
        </w:tabs>
        <w:ind w:left="1080" w:hanging="360"/>
      </w:pPr>
      <w:rPr>
        <w:rFonts w:ascii="Times New Roman" w:hAnsi="Times New Roman" w:hint="default"/>
      </w:rPr>
    </w:lvl>
    <w:lvl w:ilvl="2" w:tplc="8EA0FB84" w:tentative="1">
      <w:start w:val="1"/>
      <w:numFmt w:val="bullet"/>
      <w:lvlText w:val="•"/>
      <w:lvlJc w:val="left"/>
      <w:pPr>
        <w:tabs>
          <w:tab w:val="num" w:pos="1800"/>
        </w:tabs>
        <w:ind w:left="1800" w:hanging="360"/>
      </w:pPr>
      <w:rPr>
        <w:rFonts w:ascii="Times New Roman" w:hAnsi="Times New Roman" w:hint="default"/>
      </w:rPr>
    </w:lvl>
    <w:lvl w:ilvl="3" w:tplc="A51EF478" w:tentative="1">
      <w:start w:val="1"/>
      <w:numFmt w:val="bullet"/>
      <w:lvlText w:val="•"/>
      <w:lvlJc w:val="left"/>
      <w:pPr>
        <w:tabs>
          <w:tab w:val="num" w:pos="2520"/>
        </w:tabs>
        <w:ind w:left="2520" w:hanging="360"/>
      </w:pPr>
      <w:rPr>
        <w:rFonts w:ascii="Times New Roman" w:hAnsi="Times New Roman" w:hint="default"/>
      </w:rPr>
    </w:lvl>
    <w:lvl w:ilvl="4" w:tplc="228E1038" w:tentative="1">
      <w:start w:val="1"/>
      <w:numFmt w:val="bullet"/>
      <w:lvlText w:val="•"/>
      <w:lvlJc w:val="left"/>
      <w:pPr>
        <w:tabs>
          <w:tab w:val="num" w:pos="3240"/>
        </w:tabs>
        <w:ind w:left="3240" w:hanging="360"/>
      </w:pPr>
      <w:rPr>
        <w:rFonts w:ascii="Times New Roman" w:hAnsi="Times New Roman" w:hint="default"/>
      </w:rPr>
    </w:lvl>
    <w:lvl w:ilvl="5" w:tplc="87264C48" w:tentative="1">
      <w:start w:val="1"/>
      <w:numFmt w:val="bullet"/>
      <w:lvlText w:val="•"/>
      <w:lvlJc w:val="left"/>
      <w:pPr>
        <w:tabs>
          <w:tab w:val="num" w:pos="3960"/>
        </w:tabs>
        <w:ind w:left="3960" w:hanging="360"/>
      </w:pPr>
      <w:rPr>
        <w:rFonts w:ascii="Times New Roman" w:hAnsi="Times New Roman" w:hint="default"/>
      </w:rPr>
    </w:lvl>
    <w:lvl w:ilvl="6" w:tplc="BC8483A6" w:tentative="1">
      <w:start w:val="1"/>
      <w:numFmt w:val="bullet"/>
      <w:lvlText w:val="•"/>
      <w:lvlJc w:val="left"/>
      <w:pPr>
        <w:tabs>
          <w:tab w:val="num" w:pos="4680"/>
        </w:tabs>
        <w:ind w:left="4680" w:hanging="360"/>
      </w:pPr>
      <w:rPr>
        <w:rFonts w:ascii="Times New Roman" w:hAnsi="Times New Roman" w:hint="default"/>
      </w:rPr>
    </w:lvl>
    <w:lvl w:ilvl="7" w:tplc="D82CC1D8" w:tentative="1">
      <w:start w:val="1"/>
      <w:numFmt w:val="bullet"/>
      <w:lvlText w:val="•"/>
      <w:lvlJc w:val="left"/>
      <w:pPr>
        <w:tabs>
          <w:tab w:val="num" w:pos="5400"/>
        </w:tabs>
        <w:ind w:left="5400" w:hanging="360"/>
      </w:pPr>
      <w:rPr>
        <w:rFonts w:ascii="Times New Roman" w:hAnsi="Times New Roman" w:hint="default"/>
      </w:rPr>
    </w:lvl>
    <w:lvl w:ilvl="8" w:tplc="198EBB82" w:tentative="1">
      <w:start w:val="1"/>
      <w:numFmt w:val="bullet"/>
      <w:lvlText w:val="•"/>
      <w:lvlJc w:val="left"/>
      <w:pPr>
        <w:tabs>
          <w:tab w:val="num" w:pos="6120"/>
        </w:tabs>
        <w:ind w:left="6120" w:hanging="360"/>
      </w:pPr>
      <w:rPr>
        <w:rFonts w:ascii="Times New Roman" w:hAnsi="Times New Roman" w:hint="default"/>
      </w:rPr>
    </w:lvl>
  </w:abstractNum>
  <w:abstractNum w:abstractNumId="36" w15:restartNumberingAfterBreak="0">
    <w:nsid w:val="79601BD7"/>
    <w:multiLevelType w:val="hybridMultilevel"/>
    <w:tmpl w:val="581A7102"/>
    <w:lvl w:ilvl="0" w:tplc="200A0001">
      <w:start w:val="1"/>
      <w:numFmt w:val="bullet"/>
      <w:lvlText w:val=""/>
      <w:lvlJc w:val="left"/>
      <w:pPr>
        <w:ind w:left="720" w:hanging="360"/>
      </w:pPr>
      <w:rPr>
        <w:rFonts w:ascii="Symbol" w:hAnsi="Symbol"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7" w15:restartNumberingAfterBreak="0">
    <w:nsid w:val="7B552F61"/>
    <w:multiLevelType w:val="hybridMultilevel"/>
    <w:tmpl w:val="CFC414AA"/>
    <w:lvl w:ilvl="0" w:tplc="0810B62A">
      <w:start w:val="1"/>
      <w:numFmt w:val="bullet"/>
      <w:lvlText w:val="•"/>
      <w:lvlJc w:val="left"/>
      <w:pPr>
        <w:tabs>
          <w:tab w:val="num" w:pos="360"/>
        </w:tabs>
        <w:ind w:left="360" w:hanging="360"/>
      </w:pPr>
      <w:rPr>
        <w:rFonts w:ascii="Times New Roman" w:hAnsi="Times New Roman" w:hint="default"/>
      </w:rPr>
    </w:lvl>
    <w:lvl w:ilvl="1" w:tplc="16ECB412" w:tentative="1">
      <w:start w:val="1"/>
      <w:numFmt w:val="bullet"/>
      <w:lvlText w:val="•"/>
      <w:lvlJc w:val="left"/>
      <w:pPr>
        <w:tabs>
          <w:tab w:val="num" w:pos="1080"/>
        </w:tabs>
        <w:ind w:left="1080" w:hanging="360"/>
      </w:pPr>
      <w:rPr>
        <w:rFonts w:ascii="Times New Roman" w:hAnsi="Times New Roman" w:hint="default"/>
      </w:rPr>
    </w:lvl>
    <w:lvl w:ilvl="2" w:tplc="BCAA7AEC" w:tentative="1">
      <w:start w:val="1"/>
      <w:numFmt w:val="bullet"/>
      <w:lvlText w:val="•"/>
      <w:lvlJc w:val="left"/>
      <w:pPr>
        <w:tabs>
          <w:tab w:val="num" w:pos="1800"/>
        </w:tabs>
        <w:ind w:left="1800" w:hanging="360"/>
      </w:pPr>
      <w:rPr>
        <w:rFonts w:ascii="Times New Roman" w:hAnsi="Times New Roman" w:hint="default"/>
      </w:rPr>
    </w:lvl>
    <w:lvl w:ilvl="3" w:tplc="1C204E9E" w:tentative="1">
      <w:start w:val="1"/>
      <w:numFmt w:val="bullet"/>
      <w:lvlText w:val="•"/>
      <w:lvlJc w:val="left"/>
      <w:pPr>
        <w:tabs>
          <w:tab w:val="num" w:pos="2520"/>
        </w:tabs>
        <w:ind w:left="2520" w:hanging="360"/>
      </w:pPr>
      <w:rPr>
        <w:rFonts w:ascii="Times New Roman" w:hAnsi="Times New Roman" w:hint="default"/>
      </w:rPr>
    </w:lvl>
    <w:lvl w:ilvl="4" w:tplc="6DC6E440" w:tentative="1">
      <w:start w:val="1"/>
      <w:numFmt w:val="bullet"/>
      <w:lvlText w:val="•"/>
      <w:lvlJc w:val="left"/>
      <w:pPr>
        <w:tabs>
          <w:tab w:val="num" w:pos="3240"/>
        </w:tabs>
        <w:ind w:left="3240" w:hanging="360"/>
      </w:pPr>
      <w:rPr>
        <w:rFonts w:ascii="Times New Roman" w:hAnsi="Times New Roman" w:hint="default"/>
      </w:rPr>
    </w:lvl>
    <w:lvl w:ilvl="5" w:tplc="F698B0E0" w:tentative="1">
      <w:start w:val="1"/>
      <w:numFmt w:val="bullet"/>
      <w:lvlText w:val="•"/>
      <w:lvlJc w:val="left"/>
      <w:pPr>
        <w:tabs>
          <w:tab w:val="num" w:pos="3960"/>
        </w:tabs>
        <w:ind w:left="3960" w:hanging="360"/>
      </w:pPr>
      <w:rPr>
        <w:rFonts w:ascii="Times New Roman" w:hAnsi="Times New Roman" w:hint="default"/>
      </w:rPr>
    </w:lvl>
    <w:lvl w:ilvl="6" w:tplc="32809F8C" w:tentative="1">
      <w:start w:val="1"/>
      <w:numFmt w:val="bullet"/>
      <w:lvlText w:val="•"/>
      <w:lvlJc w:val="left"/>
      <w:pPr>
        <w:tabs>
          <w:tab w:val="num" w:pos="4680"/>
        </w:tabs>
        <w:ind w:left="4680" w:hanging="360"/>
      </w:pPr>
      <w:rPr>
        <w:rFonts w:ascii="Times New Roman" w:hAnsi="Times New Roman" w:hint="default"/>
      </w:rPr>
    </w:lvl>
    <w:lvl w:ilvl="7" w:tplc="529461B0" w:tentative="1">
      <w:start w:val="1"/>
      <w:numFmt w:val="bullet"/>
      <w:lvlText w:val="•"/>
      <w:lvlJc w:val="left"/>
      <w:pPr>
        <w:tabs>
          <w:tab w:val="num" w:pos="5400"/>
        </w:tabs>
        <w:ind w:left="5400" w:hanging="360"/>
      </w:pPr>
      <w:rPr>
        <w:rFonts w:ascii="Times New Roman" w:hAnsi="Times New Roman" w:hint="default"/>
      </w:rPr>
    </w:lvl>
    <w:lvl w:ilvl="8" w:tplc="1974B6FA" w:tentative="1">
      <w:start w:val="1"/>
      <w:numFmt w:val="bullet"/>
      <w:lvlText w:val="•"/>
      <w:lvlJc w:val="left"/>
      <w:pPr>
        <w:tabs>
          <w:tab w:val="num" w:pos="6120"/>
        </w:tabs>
        <w:ind w:left="6120" w:hanging="360"/>
      </w:pPr>
      <w:rPr>
        <w:rFonts w:ascii="Times New Roman" w:hAnsi="Times New Roman" w:hint="default"/>
      </w:rPr>
    </w:lvl>
  </w:abstractNum>
  <w:abstractNum w:abstractNumId="38" w15:restartNumberingAfterBreak="0">
    <w:nsid w:val="7E6A6CBC"/>
    <w:multiLevelType w:val="hybridMultilevel"/>
    <w:tmpl w:val="CAA4A5F0"/>
    <w:lvl w:ilvl="0" w:tplc="97588138">
      <w:start w:val="1"/>
      <w:numFmt w:val="decimal"/>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7E780EE6"/>
    <w:multiLevelType w:val="hybridMultilevel"/>
    <w:tmpl w:val="A40259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7ED1642A"/>
    <w:multiLevelType w:val="hybridMultilevel"/>
    <w:tmpl w:val="EEE43968"/>
    <w:lvl w:ilvl="0" w:tplc="DB4A564A">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1" w15:restartNumberingAfterBreak="0">
    <w:nsid w:val="7EDC20C1"/>
    <w:multiLevelType w:val="multilevel"/>
    <w:tmpl w:val="6D9ED44E"/>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num w:numId="1">
    <w:abstractNumId w:val="27"/>
  </w:num>
  <w:num w:numId="2">
    <w:abstractNumId w:val="15"/>
  </w:num>
  <w:num w:numId="3">
    <w:abstractNumId w:val="12"/>
  </w:num>
  <w:num w:numId="4">
    <w:abstractNumId w:val="24"/>
  </w:num>
  <w:num w:numId="5">
    <w:abstractNumId w:val="31"/>
  </w:num>
  <w:num w:numId="6">
    <w:abstractNumId w:val="14"/>
  </w:num>
  <w:num w:numId="7">
    <w:abstractNumId w:val="41"/>
  </w:num>
  <w:num w:numId="8">
    <w:abstractNumId w:val="13"/>
  </w:num>
  <w:num w:numId="9">
    <w:abstractNumId w:val="11"/>
  </w:num>
  <w:num w:numId="10">
    <w:abstractNumId w:val="23"/>
  </w:num>
  <w:num w:numId="11">
    <w:abstractNumId w:val="10"/>
  </w:num>
  <w:num w:numId="12">
    <w:abstractNumId w:val="26"/>
  </w:num>
  <w:num w:numId="13">
    <w:abstractNumId w:val="21"/>
  </w:num>
  <w:num w:numId="14">
    <w:abstractNumId w:val="0"/>
  </w:num>
  <w:num w:numId="15">
    <w:abstractNumId w:val="32"/>
  </w:num>
  <w:num w:numId="16">
    <w:abstractNumId w:val="5"/>
  </w:num>
  <w:num w:numId="17">
    <w:abstractNumId w:val="25"/>
  </w:num>
  <w:num w:numId="18">
    <w:abstractNumId w:val="35"/>
  </w:num>
  <w:num w:numId="19">
    <w:abstractNumId w:val="37"/>
  </w:num>
  <w:num w:numId="20">
    <w:abstractNumId w:val="8"/>
  </w:num>
  <w:num w:numId="21">
    <w:abstractNumId w:val="34"/>
  </w:num>
  <w:num w:numId="22">
    <w:abstractNumId w:val="36"/>
  </w:num>
  <w:num w:numId="23">
    <w:abstractNumId w:val="28"/>
  </w:num>
  <w:num w:numId="24">
    <w:abstractNumId w:val="1"/>
  </w:num>
  <w:num w:numId="25">
    <w:abstractNumId w:val="4"/>
  </w:num>
  <w:num w:numId="26">
    <w:abstractNumId w:val="40"/>
  </w:num>
  <w:num w:numId="27">
    <w:abstractNumId w:val="6"/>
  </w:num>
  <w:num w:numId="28">
    <w:abstractNumId w:val="16"/>
  </w:num>
  <w:num w:numId="29">
    <w:abstractNumId w:val="7"/>
  </w:num>
  <w:num w:numId="30">
    <w:abstractNumId w:val="17"/>
  </w:num>
  <w:num w:numId="31">
    <w:abstractNumId w:val="3"/>
  </w:num>
  <w:num w:numId="32">
    <w:abstractNumId w:val="19"/>
  </w:num>
  <w:num w:numId="33">
    <w:abstractNumId w:val="2"/>
  </w:num>
  <w:num w:numId="34">
    <w:abstractNumId w:val="30"/>
  </w:num>
  <w:num w:numId="35">
    <w:abstractNumId w:val="39"/>
  </w:num>
  <w:num w:numId="36">
    <w:abstractNumId w:val="18"/>
  </w:num>
  <w:num w:numId="37">
    <w:abstractNumId w:val="38"/>
  </w:num>
  <w:num w:numId="38">
    <w:abstractNumId w:val="9"/>
  </w:num>
  <w:num w:numId="39">
    <w:abstractNumId w:val="29"/>
  </w:num>
  <w:num w:numId="40">
    <w:abstractNumId w:val="20"/>
  </w:num>
  <w:num w:numId="41">
    <w:abstractNumId w:val="22"/>
  </w:num>
  <w:num w:numId="42">
    <w:abstractNumId w:val="3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8DE"/>
    <w:rsid w:val="000022F9"/>
    <w:rsid w:val="00011FC6"/>
    <w:rsid w:val="000358E4"/>
    <w:rsid w:val="00050334"/>
    <w:rsid w:val="000562A3"/>
    <w:rsid w:val="00060623"/>
    <w:rsid w:val="000647C9"/>
    <w:rsid w:val="000768D3"/>
    <w:rsid w:val="00083019"/>
    <w:rsid w:val="00083F3E"/>
    <w:rsid w:val="000A09FF"/>
    <w:rsid w:val="000B726D"/>
    <w:rsid w:val="000B7456"/>
    <w:rsid w:val="000C1786"/>
    <w:rsid w:val="000C1924"/>
    <w:rsid w:val="000D78D3"/>
    <w:rsid w:val="000E09B7"/>
    <w:rsid w:val="000E72E4"/>
    <w:rsid w:val="0010523F"/>
    <w:rsid w:val="00105AD7"/>
    <w:rsid w:val="00113B65"/>
    <w:rsid w:val="00123FEB"/>
    <w:rsid w:val="001425B3"/>
    <w:rsid w:val="00146F6D"/>
    <w:rsid w:val="00147A0B"/>
    <w:rsid w:val="001547ED"/>
    <w:rsid w:val="00160FBC"/>
    <w:rsid w:val="001620EE"/>
    <w:rsid w:val="00182115"/>
    <w:rsid w:val="00192B06"/>
    <w:rsid w:val="001C3487"/>
    <w:rsid w:val="001E1F52"/>
    <w:rsid w:val="001E793C"/>
    <w:rsid w:val="001F36DF"/>
    <w:rsid w:val="00216947"/>
    <w:rsid w:val="0022053E"/>
    <w:rsid w:val="0022144A"/>
    <w:rsid w:val="00232888"/>
    <w:rsid w:val="00233FE6"/>
    <w:rsid w:val="0023454F"/>
    <w:rsid w:val="00237115"/>
    <w:rsid w:val="002378D0"/>
    <w:rsid w:val="00251B74"/>
    <w:rsid w:val="0025767F"/>
    <w:rsid w:val="0027345F"/>
    <w:rsid w:val="00273FA9"/>
    <w:rsid w:val="00275769"/>
    <w:rsid w:val="002773F7"/>
    <w:rsid w:val="002838FC"/>
    <w:rsid w:val="00285745"/>
    <w:rsid w:val="00285874"/>
    <w:rsid w:val="00292368"/>
    <w:rsid w:val="00294193"/>
    <w:rsid w:val="002952FB"/>
    <w:rsid w:val="002A0E0C"/>
    <w:rsid w:val="002A415C"/>
    <w:rsid w:val="002A60A2"/>
    <w:rsid w:val="002B33F1"/>
    <w:rsid w:val="002C27EE"/>
    <w:rsid w:val="002C646E"/>
    <w:rsid w:val="002D23C8"/>
    <w:rsid w:val="002D7C6F"/>
    <w:rsid w:val="002F61C4"/>
    <w:rsid w:val="00310D24"/>
    <w:rsid w:val="00317639"/>
    <w:rsid w:val="003177DB"/>
    <w:rsid w:val="00330FEE"/>
    <w:rsid w:val="003342C7"/>
    <w:rsid w:val="00335A7C"/>
    <w:rsid w:val="00350634"/>
    <w:rsid w:val="00350757"/>
    <w:rsid w:val="00352D95"/>
    <w:rsid w:val="00356595"/>
    <w:rsid w:val="00356D4E"/>
    <w:rsid w:val="00373FC7"/>
    <w:rsid w:val="00381168"/>
    <w:rsid w:val="003A59E4"/>
    <w:rsid w:val="003A6617"/>
    <w:rsid w:val="003B6816"/>
    <w:rsid w:val="003B7A44"/>
    <w:rsid w:val="003C530F"/>
    <w:rsid w:val="003D087C"/>
    <w:rsid w:val="003D7A33"/>
    <w:rsid w:val="003E0258"/>
    <w:rsid w:val="003E38DF"/>
    <w:rsid w:val="003E4A22"/>
    <w:rsid w:val="003E614F"/>
    <w:rsid w:val="003E6B30"/>
    <w:rsid w:val="0040374A"/>
    <w:rsid w:val="0040638E"/>
    <w:rsid w:val="00416183"/>
    <w:rsid w:val="004166E5"/>
    <w:rsid w:val="00427DC8"/>
    <w:rsid w:val="00432115"/>
    <w:rsid w:val="004364E4"/>
    <w:rsid w:val="00442BC6"/>
    <w:rsid w:val="0045618B"/>
    <w:rsid w:val="004639AC"/>
    <w:rsid w:val="004649C5"/>
    <w:rsid w:val="0048422C"/>
    <w:rsid w:val="004B4B15"/>
    <w:rsid w:val="004B52BC"/>
    <w:rsid w:val="004B7824"/>
    <w:rsid w:val="004B78AB"/>
    <w:rsid w:val="004C5979"/>
    <w:rsid w:val="004C648A"/>
    <w:rsid w:val="004D7342"/>
    <w:rsid w:val="004F4BCA"/>
    <w:rsid w:val="005024C4"/>
    <w:rsid w:val="00520FF2"/>
    <w:rsid w:val="00521D40"/>
    <w:rsid w:val="005245F2"/>
    <w:rsid w:val="0052718F"/>
    <w:rsid w:val="00537B46"/>
    <w:rsid w:val="00546B8A"/>
    <w:rsid w:val="00575408"/>
    <w:rsid w:val="005A12D8"/>
    <w:rsid w:val="005A5AAA"/>
    <w:rsid w:val="005A7CB0"/>
    <w:rsid w:val="005B0CCF"/>
    <w:rsid w:val="005B4842"/>
    <w:rsid w:val="005C340A"/>
    <w:rsid w:val="005C3CED"/>
    <w:rsid w:val="005D6EDD"/>
    <w:rsid w:val="005E0076"/>
    <w:rsid w:val="005E0A54"/>
    <w:rsid w:val="005F4183"/>
    <w:rsid w:val="00612790"/>
    <w:rsid w:val="006141AB"/>
    <w:rsid w:val="00615C7D"/>
    <w:rsid w:val="00616964"/>
    <w:rsid w:val="006175A3"/>
    <w:rsid w:val="00620D7F"/>
    <w:rsid w:val="00627354"/>
    <w:rsid w:val="00641744"/>
    <w:rsid w:val="00643F05"/>
    <w:rsid w:val="00644E36"/>
    <w:rsid w:val="0066699B"/>
    <w:rsid w:val="00676101"/>
    <w:rsid w:val="00677BA2"/>
    <w:rsid w:val="00693FF4"/>
    <w:rsid w:val="006B5C3E"/>
    <w:rsid w:val="006C2701"/>
    <w:rsid w:val="006E796C"/>
    <w:rsid w:val="006E7A3B"/>
    <w:rsid w:val="006F6469"/>
    <w:rsid w:val="007014B9"/>
    <w:rsid w:val="00713B51"/>
    <w:rsid w:val="007214B8"/>
    <w:rsid w:val="00723434"/>
    <w:rsid w:val="00725B3D"/>
    <w:rsid w:val="00732FC5"/>
    <w:rsid w:val="00745A5A"/>
    <w:rsid w:val="00751E41"/>
    <w:rsid w:val="007678B0"/>
    <w:rsid w:val="00770F21"/>
    <w:rsid w:val="007821B8"/>
    <w:rsid w:val="007A0744"/>
    <w:rsid w:val="007C60A7"/>
    <w:rsid w:val="007E279F"/>
    <w:rsid w:val="007E57FA"/>
    <w:rsid w:val="00801EA1"/>
    <w:rsid w:val="00814FC3"/>
    <w:rsid w:val="00816C44"/>
    <w:rsid w:val="008177DD"/>
    <w:rsid w:val="00831B46"/>
    <w:rsid w:val="00840870"/>
    <w:rsid w:val="0084202F"/>
    <w:rsid w:val="008518B0"/>
    <w:rsid w:val="00853B29"/>
    <w:rsid w:val="008557D5"/>
    <w:rsid w:val="0087017A"/>
    <w:rsid w:val="00872470"/>
    <w:rsid w:val="00873FAC"/>
    <w:rsid w:val="008750D8"/>
    <w:rsid w:val="00892D56"/>
    <w:rsid w:val="008970E1"/>
    <w:rsid w:val="008A0E72"/>
    <w:rsid w:val="008A2965"/>
    <w:rsid w:val="008A633C"/>
    <w:rsid w:val="008B46F5"/>
    <w:rsid w:val="008E50D6"/>
    <w:rsid w:val="008F556E"/>
    <w:rsid w:val="008F7824"/>
    <w:rsid w:val="009011F5"/>
    <w:rsid w:val="00920AB4"/>
    <w:rsid w:val="00924B40"/>
    <w:rsid w:val="00926354"/>
    <w:rsid w:val="00937DC4"/>
    <w:rsid w:val="009436E3"/>
    <w:rsid w:val="00952492"/>
    <w:rsid w:val="00965A61"/>
    <w:rsid w:val="00970AA8"/>
    <w:rsid w:val="00980CC1"/>
    <w:rsid w:val="009A0B02"/>
    <w:rsid w:val="009A1606"/>
    <w:rsid w:val="009A2153"/>
    <w:rsid w:val="009B0599"/>
    <w:rsid w:val="009E028A"/>
    <w:rsid w:val="009E24D1"/>
    <w:rsid w:val="009F4EC5"/>
    <w:rsid w:val="00A042B1"/>
    <w:rsid w:val="00A24BE2"/>
    <w:rsid w:val="00A309A9"/>
    <w:rsid w:val="00A341D3"/>
    <w:rsid w:val="00A3439D"/>
    <w:rsid w:val="00A36850"/>
    <w:rsid w:val="00A418C7"/>
    <w:rsid w:val="00A64BDD"/>
    <w:rsid w:val="00A828DE"/>
    <w:rsid w:val="00A862BB"/>
    <w:rsid w:val="00A9494A"/>
    <w:rsid w:val="00A976DB"/>
    <w:rsid w:val="00AA063D"/>
    <w:rsid w:val="00AA2A49"/>
    <w:rsid w:val="00AB1C84"/>
    <w:rsid w:val="00AC2EE3"/>
    <w:rsid w:val="00AC4995"/>
    <w:rsid w:val="00AC6E9E"/>
    <w:rsid w:val="00AD5565"/>
    <w:rsid w:val="00AF0696"/>
    <w:rsid w:val="00AF4CA5"/>
    <w:rsid w:val="00AF5297"/>
    <w:rsid w:val="00B1065C"/>
    <w:rsid w:val="00B11D77"/>
    <w:rsid w:val="00B203B0"/>
    <w:rsid w:val="00B276E4"/>
    <w:rsid w:val="00B60EE5"/>
    <w:rsid w:val="00B7573F"/>
    <w:rsid w:val="00B80863"/>
    <w:rsid w:val="00B85875"/>
    <w:rsid w:val="00B93C91"/>
    <w:rsid w:val="00BA01D3"/>
    <w:rsid w:val="00BB40CF"/>
    <w:rsid w:val="00BB46B3"/>
    <w:rsid w:val="00BC40A9"/>
    <w:rsid w:val="00BC7D78"/>
    <w:rsid w:val="00BD0162"/>
    <w:rsid w:val="00BE70F9"/>
    <w:rsid w:val="00BF2F41"/>
    <w:rsid w:val="00BF301A"/>
    <w:rsid w:val="00BF767D"/>
    <w:rsid w:val="00C05A99"/>
    <w:rsid w:val="00C1273F"/>
    <w:rsid w:val="00C142C8"/>
    <w:rsid w:val="00C15765"/>
    <w:rsid w:val="00C31AF4"/>
    <w:rsid w:val="00C6721B"/>
    <w:rsid w:val="00C70DB7"/>
    <w:rsid w:val="00C72031"/>
    <w:rsid w:val="00C73E85"/>
    <w:rsid w:val="00C85D15"/>
    <w:rsid w:val="00CA5C32"/>
    <w:rsid w:val="00CC732C"/>
    <w:rsid w:val="00CD0B32"/>
    <w:rsid w:val="00CD1193"/>
    <w:rsid w:val="00CD496F"/>
    <w:rsid w:val="00CD4D14"/>
    <w:rsid w:val="00CE5A28"/>
    <w:rsid w:val="00CE7CEA"/>
    <w:rsid w:val="00CF714B"/>
    <w:rsid w:val="00D0262F"/>
    <w:rsid w:val="00D06A71"/>
    <w:rsid w:val="00D07B45"/>
    <w:rsid w:val="00D15FD5"/>
    <w:rsid w:val="00D208C4"/>
    <w:rsid w:val="00D33D51"/>
    <w:rsid w:val="00D35101"/>
    <w:rsid w:val="00D3589A"/>
    <w:rsid w:val="00D405F7"/>
    <w:rsid w:val="00D526F8"/>
    <w:rsid w:val="00D70AB3"/>
    <w:rsid w:val="00D87D4B"/>
    <w:rsid w:val="00D92DA0"/>
    <w:rsid w:val="00D93F60"/>
    <w:rsid w:val="00DA21B9"/>
    <w:rsid w:val="00DA4687"/>
    <w:rsid w:val="00DA5005"/>
    <w:rsid w:val="00DA5944"/>
    <w:rsid w:val="00DB51FA"/>
    <w:rsid w:val="00DB5992"/>
    <w:rsid w:val="00DB7A73"/>
    <w:rsid w:val="00DC025A"/>
    <w:rsid w:val="00DC5BE8"/>
    <w:rsid w:val="00DD194B"/>
    <w:rsid w:val="00DD28DE"/>
    <w:rsid w:val="00DF3AA3"/>
    <w:rsid w:val="00E27F63"/>
    <w:rsid w:val="00E35BD0"/>
    <w:rsid w:val="00E40B5F"/>
    <w:rsid w:val="00E44E32"/>
    <w:rsid w:val="00E44F81"/>
    <w:rsid w:val="00E5117E"/>
    <w:rsid w:val="00E519CA"/>
    <w:rsid w:val="00E5259B"/>
    <w:rsid w:val="00E53B5D"/>
    <w:rsid w:val="00E63059"/>
    <w:rsid w:val="00E634F8"/>
    <w:rsid w:val="00E668DB"/>
    <w:rsid w:val="00E76D2B"/>
    <w:rsid w:val="00E87795"/>
    <w:rsid w:val="00E969B7"/>
    <w:rsid w:val="00EC189F"/>
    <w:rsid w:val="00EC3B45"/>
    <w:rsid w:val="00ED6FCA"/>
    <w:rsid w:val="00F008EA"/>
    <w:rsid w:val="00F02D88"/>
    <w:rsid w:val="00F04268"/>
    <w:rsid w:val="00F076A6"/>
    <w:rsid w:val="00F07C69"/>
    <w:rsid w:val="00F12878"/>
    <w:rsid w:val="00F14AA8"/>
    <w:rsid w:val="00F16B4C"/>
    <w:rsid w:val="00F16B86"/>
    <w:rsid w:val="00F46676"/>
    <w:rsid w:val="00F514A2"/>
    <w:rsid w:val="00F676E4"/>
    <w:rsid w:val="00F731AD"/>
    <w:rsid w:val="00F808BA"/>
    <w:rsid w:val="00F83AC2"/>
    <w:rsid w:val="00F84F14"/>
    <w:rsid w:val="00FB4F29"/>
    <w:rsid w:val="00FC0C03"/>
    <w:rsid w:val="00FD34DD"/>
    <w:rsid w:val="00FD7C4F"/>
    <w:rsid w:val="00FE736D"/>
    <w:rsid w:val="00FF5DBB"/>
    <w:rsid w:val="00FF75C0"/>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AFC198"/>
  <w15:docId w15:val="{55B6287B-8B26-4339-88AA-D46CF8799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B5D"/>
  </w:style>
  <w:style w:type="paragraph" w:styleId="Ttulo1">
    <w:name w:val="heading 1"/>
    <w:basedOn w:val="Normal"/>
    <w:next w:val="Normal"/>
    <w:link w:val="Ttulo1Car"/>
    <w:uiPriority w:val="9"/>
    <w:qFormat/>
    <w:rsid w:val="00B80863"/>
    <w:pPr>
      <w:keepNext/>
      <w:keepLines/>
      <w:spacing w:before="480"/>
      <w:outlineLvl w:val="0"/>
    </w:pPr>
    <w:rPr>
      <w:rFonts w:asciiTheme="majorHAnsi" w:eastAsiaTheme="majorEastAsia" w:hAnsiTheme="majorHAnsi" w:cstheme="majorBidi"/>
      <w:b/>
      <w:bCs/>
      <w:color w:val="2D4F8E" w:themeColor="accent1" w:themeShade="B5"/>
      <w:sz w:val="32"/>
      <w:szCs w:val="32"/>
      <w:lang w:val="es-VE" w:eastAsia="es-ES"/>
    </w:rPr>
  </w:style>
  <w:style w:type="paragraph" w:styleId="Ttulo2">
    <w:name w:val="heading 2"/>
    <w:basedOn w:val="Normal"/>
    <w:next w:val="Normal"/>
    <w:link w:val="Ttulo2Car"/>
    <w:uiPriority w:val="9"/>
    <w:unhideWhenUsed/>
    <w:qFormat/>
    <w:rsid w:val="00B80863"/>
    <w:pPr>
      <w:keepNext/>
      <w:keepLines/>
      <w:spacing w:before="200"/>
      <w:outlineLvl w:val="1"/>
    </w:pPr>
    <w:rPr>
      <w:rFonts w:asciiTheme="majorHAnsi" w:eastAsiaTheme="majorEastAsia" w:hAnsiTheme="majorHAnsi" w:cstheme="majorBidi"/>
      <w:b/>
      <w:bCs/>
      <w:color w:val="4472C4" w:themeColor="accent1"/>
      <w:sz w:val="26"/>
      <w:szCs w:val="26"/>
      <w:lang w:val="es-VE" w:eastAsia="es-ES"/>
    </w:rPr>
  </w:style>
  <w:style w:type="paragraph" w:styleId="Ttulo3">
    <w:name w:val="heading 3"/>
    <w:basedOn w:val="Normal"/>
    <w:next w:val="Normal"/>
    <w:link w:val="Ttulo3Car"/>
    <w:uiPriority w:val="9"/>
    <w:unhideWhenUsed/>
    <w:qFormat/>
    <w:rsid w:val="00B80863"/>
    <w:pPr>
      <w:keepNext/>
      <w:keepLines/>
      <w:spacing w:before="200"/>
      <w:outlineLvl w:val="2"/>
    </w:pPr>
    <w:rPr>
      <w:rFonts w:asciiTheme="majorHAnsi" w:eastAsiaTheme="majorEastAsia" w:hAnsiTheme="majorHAnsi" w:cstheme="majorBidi"/>
      <w:b/>
      <w:bCs/>
      <w:color w:val="4472C4" w:themeColor="accent1"/>
      <w:lang w:val="es-VE" w:eastAsia="es-ES"/>
    </w:rPr>
  </w:style>
  <w:style w:type="paragraph" w:styleId="Ttulo4">
    <w:name w:val="heading 4"/>
    <w:basedOn w:val="Normal1"/>
    <w:next w:val="Normal1"/>
    <w:link w:val="Ttulo4Car"/>
    <w:rsid w:val="00627354"/>
    <w:pPr>
      <w:keepNext/>
      <w:keepLines/>
      <w:spacing w:before="200"/>
      <w:ind w:left="0"/>
      <w:outlineLvl w:val="3"/>
    </w:pPr>
  </w:style>
  <w:style w:type="paragraph" w:styleId="Ttulo5">
    <w:name w:val="heading 5"/>
    <w:basedOn w:val="Normal1"/>
    <w:next w:val="Normal1"/>
    <w:link w:val="Ttulo5Car"/>
    <w:rsid w:val="00627354"/>
    <w:pPr>
      <w:keepNext/>
      <w:keepLines/>
      <w:spacing w:before="200"/>
      <w:ind w:left="1008" w:hanging="1008"/>
      <w:outlineLvl w:val="4"/>
    </w:pPr>
    <w:rPr>
      <w:rFonts w:ascii="Verdana" w:eastAsia="Verdana" w:hAnsi="Verdana" w:cs="Verdana"/>
      <w:color w:val="243F61"/>
    </w:rPr>
  </w:style>
  <w:style w:type="paragraph" w:styleId="Ttulo6">
    <w:name w:val="heading 6"/>
    <w:basedOn w:val="Normal1"/>
    <w:next w:val="Normal1"/>
    <w:link w:val="Ttulo6Car"/>
    <w:rsid w:val="00627354"/>
    <w:pPr>
      <w:keepNext/>
      <w:keepLines/>
      <w:spacing w:before="200"/>
      <w:ind w:left="1152" w:hanging="1152"/>
      <w:outlineLvl w:val="5"/>
    </w:pPr>
    <w:rPr>
      <w:rFonts w:ascii="Verdana" w:eastAsia="Verdana" w:hAnsi="Verdana" w:cs="Verdana"/>
      <w:i/>
      <w:color w:val="243F61"/>
    </w:rPr>
  </w:style>
  <w:style w:type="paragraph" w:styleId="Ttulo7">
    <w:name w:val="heading 7"/>
    <w:basedOn w:val="Normal"/>
    <w:next w:val="Normal"/>
    <w:link w:val="Ttulo7Car"/>
    <w:uiPriority w:val="9"/>
    <w:unhideWhenUsed/>
    <w:qFormat/>
    <w:rsid w:val="00627354"/>
    <w:pPr>
      <w:keepNext/>
      <w:keepLines/>
      <w:spacing w:before="200" w:line="480" w:lineRule="auto"/>
      <w:ind w:firstLine="288"/>
      <w:jc w:val="both"/>
      <w:outlineLvl w:val="6"/>
    </w:pPr>
    <w:rPr>
      <w:rFonts w:asciiTheme="majorHAnsi" w:eastAsiaTheme="majorEastAsia" w:hAnsiTheme="majorHAnsi" w:cstheme="majorBidi"/>
      <w:i/>
      <w:iCs/>
      <w:color w:val="404040" w:themeColor="text1" w:themeTint="BF"/>
      <w:lang w:val="es-VE" w:eastAsia="es-V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D28DE"/>
    <w:pPr>
      <w:tabs>
        <w:tab w:val="center" w:pos="4419"/>
        <w:tab w:val="right" w:pos="8838"/>
      </w:tabs>
    </w:pPr>
  </w:style>
  <w:style w:type="character" w:customStyle="1" w:styleId="EncabezadoCar">
    <w:name w:val="Encabezado Car"/>
    <w:basedOn w:val="Fuentedeprrafopredeter"/>
    <w:link w:val="Encabezado"/>
    <w:uiPriority w:val="99"/>
    <w:rsid w:val="00DD28DE"/>
  </w:style>
  <w:style w:type="paragraph" w:styleId="Piedepgina">
    <w:name w:val="footer"/>
    <w:basedOn w:val="Normal"/>
    <w:link w:val="PiedepginaCar"/>
    <w:uiPriority w:val="99"/>
    <w:unhideWhenUsed/>
    <w:rsid w:val="00DD28DE"/>
    <w:pPr>
      <w:tabs>
        <w:tab w:val="center" w:pos="4419"/>
        <w:tab w:val="right" w:pos="8838"/>
      </w:tabs>
    </w:pPr>
  </w:style>
  <w:style w:type="character" w:customStyle="1" w:styleId="PiedepginaCar">
    <w:name w:val="Pie de página Car"/>
    <w:basedOn w:val="Fuentedeprrafopredeter"/>
    <w:link w:val="Piedepgina"/>
    <w:uiPriority w:val="99"/>
    <w:rsid w:val="00DD28DE"/>
  </w:style>
  <w:style w:type="paragraph" w:customStyle="1" w:styleId="Ningnestilodeprrafo">
    <w:name w:val="[Ningún estilo de párrafo]"/>
    <w:rsid w:val="00DD28DE"/>
    <w:pPr>
      <w:autoSpaceDE w:val="0"/>
      <w:autoSpaceDN w:val="0"/>
      <w:adjustRightInd w:val="0"/>
      <w:spacing w:line="288" w:lineRule="auto"/>
      <w:textAlignment w:val="center"/>
    </w:pPr>
    <w:rPr>
      <w:rFonts w:ascii="Times New Roman" w:hAnsi="Times New Roman" w:cs="Times New Roman"/>
      <w:color w:val="000000"/>
      <w:lang w:val="en-GB"/>
    </w:rPr>
  </w:style>
  <w:style w:type="character" w:styleId="Nmerodepgina">
    <w:name w:val="page number"/>
    <w:basedOn w:val="Fuentedeprrafopredeter"/>
    <w:uiPriority w:val="99"/>
    <w:semiHidden/>
    <w:unhideWhenUsed/>
    <w:rsid w:val="00DD28DE"/>
  </w:style>
  <w:style w:type="paragraph" w:customStyle="1" w:styleId="ENCABEZATITULO">
    <w:name w:val="ENCABEZA TITULO"/>
    <w:basedOn w:val="Normal"/>
    <w:uiPriority w:val="99"/>
    <w:rsid w:val="007214B8"/>
    <w:pPr>
      <w:autoSpaceDE w:val="0"/>
      <w:autoSpaceDN w:val="0"/>
      <w:adjustRightInd w:val="0"/>
      <w:spacing w:line="260" w:lineRule="atLeast"/>
      <w:jc w:val="center"/>
      <w:textAlignment w:val="center"/>
    </w:pPr>
    <w:rPr>
      <w:rFonts w:ascii="Bookman Old Style" w:hAnsi="Bookman Old Style" w:cs="Bookman Old Style"/>
      <w:i/>
      <w:iCs/>
      <w:color w:val="000000"/>
      <w:spacing w:val="-3"/>
      <w:sz w:val="16"/>
      <w:szCs w:val="16"/>
      <w:lang w:val="en-US"/>
    </w:rPr>
  </w:style>
  <w:style w:type="paragraph" w:customStyle="1" w:styleId="TITULOS">
    <w:name w:val="TITULOS"/>
    <w:basedOn w:val="Ningnestilodeprrafo"/>
    <w:uiPriority w:val="99"/>
    <w:rsid w:val="003E38DF"/>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spacing w:line="280" w:lineRule="atLeast"/>
      <w:jc w:val="center"/>
    </w:pPr>
    <w:rPr>
      <w:rFonts w:ascii="Bookman Old Style" w:hAnsi="Bookman Old Style" w:cs="Bookman Old Style"/>
      <w:b/>
      <w:bCs/>
      <w:sz w:val="28"/>
      <w:szCs w:val="28"/>
      <w:lang w:val="es-ES_tradnl"/>
    </w:rPr>
  </w:style>
  <w:style w:type="paragraph" w:customStyle="1" w:styleId="TEXTO">
    <w:name w:val="TEXTO"/>
    <w:basedOn w:val="Normal"/>
    <w:uiPriority w:val="99"/>
    <w:rsid w:val="003E38DF"/>
    <w:pPr>
      <w:autoSpaceDE w:val="0"/>
      <w:autoSpaceDN w:val="0"/>
      <w:adjustRightInd w:val="0"/>
      <w:spacing w:before="113" w:after="113" w:line="240" w:lineRule="atLeast"/>
      <w:ind w:firstLine="283"/>
      <w:jc w:val="both"/>
      <w:textAlignment w:val="center"/>
    </w:pPr>
    <w:rPr>
      <w:rFonts w:ascii="Bookman Old Style" w:hAnsi="Bookman Old Style" w:cs="Bookman Old Style"/>
      <w:color w:val="000000"/>
      <w:sz w:val="20"/>
      <w:szCs w:val="20"/>
    </w:rPr>
  </w:style>
  <w:style w:type="paragraph" w:customStyle="1" w:styleId="autor">
    <w:name w:val="autor"/>
    <w:basedOn w:val="Ningnestilodeprrafo"/>
    <w:uiPriority w:val="99"/>
    <w:rsid w:val="003E38DF"/>
    <w:pPr>
      <w:suppressAutoHyphens/>
      <w:spacing w:line="240" w:lineRule="atLeast"/>
      <w:jc w:val="right"/>
      <w:textAlignment w:val="baseline"/>
    </w:pPr>
    <w:rPr>
      <w:rFonts w:ascii="Bookman Old Style" w:hAnsi="Bookman Old Style" w:cs="Bookman Old Style"/>
      <w:i/>
      <w:iCs/>
    </w:rPr>
  </w:style>
  <w:style w:type="paragraph" w:customStyle="1" w:styleId="BIOAUTOR">
    <w:name w:val="BIO AUTOR"/>
    <w:basedOn w:val="TEXTO"/>
    <w:uiPriority w:val="99"/>
    <w:rsid w:val="003E38DF"/>
    <w:pPr>
      <w:spacing w:before="0" w:after="0" w:line="220" w:lineRule="atLeast"/>
      <w:ind w:firstLine="0"/>
      <w:jc w:val="right"/>
    </w:pPr>
    <w:rPr>
      <w:sz w:val="16"/>
      <w:szCs w:val="16"/>
    </w:rPr>
  </w:style>
  <w:style w:type="paragraph" w:customStyle="1" w:styleId="TITULORESUMEN">
    <w:name w:val="TITULO RESUMEN"/>
    <w:basedOn w:val="Ningnestilodeprrafo"/>
    <w:uiPriority w:val="99"/>
    <w:rsid w:val="003E38DF"/>
    <w:pPr>
      <w:suppressAutoHyphens/>
      <w:ind w:firstLine="283"/>
      <w:jc w:val="both"/>
      <w:textAlignment w:val="baseline"/>
    </w:pPr>
    <w:rPr>
      <w:rFonts w:ascii="Bookman Old Style" w:hAnsi="Bookman Old Style" w:cs="Bookman Old Style"/>
      <w:b/>
      <w:bCs/>
      <w:sz w:val="20"/>
      <w:szCs w:val="20"/>
    </w:rPr>
  </w:style>
  <w:style w:type="paragraph" w:customStyle="1" w:styleId="PARRAFORESUMEN">
    <w:name w:val="PARRAFO RESUMEN"/>
    <w:basedOn w:val="TEXTO"/>
    <w:uiPriority w:val="99"/>
    <w:rsid w:val="003E38DF"/>
    <w:pPr>
      <w:spacing w:before="0" w:after="0"/>
      <w:ind w:left="283" w:firstLine="0"/>
    </w:pPr>
    <w:rPr>
      <w:u w:color="000000"/>
    </w:rPr>
  </w:style>
  <w:style w:type="paragraph" w:styleId="Revisin">
    <w:name w:val="Revision"/>
    <w:hidden/>
    <w:uiPriority w:val="99"/>
    <w:semiHidden/>
    <w:rsid w:val="002C27EE"/>
  </w:style>
  <w:style w:type="paragraph" w:styleId="Sinespaciado">
    <w:name w:val="No Spacing"/>
    <w:aliases w:val="Nota al pié"/>
    <w:link w:val="SinespaciadoCar"/>
    <w:uiPriority w:val="1"/>
    <w:qFormat/>
    <w:rsid w:val="002C27EE"/>
    <w:rPr>
      <w:rFonts w:eastAsiaTheme="minorEastAsia"/>
      <w:sz w:val="22"/>
      <w:szCs w:val="22"/>
      <w:lang w:val="en-US" w:eastAsia="zh-CN"/>
    </w:rPr>
  </w:style>
  <w:style w:type="character" w:customStyle="1" w:styleId="SinespaciadoCar">
    <w:name w:val="Sin espaciado Car"/>
    <w:aliases w:val="Nota al pié Car"/>
    <w:basedOn w:val="Fuentedeprrafopredeter"/>
    <w:link w:val="Sinespaciado"/>
    <w:uiPriority w:val="1"/>
    <w:rsid w:val="002C27EE"/>
    <w:rPr>
      <w:rFonts w:eastAsiaTheme="minorEastAsia"/>
      <w:sz w:val="22"/>
      <w:szCs w:val="22"/>
      <w:lang w:val="en-US" w:eastAsia="zh-CN"/>
    </w:rPr>
  </w:style>
  <w:style w:type="paragraph" w:customStyle="1" w:styleId="1">
    <w:name w:val="1"/>
    <w:basedOn w:val="TEXTO"/>
    <w:uiPriority w:val="99"/>
    <w:rsid w:val="00123FEB"/>
    <w:pPr>
      <w:suppressAutoHyphens/>
      <w:spacing w:before="340"/>
      <w:ind w:left="283" w:hanging="283"/>
    </w:pPr>
    <w:rPr>
      <w:b/>
      <w:bCs/>
      <w:i/>
      <w:iCs/>
    </w:rPr>
  </w:style>
  <w:style w:type="paragraph" w:customStyle="1" w:styleId="NOTADEPIE">
    <w:name w:val="NOTA DE PIE"/>
    <w:basedOn w:val="Normal"/>
    <w:uiPriority w:val="99"/>
    <w:rsid w:val="00123FEB"/>
    <w:pPr>
      <w:autoSpaceDE w:val="0"/>
      <w:autoSpaceDN w:val="0"/>
      <w:adjustRightInd w:val="0"/>
      <w:spacing w:line="160" w:lineRule="atLeast"/>
      <w:ind w:left="283" w:hanging="283"/>
      <w:jc w:val="both"/>
      <w:textAlignment w:val="baseline"/>
    </w:pPr>
    <w:rPr>
      <w:rFonts w:ascii="Bookman Old Style" w:hAnsi="Bookman Old Style" w:cs="Bookman Old Style"/>
      <w:color w:val="000000"/>
      <w:sz w:val="14"/>
      <w:szCs w:val="14"/>
    </w:rPr>
  </w:style>
  <w:style w:type="paragraph" w:styleId="HTMLconformatoprevio">
    <w:name w:val="HTML Preformatted"/>
    <w:basedOn w:val="Normal"/>
    <w:link w:val="HTMLconformatoprevioCar"/>
    <w:uiPriority w:val="99"/>
    <w:semiHidden/>
    <w:unhideWhenUsed/>
    <w:rsid w:val="006F6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VE" w:eastAsia="es-ES_tradnl"/>
    </w:rPr>
  </w:style>
  <w:style w:type="character" w:customStyle="1" w:styleId="HTMLconformatoprevioCar">
    <w:name w:val="HTML con formato previo Car"/>
    <w:basedOn w:val="Fuentedeprrafopredeter"/>
    <w:link w:val="HTMLconformatoprevio"/>
    <w:uiPriority w:val="99"/>
    <w:semiHidden/>
    <w:rsid w:val="006F6469"/>
    <w:rPr>
      <w:rFonts w:ascii="Courier New" w:eastAsia="Times New Roman" w:hAnsi="Courier New" w:cs="Courier New"/>
      <w:sz w:val="20"/>
      <w:szCs w:val="20"/>
      <w:lang w:val="es-VE" w:eastAsia="es-ES_tradnl"/>
    </w:rPr>
  </w:style>
  <w:style w:type="paragraph" w:styleId="Descripcin">
    <w:name w:val="caption"/>
    <w:basedOn w:val="Normal"/>
    <w:uiPriority w:val="35"/>
    <w:qFormat/>
    <w:rsid w:val="00E44E32"/>
    <w:pPr>
      <w:widowControl w:val="0"/>
      <w:jc w:val="center"/>
    </w:pPr>
    <w:rPr>
      <w:rFonts w:ascii="Arial" w:eastAsia="Times New Roman" w:hAnsi="Arial" w:cs="Times New Roman"/>
      <w:b/>
      <w:sz w:val="22"/>
      <w:szCs w:val="20"/>
      <w:lang w:val="es-ES" w:eastAsia="es-ES"/>
    </w:rPr>
  </w:style>
  <w:style w:type="character" w:styleId="Refdenotaalpie">
    <w:name w:val="footnote reference"/>
    <w:aliases w:val="Texto de nota al pie"/>
    <w:uiPriority w:val="99"/>
    <w:rsid w:val="00E44E32"/>
    <w:rPr>
      <w:vertAlign w:val="superscript"/>
    </w:rPr>
  </w:style>
  <w:style w:type="paragraph" w:styleId="Textonotaalfinal">
    <w:name w:val="endnote text"/>
    <w:basedOn w:val="Normal"/>
    <w:link w:val="TextonotaalfinalCar"/>
    <w:rsid w:val="00E44E32"/>
    <w:rPr>
      <w:rFonts w:ascii="Times New Roman" w:eastAsia="Times New Roman" w:hAnsi="Times New Roman" w:cs="Times New Roman"/>
      <w:sz w:val="20"/>
      <w:szCs w:val="20"/>
      <w:lang w:val="x-none" w:eastAsia="x-none"/>
    </w:rPr>
  </w:style>
  <w:style w:type="character" w:customStyle="1" w:styleId="TextonotaalfinalCar">
    <w:name w:val="Texto nota al final Car"/>
    <w:basedOn w:val="Fuentedeprrafopredeter"/>
    <w:link w:val="Textonotaalfinal"/>
    <w:rsid w:val="00E44E32"/>
    <w:rPr>
      <w:rFonts w:ascii="Times New Roman" w:eastAsia="Times New Roman" w:hAnsi="Times New Roman" w:cs="Times New Roman"/>
      <w:sz w:val="20"/>
      <w:szCs w:val="20"/>
      <w:lang w:val="x-none" w:eastAsia="x-none"/>
    </w:rPr>
  </w:style>
  <w:style w:type="character" w:styleId="Refdenotaalfinal">
    <w:name w:val="endnote reference"/>
    <w:rsid w:val="00E44E32"/>
    <w:rPr>
      <w:vertAlign w:val="superscript"/>
    </w:rPr>
  </w:style>
  <w:style w:type="character" w:customStyle="1" w:styleId="TextodegloboCar">
    <w:name w:val="Texto de globo Car"/>
    <w:basedOn w:val="Fuentedeprrafopredeter"/>
    <w:link w:val="Textodeglobo"/>
    <w:uiPriority w:val="99"/>
    <w:semiHidden/>
    <w:rsid w:val="00E44E32"/>
    <w:rPr>
      <w:rFonts w:ascii="Tahoma" w:hAnsi="Tahoma" w:cs="Tahoma"/>
      <w:sz w:val="16"/>
      <w:szCs w:val="16"/>
      <w:lang w:val="es-VE"/>
    </w:rPr>
  </w:style>
  <w:style w:type="paragraph" w:styleId="Textodeglobo">
    <w:name w:val="Balloon Text"/>
    <w:basedOn w:val="Normal"/>
    <w:link w:val="TextodegloboCar"/>
    <w:uiPriority w:val="99"/>
    <w:semiHidden/>
    <w:unhideWhenUsed/>
    <w:rsid w:val="00E44E32"/>
    <w:rPr>
      <w:rFonts w:ascii="Tahoma" w:hAnsi="Tahoma" w:cs="Tahoma"/>
      <w:sz w:val="16"/>
      <w:szCs w:val="16"/>
      <w:lang w:val="es-VE"/>
    </w:r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
    <w:basedOn w:val="Normal"/>
    <w:link w:val="TextonotapieCar"/>
    <w:uiPriority w:val="99"/>
    <w:unhideWhenUsed/>
    <w:rsid w:val="00E44E32"/>
    <w:rPr>
      <w:sz w:val="20"/>
      <w:szCs w:val="20"/>
      <w:lang w:val="es-V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
    <w:basedOn w:val="Fuentedeprrafopredeter"/>
    <w:link w:val="Textonotapie"/>
    <w:uiPriority w:val="99"/>
    <w:rsid w:val="00E44E32"/>
    <w:rPr>
      <w:sz w:val="20"/>
      <w:szCs w:val="20"/>
      <w:lang w:val="es-VE"/>
    </w:rPr>
  </w:style>
  <w:style w:type="paragraph" w:styleId="Prrafodelista">
    <w:name w:val="List Paragraph"/>
    <w:basedOn w:val="Normal"/>
    <w:link w:val="PrrafodelistaCar"/>
    <w:uiPriority w:val="34"/>
    <w:qFormat/>
    <w:rsid w:val="00E44E32"/>
    <w:pPr>
      <w:spacing w:after="200" w:line="276" w:lineRule="auto"/>
      <w:ind w:left="720"/>
      <w:contextualSpacing/>
    </w:pPr>
    <w:rPr>
      <w:sz w:val="22"/>
      <w:szCs w:val="22"/>
      <w:lang w:val="es-VE"/>
    </w:rPr>
  </w:style>
  <w:style w:type="character" w:styleId="Hipervnculo">
    <w:name w:val="Hyperlink"/>
    <w:basedOn w:val="Fuentedeprrafopredeter"/>
    <w:uiPriority w:val="99"/>
    <w:unhideWhenUsed/>
    <w:rsid w:val="00E44E32"/>
    <w:rPr>
      <w:color w:val="0563C1" w:themeColor="hyperlink"/>
      <w:u w:val="single"/>
    </w:rPr>
  </w:style>
  <w:style w:type="paragraph" w:customStyle="1" w:styleId="Default">
    <w:name w:val="Default"/>
    <w:rsid w:val="00E44E32"/>
    <w:pPr>
      <w:autoSpaceDE w:val="0"/>
      <w:autoSpaceDN w:val="0"/>
      <w:adjustRightInd w:val="0"/>
    </w:pPr>
    <w:rPr>
      <w:rFonts w:ascii="Times New Roman" w:hAnsi="Times New Roman" w:cs="Times New Roman"/>
      <w:color w:val="000000"/>
      <w:lang w:val="es-VE"/>
    </w:rPr>
  </w:style>
  <w:style w:type="character" w:customStyle="1" w:styleId="citation">
    <w:name w:val="citation"/>
    <w:basedOn w:val="Fuentedeprrafopredeter"/>
    <w:rsid w:val="00427DC8"/>
  </w:style>
  <w:style w:type="character" w:customStyle="1" w:styleId="hps">
    <w:name w:val="hps"/>
    <w:basedOn w:val="Fuentedeprrafopredeter"/>
    <w:rsid w:val="00427DC8"/>
  </w:style>
  <w:style w:type="character" w:styleId="CitaHTML">
    <w:name w:val="HTML Cite"/>
    <w:basedOn w:val="Fuentedeprrafopredeter"/>
    <w:uiPriority w:val="99"/>
    <w:semiHidden/>
    <w:unhideWhenUsed/>
    <w:rsid w:val="00427DC8"/>
    <w:rPr>
      <w:i/>
      <w:iCs/>
    </w:rPr>
  </w:style>
  <w:style w:type="character" w:styleId="Refdecomentario">
    <w:name w:val="annotation reference"/>
    <w:basedOn w:val="Fuentedeprrafopredeter"/>
    <w:uiPriority w:val="99"/>
    <w:semiHidden/>
    <w:unhideWhenUsed/>
    <w:rsid w:val="00427DC8"/>
    <w:rPr>
      <w:sz w:val="16"/>
      <w:szCs w:val="16"/>
    </w:rPr>
  </w:style>
  <w:style w:type="paragraph" w:styleId="Textocomentario">
    <w:name w:val="annotation text"/>
    <w:basedOn w:val="Normal"/>
    <w:link w:val="TextocomentarioCar"/>
    <w:uiPriority w:val="99"/>
    <w:unhideWhenUsed/>
    <w:rsid w:val="00427DC8"/>
    <w:rPr>
      <w:rFonts w:eastAsiaTheme="minorEastAsia"/>
      <w:sz w:val="20"/>
      <w:szCs w:val="20"/>
      <w:lang w:val="en-US"/>
    </w:rPr>
  </w:style>
  <w:style w:type="character" w:customStyle="1" w:styleId="TextocomentarioCar">
    <w:name w:val="Texto comentario Car"/>
    <w:basedOn w:val="Fuentedeprrafopredeter"/>
    <w:link w:val="Textocomentario"/>
    <w:uiPriority w:val="99"/>
    <w:rsid w:val="00427DC8"/>
    <w:rPr>
      <w:rFonts w:eastAsiaTheme="minorEastAsia"/>
      <w:sz w:val="20"/>
      <w:szCs w:val="20"/>
      <w:lang w:val="en-US"/>
    </w:rPr>
  </w:style>
  <w:style w:type="paragraph" w:styleId="Asuntodelcomentario">
    <w:name w:val="annotation subject"/>
    <w:basedOn w:val="Textocomentario"/>
    <w:next w:val="Textocomentario"/>
    <w:link w:val="AsuntodelcomentarioCar"/>
    <w:uiPriority w:val="99"/>
    <w:semiHidden/>
    <w:unhideWhenUsed/>
    <w:rsid w:val="00427DC8"/>
    <w:rPr>
      <w:b/>
      <w:bCs/>
    </w:rPr>
  </w:style>
  <w:style w:type="character" w:customStyle="1" w:styleId="AsuntodelcomentarioCar">
    <w:name w:val="Asunto del comentario Car"/>
    <w:basedOn w:val="TextocomentarioCar"/>
    <w:link w:val="Asuntodelcomentario"/>
    <w:uiPriority w:val="99"/>
    <w:semiHidden/>
    <w:rsid w:val="00427DC8"/>
    <w:rPr>
      <w:rFonts w:eastAsiaTheme="minorEastAsia"/>
      <w:b/>
      <w:bCs/>
      <w:sz w:val="20"/>
      <w:szCs w:val="20"/>
      <w:lang w:val="en-US"/>
    </w:rPr>
  </w:style>
  <w:style w:type="character" w:styleId="Mencinsinresolver">
    <w:name w:val="Unresolved Mention"/>
    <w:basedOn w:val="Fuentedeprrafopredeter"/>
    <w:uiPriority w:val="99"/>
    <w:semiHidden/>
    <w:unhideWhenUsed/>
    <w:rsid w:val="00427DC8"/>
    <w:rPr>
      <w:color w:val="605E5C"/>
      <w:shd w:val="clear" w:color="auto" w:fill="E1DFDD"/>
    </w:rPr>
  </w:style>
  <w:style w:type="character" w:customStyle="1" w:styleId="Ttulo1Car">
    <w:name w:val="Título 1 Car"/>
    <w:basedOn w:val="Fuentedeprrafopredeter"/>
    <w:link w:val="Ttulo1"/>
    <w:uiPriority w:val="9"/>
    <w:rsid w:val="00B80863"/>
    <w:rPr>
      <w:rFonts w:asciiTheme="majorHAnsi" w:eastAsiaTheme="majorEastAsia" w:hAnsiTheme="majorHAnsi" w:cstheme="majorBidi"/>
      <w:b/>
      <w:bCs/>
      <w:color w:val="2D4F8E" w:themeColor="accent1" w:themeShade="B5"/>
      <w:sz w:val="32"/>
      <w:szCs w:val="32"/>
      <w:lang w:val="es-VE" w:eastAsia="es-ES"/>
    </w:rPr>
  </w:style>
  <w:style w:type="character" w:customStyle="1" w:styleId="Ttulo2Car">
    <w:name w:val="Título 2 Car"/>
    <w:basedOn w:val="Fuentedeprrafopredeter"/>
    <w:link w:val="Ttulo2"/>
    <w:uiPriority w:val="9"/>
    <w:rsid w:val="00B80863"/>
    <w:rPr>
      <w:rFonts w:asciiTheme="majorHAnsi" w:eastAsiaTheme="majorEastAsia" w:hAnsiTheme="majorHAnsi" w:cstheme="majorBidi"/>
      <w:b/>
      <w:bCs/>
      <w:color w:val="4472C4" w:themeColor="accent1"/>
      <w:sz w:val="26"/>
      <w:szCs w:val="26"/>
      <w:lang w:val="es-VE" w:eastAsia="es-ES"/>
    </w:rPr>
  </w:style>
  <w:style w:type="character" w:customStyle="1" w:styleId="Ttulo3Car">
    <w:name w:val="Título 3 Car"/>
    <w:basedOn w:val="Fuentedeprrafopredeter"/>
    <w:link w:val="Ttulo3"/>
    <w:uiPriority w:val="9"/>
    <w:rsid w:val="00B80863"/>
    <w:rPr>
      <w:rFonts w:asciiTheme="majorHAnsi" w:eastAsiaTheme="majorEastAsia" w:hAnsiTheme="majorHAnsi" w:cstheme="majorBidi"/>
      <w:b/>
      <w:bCs/>
      <w:color w:val="4472C4" w:themeColor="accent1"/>
      <w:lang w:val="es-VE" w:eastAsia="es-ES"/>
    </w:rPr>
  </w:style>
  <w:style w:type="character" w:customStyle="1" w:styleId="TextonotapieCar1">
    <w:name w:val="Texto nota pie Car1"/>
    <w:basedOn w:val="Fuentedeprrafopredeter"/>
    <w:uiPriority w:val="99"/>
    <w:semiHidden/>
    <w:rsid w:val="00B80863"/>
  </w:style>
  <w:style w:type="character" w:styleId="Hipervnculovisitado">
    <w:name w:val="FollowedHyperlink"/>
    <w:basedOn w:val="Fuentedeprrafopredeter"/>
    <w:uiPriority w:val="99"/>
    <w:semiHidden/>
    <w:unhideWhenUsed/>
    <w:rsid w:val="00B80863"/>
    <w:rPr>
      <w:color w:val="954F72" w:themeColor="followedHyperlink"/>
      <w:u w:val="single"/>
    </w:rPr>
  </w:style>
  <w:style w:type="paragraph" w:styleId="NormalWeb">
    <w:name w:val="Normal (Web)"/>
    <w:basedOn w:val="Normal"/>
    <w:uiPriority w:val="99"/>
    <w:unhideWhenUsed/>
    <w:rsid w:val="00B80863"/>
    <w:rPr>
      <w:rFonts w:ascii="Times New Roman" w:eastAsiaTheme="minorEastAsia" w:hAnsi="Times New Roman" w:cs="Times New Roman"/>
      <w:lang w:val="es-VE" w:eastAsia="es-ES"/>
    </w:rPr>
  </w:style>
  <w:style w:type="paragraph" w:styleId="Sangra2detindependiente">
    <w:name w:val="Body Text Indent 2"/>
    <w:basedOn w:val="Normal"/>
    <w:link w:val="Sangra2detindependienteCar"/>
    <w:uiPriority w:val="99"/>
    <w:unhideWhenUsed/>
    <w:rsid w:val="00B80863"/>
    <w:pPr>
      <w:spacing w:after="120" w:line="480" w:lineRule="auto"/>
      <w:ind w:left="283"/>
    </w:pPr>
    <w:rPr>
      <w:rFonts w:eastAsiaTheme="minorEastAsia"/>
      <w:lang w:val="es-VE" w:eastAsia="es-ES"/>
    </w:rPr>
  </w:style>
  <w:style w:type="character" w:customStyle="1" w:styleId="Sangra2detindependienteCar">
    <w:name w:val="Sangría 2 de t. independiente Car"/>
    <w:basedOn w:val="Fuentedeprrafopredeter"/>
    <w:link w:val="Sangra2detindependiente"/>
    <w:uiPriority w:val="99"/>
    <w:rsid w:val="00B80863"/>
    <w:rPr>
      <w:rFonts w:eastAsiaTheme="minorEastAsia"/>
      <w:lang w:val="es-VE" w:eastAsia="es-ES"/>
    </w:rPr>
  </w:style>
  <w:style w:type="paragraph" w:styleId="Bibliografa">
    <w:name w:val="Bibliography"/>
    <w:basedOn w:val="Normal"/>
    <w:next w:val="Normal"/>
    <w:uiPriority w:val="37"/>
    <w:unhideWhenUsed/>
    <w:rsid w:val="00B80863"/>
    <w:pPr>
      <w:spacing w:after="200" w:line="276" w:lineRule="auto"/>
    </w:pPr>
    <w:rPr>
      <w:sz w:val="22"/>
      <w:szCs w:val="22"/>
      <w:lang w:val="es-VE"/>
    </w:rPr>
  </w:style>
  <w:style w:type="table" w:styleId="Tablaconcuadrcula">
    <w:name w:val="Table Grid"/>
    <w:basedOn w:val="Tablanormal"/>
    <w:uiPriority w:val="59"/>
    <w:rsid w:val="00442BC6"/>
    <w:rPr>
      <w:sz w:val="22"/>
      <w:szCs w:val="22"/>
      <w:lang w:val="es-V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442BC6"/>
    <w:rPr>
      <w:i/>
      <w:iCs/>
    </w:rPr>
  </w:style>
  <w:style w:type="character" w:customStyle="1" w:styleId="file">
    <w:name w:val="file"/>
    <w:basedOn w:val="Fuentedeprrafopredeter"/>
    <w:rsid w:val="00442BC6"/>
  </w:style>
  <w:style w:type="numbering" w:customStyle="1" w:styleId="Sinlista1">
    <w:name w:val="Sin lista1"/>
    <w:next w:val="Sinlista"/>
    <w:uiPriority w:val="99"/>
    <w:semiHidden/>
    <w:unhideWhenUsed/>
    <w:rsid w:val="003E614F"/>
  </w:style>
  <w:style w:type="table" w:customStyle="1" w:styleId="Tablaconcuadrcula1">
    <w:name w:val="Tabla con cuadrícula1"/>
    <w:basedOn w:val="Tablanormal"/>
    <w:next w:val="Tablaconcuadrcula"/>
    <w:uiPriority w:val="59"/>
    <w:rsid w:val="003E614F"/>
    <w:rPr>
      <w:rFonts w:ascii="Bookman Old Style" w:eastAsia="Times New Roman" w:hAnsi="Bookman Old Style" w:cs="Times New Roman"/>
      <w:color w:val="000000"/>
      <w:szCs w:val="20"/>
      <w:lang w:val="es-VE" w:eastAsia="es-V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locked/>
    <w:rsid w:val="003E614F"/>
    <w:rPr>
      <w:sz w:val="22"/>
      <w:szCs w:val="22"/>
      <w:lang w:val="es-VE"/>
    </w:rPr>
  </w:style>
  <w:style w:type="paragraph" w:customStyle="1" w:styleId="MTDisplayEquation">
    <w:name w:val="MTDisplayEquation"/>
    <w:basedOn w:val="Prrafodelista"/>
    <w:next w:val="Normal"/>
    <w:link w:val="MTDisplayEquationCar"/>
    <w:rsid w:val="003E614F"/>
    <w:pPr>
      <w:numPr>
        <w:numId w:val="1"/>
      </w:numPr>
      <w:tabs>
        <w:tab w:val="center" w:pos="5280"/>
        <w:tab w:val="right" w:pos="10200"/>
      </w:tabs>
      <w:spacing w:before="120" w:after="120" w:line="360" w:lineRule="auto"/>
      <w:jc w:val="both"/>
    </w:pPr>
    <w:rPr>
      <w:rFonts w:ascii="Bookman Old Style" w:hAnsi="Bookman Old Style" w:cs="Arial"/>
      <w:color w:val="000000"/>
      <w:sz w:val="24"/>
      <w:szCs w:val="24"/>
      <w:lang w:val="es-ES"/>
    </w:rPr>
  </w:style>
  <w:style w:type="character" w:customStyle="1" w:styleId="MTDisplayEquationCar">
    <w:name w:val="MTDisplayEquation Car"/>
    <w:basedOn w:val="Fuentedeprrafopredeter"/>
    <w:link w:val="MTDisplayEquation"/>
    <w:rsid w:val="003E614F"/>
    <w:rPr>
      <w:rFonts w:ascii="Bookman Old Style" w:hAnsi="Bookman Old Style" w:cs="Arial"/>
      <w:color w:val="000000"/>
      <w:lang w:val="es-ES"/>
    </w:rPr>
  </w:style>
  <w:style w:type="character" w:styleId="Textodelmarcadordeposicin">
    <w:name w:val="Placeholder Text"/>
    <w:basedOn w:val="Fuentedeprrafopredeter"/>
    <w:uiPriority w:val="99"/>
    <w:semiHidden/>
    <w:rsid w:val="003E614F"/>
    <w:rPr>
      <w:color w:val="808080"/>
    </w:rPr>
  </w:style>
  <w:style w:type="paragraph" w:customStyle="1" w:styleId="TtuloGrficoyCuadro">
    <w:name w:val="Título Gráfico y Cuadro"/>
    <w:basedOn w:val="Descripcin"/>
    <w:qFormat/>
    <w:rsid w:val="003E614F"/>
    <w:pPr>
      <w:keepNext/>
      <w:widowControl/>
      <w:contextualSpacing/>
    </w:pPr>
    <w:rPr>
      <w:rFonts w:ascii="Bookman Old Style" w:hAnsi="Bookman Old Style"/>
      <w:b w:val="0"/>
      <w:bCs/>
      <w:sz w:val="20"/>
      <w:szCs w:val="24"/>
      <w:lang w:val="es-VE" w:eastAsia="es-VE"/>
    </w:rPr>
  </w:style>
  <w:style w:type="character" w:customStyle="1" w:styleId="Ttulo4Car">
    <w:name w:val="Título 4 Car"/>
    <w:basedOn w:val="Fuentedeprrafopredeter"/>
    <w:link w:val="Ttulo4"/>
    <w:rsid w:val="00627354"/>
    <w:rPr>
      <w:rFonts w:ascii="Times New Roman" w:eastAsia="Times New Roman" w:hAnsi="Times New Roman" w:cs="Times New Roman"/>
      <w:lang w:val="es-VE" w:eastAsia="es-VE"/>
    </w:rPr>
  </w:style>
  <w:style w:type="character" w:customStyle="1" w:styleId="Ttulo5Car">
    <w:name w:val="Título 5 Car"/>
    <w:basedOn w:val="Fuentedeprrafopredeter"/>
    <w:link w:val="Ttulo5"/>
    <w:rsid w:val="00627354"/>
    <w:rPr>
      <w:rFonts w:ascii="Verdana" w:eastAsia="Verdana" w:hAnsi="Verdana" w:cs="Verdana"/>
      <w:color w:val="243F61"/>
      <w:lang w:val="es-VE" w:eastAsia="es-VE"/>
    </w:rPr>
  </w:style>
  <w:style w:type="character" w:customStyle="1" w:styleId="Ttulo6Car">
    <w:name w:val="Título 6 Car"/>
    <w:basedOn w:val="Fuentedeprrafopredeter"/>
    <w:link w:val="Ttulo6"/>
    <w:rsid w:val="00627354"/>
    <w:rPr>
      <w:rFonts w:ascii="Verdana" w:eastAsia="Verdana" w:hAnsi="Verdana" w:cs="Verdana"/>
      <w:i/>
      <w:color w:val="243F61"/>
      <w:lang w:val="es-VE" w:eastAsia="es-VE"/>
    </w:rPr>
  </w:style>
  <w:style w:type="character" w:customStyle="1" w:styleId="Ttulo7Car">
    <w:name w:val="Título 7 Car"/>
    <w:basedOn w:val="Fuentedeprrafopredeter"/>
    <w:link w:val="Ttulo7"/>
    <w:uiPriority w:val="9"/>
    <w:rsid w:val="00627354"/>
    <w:rPr>
      <w:rFonts w:asciiTheme="majorHAnsi" w:eastAsiaTheme="majorEastAsia" w:hAnsiTheme="majorHAnsi" w:cstheme="majorBidi"/>
      <w:i/>
      <w:iCs/>
      <w:color w:val="404040" w:themeColor="text1" w:themeTint="BF"/>
      <w:lang w:val="es-VE" w:eastAsia="es-VE"/>
    </w:rPr>
  </w:style>
  <w:style w:type="paragraph" w:customStyle="1" w:styleId="Normal1">
    <w:name w:val="Normal1"/>
    <w:link w:val="Normal1Char"/>
    <w:rsid w:val="00627354"/>
    <w:pPr>
      <w:spacing w:line="480" w:lineRule="auto"/>
      <w:ind w:left="170"/>
      <w:jc w:val="both"/>
    </w:pPr>
    <w:rPr>
      <w:rFonts w:ascii="Times New Roman" w:eastAsia="Times New Roman" w:hAnsi="Times New Roman" w:cs="Times New Roman"/>
      <w:lang w:val="es-VE" w:eastAsia="es-VE"/>
    </w:rPr>
  </w:style>
  <w:style w:type="table" w:customStyle="1" w:styleId="TableNormal1">
    <w:name w:val="Table Normal1"/>
    <w:rsid w:val="00627354"/>
    <w:pPr>
      <w:spacing w:line="480" w:lineRule="auto"/>
      <w:ind w:left="170"/>
      <w:jc w:val="both"/>
    </w:pPr>
    <w:rPr>
      <w:rFonts w:ascii="Times New Roman" w:eastAsia="Times New Roman" w:hAnsi="Times New Roman" w:cs="Times New Roman"/>
      <w:lang w:val="es-VE" w:eastAsia="es-VE"/>
    </w:rPr>
    <w:tblPr>
      <w:tblCellMar>
        <w:top w:w="0" w:type="dxa"/>
        <w:left w:w="0" w:type="dxa"/>
        <w:bottom w:w="0" w:type="dxa"/>
        <w:right w:w="0" w:type="dxa"/>
      </w:tblCellMar>
    </w:tblPr>
  </w:style>
  <w:style w:type="paragraph" w:styleId="Ttulo">
    <w:name w:val="Title"/>
    <w:basedOn w:val="Normal1"/>
    <w:next w:val="Normal1"/>
    <w:link w:val="TtuloCar"/>
    <w:uiPriority w:val="10"/>
    <w:qFormat/>
    <w:rsid w:val="00627354"/>
    <w:pPr>
      <w:keepNext/>
      <w:keepLines/>
      <w:spacing w:before="480" w:after="120"/>
    </w:pPr>
    <w:rPr>
      <w:b/>
      <w:sz w:val="72"/>
      <w:szCs w:val="72"/>
    </w:rPr>
  </w:style>
  <w:style w:type="character" w:customStyle="1" w:styleId="TtuloCar">
    <w:name w:val="Título Car"/>
    <w:basedOn w:val="Fuentedeprrafopredeter"/>
    <w:link w:val="Ttulo"/>
    <w:uiPriority w:val="10"/>
    <w:rsid w:val="00627354"/>
    <w:rPr>
      <w:rFonts w:ascii="Times New Roman" w:eastAsia="Times New Roman" w:hAnsi="Times New Roman" w:cs="Times New Roman"/>
      <w:b/>
      <w:sz w:val="72"/>
      <w:szCs w:val="72"/>
      <w:lang w:val="es-VE" w:eastAsia="es-VE"/>
    </w:rPr>
  </w:style>
  <w:style w:type="paragraph" w:styleId="Subttulo">
    <w:name w:val="Subtitle"/>
    <w:basedOn w:val="Normal1"/>
    <w:next w:val="Normal1"/>
    <w:link w:val="SubttuloCar"/>
    <w:rsid w:val="00627354"/>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627354"/>
    <w:rPr>
      <w:rFonts w:ascii="Georgia" w:eastAsia="Georgia" w:hAnsi="Georgia" w:cs="Georgia"/>
      <w:i/>
      <w:color w:val="666666"/>
      <w:sz w:val="48"/>
      <w:szCs w:val="48"/>
      <w:lang w:val="es-VE" w:eastAsia="es-VE"/>
    </w:rPr>
  </w:style>
  <w:style w:type="paragraph" w:customStyle="1" w:styleId="Titulo1">
    <w:name w:val="Titulo 1"/>
    <w:basedOn w:val="Normal1"/>
    <w:link w:val="Titulo1Char"/>
    <w:qFormat/>
    <w:rsid w:val="00627354"/>
    <w:pPr>
      <w:numPr>
        <w:numId w:val="11"/>
      </w:numPr>
      <w:spacing w:before="120" w:after="120"/>
      <w:ind w:left="0" w:firstLine="0"/>
      <w:jc w:val="left"/>
    </w:pPr>
    <w:rPr>
      <w:b/>
      <w:color w:val="000000"/>
      <w:sz w:val="28"/>
      <w:szCs w:val="28"/>
    </w:rPr>
  </w:style>
  <w:style w:type="paragraph" w:customStyle="1" w:styleId="Titulo2">
    <w:name w:val="Titulo 2"/>
    <w:basedOn w:val="Ttulo2"/>
    <w:link w:val="Titulo2Char"/>
    <w:qFormat/>
    <w:rsid w:val="00627354"/>
    <w:pPr>
      <w:numPr>
        <w:ilvl w:val="1"/>
        <w:numId w:val="8"/>
      </w:numPr>
      <w:spacing w:before="120" w:after="120" w:line="480" w:lineRule="auto"/>
    </w:pPr>
    <w:rPr>
      <w:rFonts w:ascii="Times New Roman" w:eastAsia="Times New Roman" w:hAnsi="Times New Roman" w:cs="Times New Roman"/>
      <w:bCs w:val="0"/>
      <w:lang w:eastAsia="es-VE"/>
    </w:rPr>
  </w:style>
  <w:style w:type="character" w:customStyle="1" w:styleId="Normal1Char">
    <w:name w:val="Normal1 Char"/>
    <w:basedOn w:val="Fuentedeprrafopredeter"/>
    <w:link w:val="Normal1"/>
    <w:rsid w:val="00627354"/>
    <w:rPr>
      <w:rFonts w:ascii="Times New Roman" w:eastAsia="Times New Roman" w:hAnsi="Times New Roman" w:cs="Times New Roman"/>
      <w:lang w:val="es-VE" w:eastAsia="es-VE"/>
    </w:rPr>
  </w:style>
  <w:style w:type="character" w:customStyle="1" w:styleId="Titulo1Char">
    <w:name w:val="Titulo 1 Char"/>
    <w:basedOn w:val="Normal1Char"/>
    <w:link w:val="Titulo1"/>
    <w:rsid w:val="00627354"/>
    <w:rPr>
      <w:rFonts w:ascii="Times New Roman" w:eastAsia="Times New Roman" w:hAnsi="Times New Roman" w:cs="Times New Roman"/>
      <w:b/>
      <w:color w:val="000000"/>
      <w:sz w:val="28"/>
      <w:szCs w:val="28"/>
      <w:lang w:val="es-VE" w:eastAsia="es-VE"/>
    </w:rPr>
  </w:style>
  <w:style w:type="character" w:customStyle="1" w:styleId="Titulo2Char">
    <w:name w:val="Titulo 2 Char"/>
    <w:basedOn w:val="Ttulo2Car"/>
    <w:link w:val="Titulo2"/>
    <w:rsid w:val="00627354"/>
    <w:rPr>
      <w:rFonts w:ascii="Times New Roman" w:eastAsia="Times New Roman" w:hAnsi="Times New Roman" w:cs="Times New Roman"/>
      <w:b/>
      <w:bCs w:val="0"/>
      <w:color w:val="4472C4" w:themeColor="accent1"/>
      <w:sz w:val="26"/>
      <w:szCs w:val="26"/>
      <w:lang w:val="es-VE" w:eastAsia="es-VE"/>
    </w:rPr>
  </w:style>
  <w:style w:type="character" w:customStyle="1" w:styleId="UnresolvedMention1">
    <w:name w:val="Unresolved Mention1"/>
    <w:basedOn w:val="Fuentedeprrafopredeter"/>
    <w:uiPriority w:val="99"/>
    <w:semiHidden/>
    <w:unhideWhenUsed/>
    <w:rsid w:val="00937DC4"/>
    <w:rPr>
      <w:color w:val="605E5C"/>
      <w:shd w:val="clear" w:color="auto" w:fill="E1DFDD"/>
    </w:rPr>
  </w:style>
  <w:style w:type="character" w:customStyle="1" w:styleId="Mencinsinresolver1">
    <w:name w:val="Mención sin resolver1"/>
    <w:basedOn w:val="Fuentedeprrafopredeter"/>
    <w:uiPriority w:val="99"/>
    <w:semiHidden/>
    <w:unhideWhenUsed/>
    <w:rsid w:val="00937DC4"/>
    <w:rPr>
      <w:color w:val="605E5C"/>
      <w:shd w:val="clear" w:color="auto" w:fill="E1DFDD"/>
    </w:rPr>
  </w:style>
  <w:style w:type="paragraph" w:styleId="Textoindependiente">
    <w:name w:val="Body Text"/>
    <w:basedOn w:val="Normal"/>
    <w:link w:val="TextoindependienteCar"/>
    <w:uiPriority w:val="99"/>
    <w:unhideWhenUsed/>
    <w:rsid w:val="00D35101"/>
    <w:pPr>
      <w:spacing w:after="120"/>
    </w:pPr>
  </w:style>
  <w:style w:type="character" w:customStyle="1" w:styleId="TextoindependienteCar">
    <w:name w:val="Texto independiente Car"/>
    <w:basedOn w:val="Fuentedeprrafopredeter"/>
    <w:link w:val="Textoindependiente"/>
    <w:uiPriority w:val="99"/>
    <w:rsid w:val="00D35101"/>
  </w:style>
  <w:style w:type="table" w:customStyle="1" w:styleId="Tablaconcuadrcula2">
    <w:name w:val="Tabla con cuadrícula2"/>
    <w:basedOn w:val="Tablanormal"/>
    <w:next w:val="Tablaconcuadrcula"/>
    <w:uiPriority w:val="59"/>
    <w:rsid w:val="00D35101"/>
    <w:rPr>
      <w:rFonts w:ascii="Arial" w:eastAsia="Arial" w:hAnsi="Arial" w:cs="Arial"/>
      <w:color w:val="000000"/>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D526F8"/>
    <w:rPr>
      <w:rFonts w:ascii="Arial" w:eastAsia="Arial" w:hAnsi="Arial" w:cs="Arial"/>
      <w:color w:val="000000"/>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8153">
      <w:bodyDiv w:val="1"/>
      <w:marLeft w:val="0"/>
      <w:marRight w:val="0"/>
      <w:marTop w:val="0"/>
      <w:marBottom w:val="0"/>
      <w:divBdr>
        <w:top w:val="none" w:sz="0" w:space="0" w:color="auto"/>
        <w:left w:val="none" w:sz="0" w:space="0" w:color="auto"/>
        <w:bottom w:val="none" w:sz="0" w:space="0" w:color="auto"/>
        <w:right w:val="none" w:sz="0" w:space="0" w:color="auto"/>
      </w:divBdr>
    </w:div>
    <w:div w:id="641883490">
      <w:bodyDiv w:val="1"/>
      <w:marLeft w:val="0"/>
      <w:marRight w:val="0"/>
      <w:marTop w:val="0"/>
      <w:marBottom w:val="0"/>
      <w:divBdr>
        <w:top w:val="none" w:sz="0" w:space="0" w:color="auto"/>
        <w:left w:val="none" w:sz="0" w:space="0" w:color="auto"/>
        <w:bottom w:val="none" w:sz="0" w:space="0" w:color="auto"/>
        <w:right w:val="none" w:sz="0" w:space="0" w:color="auto"/>
      </w:divBdr>
    </w:div>
    <w:div w:id="1445618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jpeg"/><Relationship Id="rId39" Type="http://schemas.openxmlformats.org/officeDocument/2006/relationships/header" Target="header2.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inegi.org.mx/programas/ccpv/2010/" TargetMode="External"/><Relationship Id="rId2" Type="http://schemas.openxmlformats.org/officeDocument/2006/relationships/hyperlink" Target="https://www.inegi.org.mx/contenidos/productos/prod_serv/contenidos/espanol/bvinegi/productos/metodologias/est/702825000014.pdf" TargetMode="External"/><Relationship Id="rId1" Type="http://schemas.openxmlformats.org/officeDocument/2006/relationships/hyperlink" Target="https://www.inegi.org.mx/programas/ccpv/2000/" TargetMode="External"/><Relationship Id="rId6" Type="http://schemas.openxmlformats.org/officeDocument/2006/relationships/hyperlink" Target="https://www.inegi.org.mx/contenidos/productos/prod_serv/contenidos/espanol/bvinegi/productos/nueva_estruc/702825098742.pdf" TargetMode="External"/><Relationship Id="rId5" Type="http://schemas.openxmlformats.org/officeDocument/2006/relationships/hyperlink" Target="https://www.inegi.org.mx/programas/intercensal/2015/" TargetMode="External"/><Relationship Id="rId4" Type="http://schemas.openxmlformats.org/officeDocument/2006/relationships/hyperlink" Target="https://www.inegi.org.mx/contenidos/productos/prod_serv/contenidos/espanol/bvinegi/productos/metodologias/est/marco_conceptual_cpv2010.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Luc19</b:Tag>
    <b:SourceType>DocumentFromInternetSite</b:SourceType>
    <b:Guid>{ED94CAB1-3061-41D0-8546-FABCA90261AA}</b:Guid>
    <b:Title>CAF</b:Title>
    <b:Year>2019</b:Year>
    <b:Author>
      <b:Author>
        <b:NameList>
          <b:Person>
            <b:Last>Berniell</b:Last>
            <b:First>Lucila</b:First>
          </b:Person>
        </b:NameList>
      </b:Author>
    </b:Author>
    <b:Month>12</b:Month>
    <b:Day>17</b:Day>
    <b:URL>https://www.caf.com/es/conocimiento/visiones/2019/12/por-que-los-ciudadanos-no-siempre-penalizan-a-los-politicos-corruptos/</b:URL>
    <b:RefOrder>1</b:RefOrder>
  </b:Source>
  <b:Source>
    <b:Tag>Tho51</b:Tag>
    <b:SourceType>Book</b:SourceType>
    <b:Guid>{70F3980E-1A17-44F7-940F-81EC2AC869ED}</b:Guid>
    <b:Author>
      <b:Author>
        <b:NameList>
          <b:Person>
            <b:Last>Hobbes</b:Last>
            <b:First>Thomas</b:First>
          </b:Person>
        </b:NameList>
      </b:Author>
    </b:Author>
    <b:Title> Leviathan, or the Matter, Forme, and Power of Commonwealth Ecclesiastical and Civil </b:Title>
    <b:Year>1651</b:Year>
    <b:City>Oxford</b:City>
    <b:Publisher>https://quod.lib.umich.edu/e/eebo/A43998.0001.001/1:7?rgn=div1;view=fulltext</b:Publisher>
    <b:RefOrder>2</b:RefOrder>
  </b:Source>
  <b:Source>
    <b:Tag>Ngu14</b:Tag>
    <b:SourceType>JournalArticle</b:SourceType>
    <b:Guid>{BE517EA4-A5D3-48AC-BBC1-D548150202F6}</b:Guid>
    <b:Title>Corruption and economic growth, with a focus on Vietnam</b:Title>
    <b:Year>2014</b:Year>
    <b:Author>
      <b:Author>
        <b:NameList>
          <b:Person>
            <b:Last>Nguyen</b:Last>
            <b:First>Ngoc</b:First>
            <b:Middle>Anh</b:Middle>
          </b:Person>
          <b:Person>
            <b:Last>Nguyen</b:Last>
            <b:First>Ngoc-Minh</b:First>
          </b:Person>
          <b:Person>
            <b:Last>Tran-Nam</b:Last>
            <b:First>Binh</b:First>
          </b:Person>
        </b:NameList>
      </b:Author>
    </b:Author>
    <b:JournalName>Munich Personal RePEc Archive (MPRA)</b:JournalName>
    <b:Pages>1-26</b:Pages>
    <b:StandardNumber>84728</b:StandardNumber>
    <b:RefOrder>4</b:RefOrder>
  </b:Source>
  <b:Source>
    <b:Tag>Sav15</b:Tag>
    <b:SourceType>Book</b:SourceType>
    <b:Guid>{B3160C12-7AC3-4BF5-ACA4-D6856CEEE3F8}</b:Guid>
    <b:Title>El Valor de Elegir</b:Title>
    <b:Year>2015</b:Year>
    <b:Author>
      <b:Author>
        <b:NameList>
          <b:Person>
            <b:Last>Savater</b:Last>
            <b:First>Fernando</b:First>
          </b:Person>
        </b:NameList>
      </b:Author>
    </b:Author>
    <b:City>Barcelona</b:City>
    <b:Publisher>Planeta</b:Publisher>
    <b:CountryRegion>España</b:CountryRegion>
    <b:RefOrder>3</b:RefOrder>
  </b:Source>
  <b:Source>
    <b:Tag>Loe89</b:Tag>
    <b:SourceType>JournalArticle</b:SourceType>
    <b:Guid>{8FBA6B61-571E-4874-BEC9-C368B1984F46}</b:Guid>
    <b:Title>Anomalies: Intertemporal Choice</b:Title>
    <b:Year>1989</b:Year>
    <b:Author>
      <b:Author>
        <b:NameList>
          <b:Person>
            <b:Last>Loewenstein</b:Last>
            <b:First>George</b:First>
          </b:Person>
          <b:Person>
            <b:Last>Thaler</b:Last>
            <b:First>Richard</b:First>
            <b:Middle>H.</b:Middle>
          </b:Person>
        </b:NameList>
      </b:Author>
    </b:Author>
    <b:JournalName>The Journal of Economic Perspectives</b:JournalName>
    <b:Pages>181-93</b:Pages>
    <b:Volume>3</b:Volume>
    <b:RefOrder>5</b:RefOrder>
  </b:Source>
  <b:Source>
    <b:Tag>Fer16</b:Tag>
    <b:SourceType>Book</b:SourceType>
    <b:Guid>{FCA4DF72-0EE1-4E8B-BBB4-8979DE96F962}</b:Guid>
    <b:Title>El Estado Mágico</b:Title>
    <b:Year>2016</b:Year>
    <b:City>Caracas</b:City>
    <b:Publisher>Editorial Alfa</b:Publisher>
    <b:Author>
      <b:Author>
        <b:NameList>
          <b:Person>
            <b:Last>Coronil</b:Last>
            <b:First>Fernando</b:First>
          </b:Person>
        </b:NameList>
      </b:Author>
    </b:Author>
    <b:RefOrder>6</b:RefOrder>
  </b:Source>
  <b:Source>
    <b:Tag>Cal19</b:Tag>
    <b:SourceType>BookSection</b:SourceType>
    <b:Guid>{384535B1-EDB6-4F60-84CA-CB41DABA25A7}</b:Guid>
    <b:Author>
      <b:Author>
        <b:NameList>
          <b:Person>
            <b:Last>Calderón</b:Last>
            <b:First>Fernando</b:First>
          </b:Person>
          <b:Person>
            <b:Last>Castell</b:Last>
            <b:First>Manuel</b:First>
          </b:Person>
        </b:NameList>
      </b:Author>
      <b:BookAuthor>
        <b:NameList>
          <b:Person>
            <b:Last>Calderón</b:Last>
            <b:First>Fernando</b:First>
          </b:Person>
          <b:Person>
            <b:Last>Castell</b:Last>
            <b:First>Manuel</b:First>
          </b:Person>
        </b:NameList>
      </b:BookAuthor>
    </b:Author>
    <b:Title>La Corrupción del Estado</b:Title>
    <b:Year>2019</b:Year>
    <b:City>Ciudad de México</b:City>
    <b:Publisher>Fondo de Cultura Económica</b:Publisher>
    <b:BookTitle>La Nueva América Latina</b:BookTitle>
    <b:Pages>292</b:Pages>
    <b:RefOrder>7</b:RefOrder>
  </b:Source>
  <b:Source>
    <b:Tag>Ali04</b:Tag>
    <b:SourceType>Book</b:SourceType>
    <b:Guid>{F901A433-7646-4C2C-BA0B-C19C4DAA15BA}</b:Guid>
    <b:Title>The Rise of the Rest</b:Title>
    <b:Year>2004</b:Year>
    <b:City>Oxford</b:City>
    <b:Publisher>Oxford University Press</b:Publisher>
    <b:Author>
      <b:Author>
        <b:NameList>
          <b:Person>
            <b:Last>Amsden</b:Last>
            <b:First>Alice</b:First>
          </b:Person>
        </b:NameList>
      </b:Author>
    </b:Author>
    <b:RefOrder>8</b:RefOrder>
  </b:Source>
  <b:Source>
    <b:Tag>Ace051</b:Tag>
    <b:SourceType>BookSection</b:SourceType>
    <b:Guid>{4A01A267-7665-4FC2-B281-7C5BF1EF47D9}</b:Guid>
    <b:Title>Institutions as Fundamental Cause of Long-Run Growth</b:Title>
    <b:Year>2005</b:Year>
    <b:City>Cambridge, Massachusetts</b:City>
    <b:Publisher>Elsevier B. V.</b:Publisher>
    <b:Pages>pp. 386-472</b:Pages>
    <b:Author>
      <b:Author>
        <b:NameList>
          <b:Person>
            <b:Last>Acemoglu</b:Last>
            <b:First>Daron</b:First>
          </b:Person>
          <b:Person>
            <b:Last>Johnson</b:Last>
            <b:First>Simon</b:First>
          </b:Person>
          <b:Person>
            <b:Last>Robinson</b:Last>
            <b:First>James</b:First>
          </b:Person>
        </b:NameList>
      </b:Author>
      <b:BookAuthor>
        <b:NameList>
          <b:Person>
            <b:Last>Aghion</b:Last>
            <b:First>Philippe</b:First>
          </b:Person>
          <b:Person>
            <b:Last>Durlauf</b:Last>
            <b:First>Steven</b:First>
          </b:Person>
        </b:NameList>
      </b:BookAuthor>
    </b:Author>
    <b:BookTitle>Handbook of Economic Growth. Vol. 1A</b:BookTitle>
    <b:RefOrder>9</b:RefOrder>
  </b:Source>
  <b:Source>
    <b:Tag>Wil93</b:Tag>
    <b:SourceType>JournalArticle</b:SourceType>
    <b:Guid>{E0ADDEFF-284A-4737-B5B6-BD2A34618984}</b:Guid>
    <b:Title>Opportunism and its Critics</b:Title>
    <b:Year>1993</b:Year>
    <b:Author>
      <b:Author>
        <b:NameList>
          <b:Person>
            <b:Last>Williamson</b:Last>
            <b:First>Oliver</b:First>
          </b:Person>
        </b:NameList>
      </b:Author>
    </b:Author>
    <b:JournalName>Managerial and Decision Economics</b:JournalName>
    <b:Pages>97-107</b:Pages>
    <b:Volume>14</b:Volume>
    <b:RefOrder>10</b:RefOrder>
  </b:Source>
  <b:Source>
    <b:Tag>Bap10</b:Tag>
    <b:SourceType>Book</b:SourceType>
    <b:Guid>{4E51A343-01C5-4229-9B5E-60BA8893B4C7}</b:Guid>
    <b:Author>
      <b:Author>
        <b:NameList>
          <b:Person>
            <b:Last>Baptista</b:Last>
            <b:First>Asdrúbla</b:First>
          </b:Person>
        </b:NameList>
      </b:Author>
    </b:Author>
    <b:Title>Teoría Económica del Capitalismo Rentístico</b:Title>
    <b:Year>2010</b:Year>
    <b:City>Caracas</b:City>
    <b:Publisher>Banco Central de Venezuela</b:Publisher>
    <b:Edition>2da</b:Edition>
    <b:RefOrder>11</b:RefOrder>
  </b:Source>
  <b:Source>
    <b:Tag>Mar21</b:Tag>
    <b:SourceType>Book</b:SourceType>
    <b:Guid>{DEF8E6D8-43F2-4638-B123-ABEA061BF4EB}</b:Guid>
    <b:Title>Reglas Fiscales para Venezuela: en la búsqueda de disciplina, estabilidad, y sostenibilidad en las finanzas públicas</b:Title>
    <b:Year>2021</b:Year>
    <b:Author>
      <b:Author>
        <b:NameList>
          <b:Person>
            <b:Last>Moreno</b:Last>
            <b:First>María</b:First>
          </b:Person>
          <b:Person>
            <b:Last>Sosa</b:Last>
            <b:First>Santiago</b:First>
          </b:Person>
          <b:Person>
            <b:Last>Zambrano</b:Last>
            <b:First>Luis</b:First>
          </b:Person>
        </b:NameList>
      </b:Author>
    </b:Author>
    <b:City>Caracas</b:City>
    <b:Publisher>Universidad Católica Andrés Bello</b:Publisher>
    <b:RefOrder>12</b:RefOrder>
  </b:Source>
  <b:Source>
    <b:Tag>Sal12</b:Tag>
    <b:SourceType>JournalArticle</b:SourceType>
    <b:Guid>{D8AE6180-9859-4C47-9A87-6F07AFB90289}</b:Guid>
    <b:Title>Addressing the Natural Resource Curse: an illustraction from Nigeria</b:Title>
    <b:Year>2012</b:Year>
    <b:Author>
      <b:Author>
        <b:NameList>
          <b:Person>
            <b:Last>Sala-i-Martin</b:Last>
            <b:First>Xavier</b:First>
          </b:Person>
          <b:Person>
            <b:Last>Subramanian</b:Last>
            <b:First>Arvind</b:First>
          </b:Person>
        </b:NameList>
      </b:Author>
    </b:Author>
    <b:JournalName>Journal of African Economies</b:JournalName>
    <b:Pages>570-615</b:Pages>
    <b:Volume>22</b:Volume>
    <b:Issue>4</b:Issue>
    <b:DOI>doi:10.1093/jae/ejs033</b:DOI>
    <b:RefOrder>13</b:RefOrder>
  </b:Source>
  <b:Source>
    <b:Tag>Phi08</b:Tag>
    <b:SourceType>Book</b:SourceType>
    <b:Guid>{A76CA351-360D-4AAA-8E1F-22E7D63CEEC5}</b:Guid>
    <b:Author>
      <b:Author>
        <b:NameList>
          <b:Person>
            <b:Last>Zimbardo</b:Last>
            <b:First>Philip</b:First>
          </b:Person>
        </b:NameList>
      </b:Author>
    </b:Author>
    <b:Title>The Lucifer Effect</b:Title>
    <b:Year>2008</b:Year>
    <b:City>New York</b:City>
    <b:Publisher>Random House Paperbacks</b:Publisher>
    <b:RefOrder>14</b:RefOrder>
  </b:Source>
  <b:Source>
    <b:Tag>Hje21</b:Tag>
    <b:SourceType>DocumentFromInternetSite</b:SourceType>
    <b:Guid>{66CFA6B7-A131-423E-9C8C-406B84717B2E}</b:Guid>
    <b:Title>An Economic History of Finland</b:Title>
    <b:Year>2021</b:Year>
    <b:Author>
      <b:Author>
        <b:NameList>
          <b:Person>
            <b:Last>Hjerppe</b:Last>
            <b:First>Riitta</b:First>
          </b:Person>
        </b:NameList>
      </b:Author>
    </b:Author>
    <b:InternetSiteTitle>EH.net</b:InternetSiteTitle>
    <b:Month>April</b:Month>
    <b:Day>22</b:Day>
    <b:URL>https://www.eh.net/page/2/?s=modern+economic+growth%3A+rate</b:URL>
    <b:RefOrder>15</b:RefOrder>
  </b:Source>
  <b:Source>
    <b:Tag>Ale87</b:Tag>
    <b:SourceType>JournalArticle</b:SourceType>
    <b:Guid>{8E054A4D-67B6-4C7F-975E-6FF8C4744ADF}</b:Guid>
    <b:Title>The Scandinavian Route: Economic, Social, and Political Developments in Denmark, Finland, Norway, and Sweden</b:Title>
    <b:Year>1986-1987</b:Year>
    <b:Author>
      <b:Author>
        <b:NameList>
          <b:Person>
            <b:Last>Alestalo</b:Last>
            <b:First>Matti</b:First>
          </b:Person>
          <b:Person>
            <b:Last>Kuhnle</b:Last>
            <b:First>Stein</b:First>
          </b:Person>
        </b:NameList>
      </b:Author>
    </b:Author>
    <b:JournalName>International Journal of Sociology</b:JournalName>
    <b:Pages>3-38</b:Pages>
    <b:Volume>16</b:Volume>
    <b:Issue>3/4</b:Issue>
    <b:RefOrder>16</b:RefOrder>
  </b:Source>
  <b:Source>
    <b:Tag>Hal92</b:Tag>
    <b:SourceType>Book</b:SourceType>
    <b:Guid>{FEB9A775-A23F-4F1C-B13C-6ED02691F085}</b:Guid>
    <b:Title>Microeconomic Analysis</b:Title>
    <b:Year>1992</b:Year>
    <b:Pages>349-351</b:Pages>
    <b:City>NY</b:City>
    <b:Publisher>W. W. Norton &amp; Co.</b:Publisher>
    <b:Author>
      <b:Author>
        <b:NameList>
          <b:Person>
            <b:Last>Varian</b:Last>
            <b:First>Hal</b:First>
            <b:Middle>R.</b:Middle>
          </b:Person>
        </b:NameList>
      </b:Author>
    </b:Author>
    <b:Edition>Third edition</b:Edition>
    <b:RefOrder>17</b:RefOrder>
  </b:Source>
  <b:Source>
    <b:Tag>Hero1</b:Tag>
    <b:SourceType>JournalArticle</b:SourceType>
    <b:Guid>{CC6D94A9-0D92-466E-941E-73AC5CD1D1E4}</b:Guid>
    <b:Title>Embargo y producción petrolera en la Venezuela del 2018: evaluación de impactos y aspectos distintivos</b:Title>
    <b:Year>2019 </b:Year>
    <b:Author>
      <b:Author>
        <b:NameList>
          <b:Person>
            <b:Last>Hernández</b:Last>
            <b:First>Jorge</b:First>
          </b:Person>
          <b:Person>
            <b:Last>Leone</b:Last>
            <b:First>Francesco</b:First>
          </b:Person>
        </b:NameList>
      </b:Author>
    </b:Author>
    <b:JournalName>Revista Venezolana de Análisis de Coyuntura Vol 25 No 1</b:JournalName>
    <b:Pages>167-208</b:Pages>
    <b:RefOrder>18</b:RefOrder>
  </b:Source>
  <b:Source>
    <b:Tag>Fun21</b:Tag>
    <b:SourceType>InternetSite</b:SourceType>
    <b:Guid>{D935EAEB-1780-458B-AFEE-A4E9FEB86EED}</b:Guid>
    <b:Title>bibliofep.fundacionempresaspolar</b:Title>
    <b:Year>2021</b:Year>
    <b:Author>
      <b:Author>
        <b:NameList>
          <b:Person>
            <b:Last>Polar</b:Last>
            <b:First>Fundación</b:First>
            <b:Middle>Empresas</b:Middle>
          </b:Person>
        </b:NameList>
      </b:Author>
    </b:Author>
    <b:InternetSiteTitle>Fundación Empresas Polar</b:InternetSiteTitle>
    <b:Month>April</b:Month>
    <b:Day>24</b:Day>
    <b:URL>https://bibliofep.fundacionempresaspolar.org/_custom/static/cronologia_hv/zoom/s20-10/1977-13.html</b:URL>
    <b:RefOrder>19</b:RefOrder>
  </b:Source>
  <b:Source>
    <b:Tag>Bau90</b:Tag>
    <b:SourceType>JournalArticle</b:SourceType>
    <b:Guid>{C9425752-95F8-4CAD-B984-16BE4B2B2D23}</b:Guid>
    <b:Title>Entrepreneurship: Productive, Unproductive, and Destructive</b:Title>
    <b:Year>1990</b:Year>
    <b:Author>
      <b:Author>
        <b:NameList>
          <b:Person>
            <b:Last>Baumol</b:Last>
            <b:First>William</b:First>
          </b:Person>
        </b:NameList>
      </b:Author>
    </b:Author>
    <b:JournalName>Journal of Poltical Economy</b:JournalName>
    <b:Pages>893-921</b:Pages>
    <b:Volume>98</b:Volume>
    <b:Issue>5</b:Issue>
    <b:RefOrder>20</b:RefOrder>
  </b:Source>
  <b:Source>
    <b:Tag>Irm01</b:Tag>
    <b:SourceType>BookSection</b:SourceType>
    <b:Guid>{E42697AF-07B0-45B8-B532-F2D35933CF7D}</b:Guid>
    <b:Author>
      <b:Author>
        <b:NameList>
          <b:Person>
            <b:Last>Adelman</b:Last>
            <b:First>Irma</b:First>
          </b:Person>
        </b:NameList>
      </b:Author>
      <b:BookAuthor>
        <b:NameList>
          <b:Person>
            <b:Last>Meier</b:Last>
            <b:First>Gerald</b:First>
          </b:Person>
          <b:Person>
            <b:Last>Stiglitz</b:Last>
            <b:First>Joseph</b:First>
          </b:Person>
        </b:NameList>
      </b:BookAuthor>
    </b:Author>
    <b:Title>Falacias en las teorías del desarrollo y sus implicaciones políticas</b:Title>
    <b:BookTitle>Fronteras de la economía del desarrollo</b:BookTitle>
    <b:Year>2001</b:Year>
    <b:Pages>91-137</b:Pages>
    <b:City>México</b:City>
    <b:Publisher>Banco Mundial y Alfaomega</b:Publisher>
    <b:RefOrder>21</b:RefOrder>
  </b:Source>
  <b:Source>
    <b:Tag>Dha12</b:Tag>
    <b:SourceType>Report</b:SourceType>
    <b:Guid>{07BACAA4-BD33-4D6E-85A5-F7E186E24767}</b:Guid>
    <b:Title>Macroeconomic Policy Frameworks for Resource-Rich Developing Countries</b:Title>
    <b:Year>2012</b:Year>
    <b:City>Wsahington D.C.</b:City>
    <b:Publisher>IMF</b:Publisher>
    <b:Author>
      <b:Author>
        <b:NameList>
          <b:Person>
            <b:Last>Ghura</b:Last>
            <b:First>Dhaneshwar</b:First>
          </b:Person>
          <b:Person>
            <b:Last>al</b:Last>
            <b:First>et</b:First>
          </b:Person>
        </b:NameList>
      </b:Author>
    </b:Author>
    <b:RefOrder>22</b:RefOrder>
  </b:Source>
  <b:Source>
    <b:Tag>Her20</b:Tag>
    <b:SourceType>JournalArticle</b:SourceType>
    <b:Guid>{91F7A297-0336-4AE6-8063-AA9A142537DB}</b:Guid>
    <b:Title>Rightsizing the Public Sector: A Challenging Step Forward in Economic Reforms</b:Title>
    <b:Year>2020</b:Year>
    <b:Author>
      <b:Author>
        <b:NameList>
          <b:Person>
            <b:Last>Hernández</b:Last>
            <b:First>Jorge</b:First>
          </b:Person>
        </b:NameList>
      </b:Author>
    </b:Author>
    <b:JournalName>Revista Venezolana de Análisis de Coyuntura</b:JournalName>
    <b:Pages>23-39</b:Pages>
    <b:Volume>XXVI</b:Volume>
    <b:Issue>1</b:Issue>
    <b:RefOrder>23</b:RefOrder>
  </b:Source>
</b:Sources>
</file>

<file path=customXml/itemProps1.xml><?xml version="1.0" encoding="utf-8"?>
<ds:datastoreItem xmlns:ds="http://schemas.openxmlformats.org/officeDocument/2006/customXml" ds:itemID="{099EF398-D4ED-49AB-8925-8767BF919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38</Pages>
  <Words>8128</Words>
  <Characters>44707</Characters>
  <Application>Microsoft Office Word</Application>
  <DocSecurity>0</DocSecurity>
  <Lines>372</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Oscar Núñez</cp:lastModifiedBy>
  <cp:revision>4</cp:revision>
  <cp:lastPrinted>2022-02-01T16:22:00Z</cp:lastPrinted>
  <dcterms:created xsi:type="dcterms:W3CDTF">2022-02-01T16:24:00Z</dcterms:created>
  <dcterms:modified xsi:type="dcterms:W3CDTF">2022-02-01T17:25:00Z</dcterms:modified>
</cp:coreProperties>
</file>