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12A4" w14:textId="77777777" w:rsidR="006F6469" w:rsidRDefault="006F6469" w:rsidP="006F6469">
      <w:pPr>
        <w:pStyle w:val="TITULOS"/>
        <w:outlineLvl w:val="0"/>
        <w:rPr>
          <w:rFonts w:ascii="Adobe Garamond Pro" w:hAnsi="Adobe Garamond Pro"/>
          <w:sz w:val="32"/>
          <w:szCs w:val="32"/>
        </w:rPr>
      </w:pPr>
    </w:p>
    <w:p w14:paraId="4BCEF3CC" w14:textId="77777777" w:rsidR="00AE0B6D" w:rsidRDefault="00AE0B6D" w:rsidP="004E7DF0">
      <w:pPr>
        <w:spacing w:after="240" w:line="360" w:lineRule="auto"/>
        <w:jc w:val="both"/>
        <w:rPr>
          <w:rFonts w:ascii="AGaramond" w:eastAsia="Times New Roman" w:hAnsi="AGaramond" w:cs="Times New Roman"/>
        </w:rPr>
      </w:pPr>
    </w:p>
    <w:p w14:paraId="10EE3C82" w14:textId="77777777" w:rsidR="001078D4" w:rsidRPr="001078D4" w:rsidRDefault="001078D4" w:rsidP="001078D4">
      <w:pPr>
        <w:spacing w:after="240" w:line="360" w:lineRule="auto"/>
        <w:jc w:val="both"/>
        <w:rPr>
          <w:rFonts w:ascii="AGaramond" w:eastAsia="Times New Roman" w:hAnsi="AGaramond" w:cs="Arial"/>
          <w:b/>
          <w:bCs/>
          <w:sz w:val="18"/>
          <w:szCs w:val="18"/>
        </w:rPr>
      </w:pPr>
      <w:r w:rsidRPr="001078D4">
        <w:rPr>
          <w:rFonts w:ascii="AGaramond" w:eastAsia="Times New Roman" w:hAnsi="AGaramond" w:cs="Times New Roman"/>
          <w:b/>
          <w:bCs/>
        </w:rPr>
        <w:t>PRESENTACIÓN</w:t>
      </w:r>
    </w:p>
    <w:p w14:paraId="1453D1A1" w14:textId="77777777" w:rsidR="00CB1D06" w:rsidRDefault="00362623" w:rsidP="00362623">
      <w:pPr>
        <w:spacing w:after="240" w:line="360" w:lineRule="auto"/>
        <w:ind w:firstLine="284"/>
        <w:jc w:val="both"/>
        <w:rPr>
          <w:rFonts w:ascii="AGaramond" w:eastAsia="Times New Roman" w:hAnsi="AGaramond" w:cs="Arial"/>
          <w:sz w:val="22"/>
          <w:szCs w:val="22"/>
        </w:rPr>
      </w:pPr>
      <w:r w:rsidRPr="00362623">
        <w:rPr>
          <w:rFonts w:ascii="AGaramond" w:eastAsia="Times New Roman" w:hAnsi="AGaramond" w:cs="Arial"/>
          <w:sz w:val="22"/>
          <w:szCs w:val="22"/>
        </w:rPr>
        <w:t xml:space="preserve">Nuestra </w:t>
      </w:r>
      <w:r>
        <w:rPr>
          <w:rFonts w:ascii="AGaramond" w:eastAsia="Times New Roman" w:hAnsi="AGaramond" w:cs="Arial"/>
          <w:sz w:val="22"/>
          <w:szCs w:val="22"/>
        </w:rPr>
        <w:t>r</w:t>
      </w:r>
      <w:r w:rsidRPr="00362623">
        <w:rPr>
          <w:rFonts w:ascii="AGaramond" w:eastAsia="Times New Roman" w:hAnsi="AGaramond" w:cs="Arial"/>
          <w:sz w:val="22"/>
          <w:szCs w:val="22"/>
        </w:rPr>
        <w:t xml:space="preserve">evista </w:t>
      </w:r>
      <w:r w:rsidRPr="00362623">
        <w:rPr>
          <w:rFonts w:ascii="AGaramond" w:eastAsia="Times New Roman" w:hAnsi="AGaramond" w:cs="Arial"/>
          <w:i/>
          <w:iCs/>
          <w:sz w:val="22"/>
          <w:szCs w:val="22"/>
        </w:rPr>
        <w:t>Temas de Coyuntura</w:t>
      </w:r>
      <w:r w:rsidRPr="00362623">
        <w:rPr>
          <w:rFonts w:ascii="AGaramond" w:eastAsia="Times New Roman" w:hAnsi="AGaramond" w:cs="Arial"/>
          <w:sz w:val="22"/>
          <w:szCs w:val="22"/>
        </w:rPr>
        <w:t xml:space="preserve"> publica en esta nueva edición cinco interesantes estudios sobre diversas temáticas económico-sociales. Entre </w:t>
      </w:r>
      <w:r>
        <w:rPr>
          <w:rFonts w:ascii="AGaramond" w:eastAsia="Times New Roman" w:hAnsi="AGaramond" w:cs="Arial"/>
          <w:sz w:val="22"/>
          <w:szCs w:val="22"/>
        </w:rPr>
        <w:t>e</w:t>
      </w:r>
      <w:r w:rsidRPr="00362623">
        <w:rPr>
          <w:rFonts w:ascii="AGaramond" w:eastAsia="Times New Roman" w:hAnsi="AGaramond" w:cs="Arial"/>
          <w:sz w:val="22"/>
          <w:szCs w:val="22"/>
        </w:rPr>
        <w:t>stos se encuentra el trabajo del profesor Carlos Delgado intitulado “</w:t>
      </w:r>
      <w:r w:rsidRPr="00362623">
        <w:rPr>
          <w:rFonts w:ascii="AGaramond" w:eastAsia="Times New Roman" w:hAnsi="AGaramond" w:cs="Arial"/>
          <w:bCs/>
          <w:sz w:val="22"/>
          <w:szCs w:val="22"/>
        </w:rPr>
        <w:t>La crisis de la globalización liberal y la emergencia de la sociedad del conocimiento”</w:t>
      </w:r>
      <w:r>
        <w:rPr>
          <w:rFonts w:ascii="AGaramond" w:eastAsia="Times New Roman" w:hAnsi="AGaramond" w:cs="Arial"/>
          <w:bCs/>
          <w:sz w:val="22"/>
          <w:szCs w:val="22"/>
        </w:rPr>
        <w:t>,</w:t>
      </w:r>
      <w:r w:rsidRPr="00362623">
        <w:rPr>
          <w:rFonts w:ascii="AGaramond" w:eastAsia="Times New Roman" w:hAnsi="AGaramond" w:cs="Arial"/>
          <w:bCs/>
          <w:sz w:val="22"/>
          <w:szCs w:val="22"/>
        </w:rPr>
        <w:t xml:space="preserve"> </w:t>
      </w:r>
      <w:r>
        <w:rPr>
          <w:rFonts w:ascii="AGaramond" w:eastAsia="Times New Roman" w:hAnsi="AGaramond" w:cs="Arial"/>
          <w:bCs/>
          <w:sz w:val="22"/>
          <w:szCs w:val="22"/>
        </w:rPr>
        <w:t>donde</w:t>
      </w:r>
      <w:r w:rsidRPr="00362623">
        <w:rPr>
          <w:rFonts w:ascii="AGaramond" w:eastAsia="Times New Roman" w:hAnsi="AGaramond" w:cs="Arial"/>
          <w:bCs/>
          <w:sz w:val="22"/>
          <w:szCs w:val="22"/>
        </w:rPr>
        <w:t xml:space="preserve"> se analiza el contexto geopolítico en el que se inserta la dinámica política, ideológica y social de la Venezuela contemporánea. En palabras del autor, se hace en el artículo un análisis de la “</w:t>
      </w:r>
      <w:r w:rsidRPr="00362623">
        <w:rPr>
          <w:rFonts w:ascii="AGaramond" w:eastAsia="Times New Roman" w:hAnsi="AGaramond" w:cs="Arial"/>
          <w:sz w:val="22"/>
          <w:szCs w:val="22"/>
        </w:rPr>
        <w:t xml:space="preserve">crisis de la globalización liberal, que hace parte del proceso de emergencia de la sociedad del conocimiento considerado como ‘cambio de época’”, proyectando su estudio a partir de dos importantes informes de prospectiva como lo son el de los escenarios a 2030 del Millenium Proyect de la ONU, así como el informe de Tendencias globales 2030: mundos alternativos del Consejo de Inteligencia Nacional (CNI) de Estados Unidos. </w:t>
      </w:r>
    </w:p>
    <w:p w14:paraId="76AD5951" w14:textId="3085B3E9" w:rsidR="00362623" w:rsidRPr="00362623" w:rsidRDefault="00362623" w:rsidP="00362623">
      <w:pPr>
        <w:spacing w:after="240" w:line="360" w:lineRule="auto"/>
        <w:ind w:firstLine="284"/>
        <w:jc w:val="both"/>
        <w:rPr>
          <w:rFonts w:ascii="AGaramond" w:eastAsia="Times New Roman" w:hAnsi="AGaramond" w:cs="Arial"/>
          <w:sz w:val="22"/>
          <w:szCs w:val="22"/>
        </w:rPr>
      </w:pPr>
      <w:r w:rsidRPr="00362623">
        <w:rPr>
          <w:rFonts w:ascii="AGaramond" w:eastAsia="Times New Roman" w:hAnsi="AGaramond" w:cs="Arial"/>
          <w:sz w:val="22"/>
          <w:szCs w:val="22"/>
        </w:rPr>
        <w:t>Otro trabajo que se suma a esta nueva publicación es el del profesor Teodoro Campos con relación a las nuevas tendencias narrativas en los estudios que en torno a las organizaciones empresariales vienen sucediendo y definiéndose como tendencia de nuevo signo. “El giro narrativo en los estudios organizacionales” es el título asignado por el autor de este trabajo y que busca, entre otras cosas, hacer una síntesis descriptiva de algunas alternativas para realizar “análisis narrativo” en torno a la organización empresarial, tales como la deconstrucción, las grandes narrativas, las microhistorias, las redes de historias, la intertextualidad, la causalidad, el análisis de la trama y el análisis del tema. Pretende así el autor poner a disposición del lector un conjunto de herramientas de utilidad para “el estudio y gestión de la complejidad de las historias que tienen lugar al interior y hacia fuera de las organizaciones”, lo que</w:t>
      </w:r>
      <w:r>
        <w:rPr>
          <w:rFonts w:ascii="AGaramond" w:eastAsia="Times New Roman" w:hAnsi="AGaramond" w:cs="Arial"/>
          <w:sz w:val="22"/>
          <w:szCs w:val="22"/>
        </w:rPr>
        <w:t>,</w:t>
      </w:r>
      <w:r w:rsidRPr="00362623">
        <w:rPr>
          <w:rFonts w:ascii="AGaramond" w:eastAsia="Times New Roman" w:hAnsi="AGaramond" w:cs="Arial"/>
          <w:sz w:val="22"/>
          <w:szCs w:val="22"/>
        </w:rPr>
        <w:t xml:space="preserve"> aunado a precisiones sobre el concepto asociado a la narrativa organizacional y la descripción de algunas posiciones epistemológicas sobre este tema, “constituye información relevante para el estudio de las organizaciones y las posibilidades que ofrece para repensar las organizaciones de cara al futuro”. </w:t>
      </w:r>
    </w:p>
    <w:p w14:paraId="3B576C1E" w14:textId="29338441" w:rsidR="00362623" w:rsidRPr="00362623" w:rsidRDefault="00362623" w:rsidP="00362623">
      <w:pPr>
        <w:spacing w:after="240" w:line="360" w:lineRule="auto"/>
        <w:ind w:firstLine="284"/>
        <w:jc w:val="both"/>
        <w:rPr>
          <w:rFonts w:ascii="AGaramond" w:eastAsia="Times New Roman" w:hAnsi="AGaramond" w:cs="Arial"/>
          <w:sz w:val="22"/>
          <w:szCs w:val="22"/>
          <w:lang w:val="es-MX"/>
        </w:rPr>
      </w:pPr>
      <w:r w:rsidRPr="00362623">
        <w:rPr>
          <w:rFonts w:ascii="AGaramond" w:eastAsia="Times New Roman" w:hAnsi="AGaramond" w:cs="Arial"/>
          <w:sz w:val="22"/>
          <w:szCs w:val="22"/>
        </w:rPr>
        <w:t>La vigencia de las temáticas migratorias le da un carácter sumamente relevante al trabajo presentado en este nuevo número por el profesor Manuel Delgado. El título de su investigación</w:t>
      </w:r>
      <w:r w:rsidR="00CB1D06">
        <w:rPr>
          <w:rFonts w:ascii="AGaramond" w:eastAsia="Times New Roman" w:hAnsi="AGaramond" w:cs="Arial"/>
          <w:sz w:val="22"/>
          <w:szCs w:val="22"/>
        </w:rPr>
        <w:t xml:space="preserve">, </w:t>
      </w:r>
      <w:r w:rsidRPr="00362623">
        <w:rPr>
          <w:rFonts w:ascii="AGaramond" w:eastAsia="Times New Roman" w:hAnsi="AGaramond" w:cs="Arial"/>
          <w:sz w:val="22"/>
          <w:szCs w:val="22"/>
        </w:rPr>
        <w:t>“</w:t>
      </w:r>
      <w:bookmarkStart w:id="0" w:name="_Toc456588183"/>
      <w:r w:rsidR="00CB1D06" w:rsidRPr="00362623">
        <w:rPr>
          <w:rFonts w:ascii="AGaramond" w:eastAsia="Times New Roman" w:hAnsi="AGaramond" w:cs="Arial"/>
          <w:sz w:val="22"/>
          <w:szCs w:val="22"/>
        </w:rPr>
        <w:t xml:space="preserve">análisis de la migración interna </w:t>
      </w:r>
      <w:bookmarkEnd w:id="0"/>
      <w:r w:rsidR="00CB1D06" w:rsidRPr="00362623">
        <w:rPr>
          <w:rFonts w:ascii="AGaramond" w:eastAsia="Times New Roman" w:hAnsi="AGaramond" w:cs="Arial"/>
          <w:sz w:val="22"/>
          <w:szCs w:val="22"/>
        </w:rPr>
        <w:t xml:space="preserve">hacia y desde </w:t>
      </w:r>
      <w:r w:rsidRPr="00362623">
        <w:rPr>
          <w:rFonts w:ascii="AGaramond" w:eastAsia="Times New Roman" w:hAnsi="AGaramond" w:cs="Arial"/>
          <w:sz w:val="22"/>
          <w:szCs w:val="22"/>
        </w:rPr>
        <w:t xml:space="preserve">Playa del Carmen, México, 1995-2015” ya describe bien las pretensiones de </w:t>
      </w:r>
      <w:r w:rsidR="00CB1D06" w:rsidRPr="00362623">
        <w:rPr>
          <w:rFonts w:ascii="AGaramond" w:eastAsia="Times New Roman" w:hAnsi="AGaramond" w:cs="Arial"/>
          <w:sz w:val="22"/>
          <w:szCs w:val="22"/>
        </w:rPr>
        <w:t>esta</w:t>
      </w:r>
      <w:r w:rsidRPr="00362623">
        <w:rPr>
          <w:rFonts w:ascii="AGaramond" w:eastAsia="Times New Roman" w:hAnsi="AGaramond" w:cs="Arial"/>
          <w:sz w:val="22"/>
          <w:szCs w:val="22"/>
        </w:rPr>
        <w:t>. En particular, el profesor Delgado afirma que su trabajo está “</w:t>
      </w:r>
      <w:r w:rsidRPr="00362623">
        <w:rPr>
          <w:rFonts w:ascii="AGaramond" w:eastAsia="Times New Roman" w:hAnsi="AGaramond" w:cs="Arial"/>
          <w:sz w:val="22"/>
          <w:szCs w:val="22"/>
          <w:lang w:val="es-MX"/>
        </w:rPr>
        <w:t>centrado en la cuantificación de la contribución que la migración interna mexicana ha tenido sobre el crecimiento demográfico en Playa del Carmen”; en “la caracterización de las fuentes de información demográficas que han permitido el estudio de la migración interna reciente hacia y desde la ciudad en los lustros 1995-2000, 2005-2010 y 2010-2015”; y finalmente, aunado ello a la construcción de un conjunto de indicadores asociados, afirma el autor que “los resultados han apuntado a las estrechas vinculaciones entre migración y urbanización, pues las altas tasas de inmigración y migración neta han permitido en breve tiempo una transición en la talla demográfica de la ciudad, al tiempo que los más altos valores de esas tasas en edades de trabajar han abonado a una estrecha relación con el mercado laboral”.</w:t>
      </w:r>
    </w:p>
    <w:p w14:paraId="5C1BE539" w14:textId="77777777" w:rsidR="00CB1D06" w:rsidRDefault="00362623" w:rsidP="00362623">
      <w:pPr>
        <w:spacing w:after="240" w:line="360" w:lineRule="auto"/>
        <w:ind w:firstLine="284"/>
        <w:jc w:val="both"/>
        <w:rPr>
          <w:rFonts w:ascii="AGaramond" w:eastAsia="Times New Roman" w:hAnsi="AGaramond" w:cs="Arial"/>
          <w:sz w:val="22"/>
          <w:szCs w:val="22"/>
        </w:rPr>
      </w:pPr>
      <w:r w:rsidRPr="00362623">
        <w:rPr>
          <w:rFonts w:ascii="AGaramond" w:eastAsia="Times New Roman" w:hAnsi="AGaramond" w:cs="Arial"/>
          <w:sz w:val="22"/>
          <w:szCs w:val="22"/>
          <w:lang w:val="es-MX"/>
        </w:rPr>
        <w:lastRenderedPageBreak/>
        <w:t>Cierran esta sección sobre artículos dos interesantes trabajos sobre temas económicos. El primero de ellos realizado por el profesor Jorge Hernández con el título “</w:t>
      </w:r>
      <w:r w:rsidRPr="00362623">
        <w:rPr>
          <w:rFonts w:ascii="AGaramond" w:eastAsia="Times New Roman" w:hAnsi="AGaramond" w:cs="Arial"/>
          <w:sz w:val="22"/>
          <w:szCs w:val="22"/>
        </w:rPr>
        <w:t xml:space="preserve">Reflexiones sobre la </w:t>
      </w:r>
      <w:r w:rsidR="00CB1D06">
        <w:rPr>
          <w:rFonts w:ascii="AGaramond" w:eastAsia="Times New Roman" w:hAnsi="AGaramond" w:cs="Arial"/>
          <w:sz w:val="22"/>
          <w:szCs w:val="22"/>
        </w:rPr>
        <w:t>c</w:t>
      </w:r>
      <w:r w:rsidRPr="00362623">
        <w:rPr>
          <w:rFonts w:ascii="AGaramond" w:eastAsia="Times New Roman" w:hAnsi="AGaramond" w:cs="Arial"/>
          <w:sz w:val="22"/>
          <w:szCs w:val="22"/>
        </w:rPr>
        <w:t xml:space="preserve">orrupción del Estado, el </w:t>
      </w:r>
      <w:r w:rsidR="00CB1D06">
        <w:rPr>
          <w:rFonts w:ascii="AGaramond" w:eastAsia="Times New Roman" w:hAnsi="AGaramond" w:cs="Arial"/>
          <w:sz w:val="22"/>
          <w:szCs w:val="22"/>
        </w:rPr>
        <w:t>d</w:t>
      </w:r>
      <w:r w:rsidRPr="00362623">
        <w:rPr>
          <w:rFonts w:ascii="AGaramond" w:eastAsia="Times New Roman" w:hAnsi="AGaramond" w:cs="Arial"/>
          <w:sz w:val="22"/>
          <w:szCs w:val="22"/>
        </w:rPr>
        <w:t xml:space="preserve">esarrollo </w:t>
      </w:r>
      <w:r w:rsidR="00CB1D06">
        <w:rPr>
          <w:rFonts w:ascii="AGaramond" w:eastAsia="Times New Roman" w:hAnsi="AGaramond" w:cs="Arial"/>
          <w:sz w:val="22"/>
          <w:szCs w:val="22"/>
        </w:rPr>
        <w:t>e</w:t>
      </w:r>
      <w:r w:rsidRPr="00362623">
        <w:rPr>
          <w:rFonts w:ascii="AGaramond" w:eastAsia="Times New Roman" w:hAnsi="AGaramond" w:cs="Arial"/>
          <w:sz w:val="22"/>
          <w:szCs w:val="22"/>
        </w:rPr>
        <w:t xml:space="preserve">conómico y la </w:t>
      </w:r>
      <w:r w:rsidR="00CB1D06">
        <w:rPr>
          <w:rFonts w:ascii="AGaramond" w:eastAsia="Times New Roman" w:hAnsi="AGaramond" w:cs="Arial"/>
          <w:sz w:val="22"/>
          <w:szCs w:val="22"/>
        </w:rPr>
        <w:t>r</w:t>
      </w:r>
      <w:r w:rsidRPr="00362623">
        <w:rPr>
          <w:rFonts w:ascii="AGaramond" w:eastAsia="Times New Roman" w:hAnsi="AGaramond" w:cs="Arial"/>
          <w:sz w:val="22"/>
          <w:szCs w:val="22"/>
        </w:rPr>
        <w:t xml:space="preserve">enta de los </w:t>
      </w:r>
      <w:r w:rsidR="00CB1D06">
        <w:rPr>
          <w:rFonts w:ascii="AGaramond" w:eastAsia="Times New Roman" w:hAnsi="AGaramond" w:cs="Arial"/>
          <w:sz w:val="22"/>
          <w:szCs w:val="22"/>
        </w:rPr>
        <w:t>r</w:t>
      </w:r>
      <w:r w:rsidRPr="00362623">
        <w:rPr>
          <w:rFonts w:ascii="AGaramond" w:eastAsia="Times New Roman" w:hAnsi="AGaramond" w:cs="Arial"/>
          <w:sz w:val="22"/>
          <w:szCs w:val="22"/>
        </w:rPr>
        <w:t xml:space="preserve">ecursos </w:t>
      </w:r>
      <w:r w:rsidR="00CB1D06">
        <w:rPr>
          <w:rFonts w:ascii="AGaramond" w:eastAsia="Times New Roman" w:hAnsi="AGaramond" w:cs="Arial"/>
          <w:sz w:val="22"/>
          <w:szCs w:val="22"/>
        </w:rPr>
        <w:t>n</w:t>
      </w:r>
      <w:r w:rsidRPr="00362623">
        <w:rPr>
          <w:rFonts w:ascii="AGaramond" w:eastAsia="Times New Roman" w:hAnsi="AGaramond" w:cs="Arial"/>
          <w:sz w:val="22"/>
          <w:szCs w:val="22"/>
        </w:rPr>
        <w:t xml:space="preserve">aturales en América Latina: </w:t>
      </w:r>
      <w:r w:rsidR="00CB1D06" w:rsidRPr="00362623">
        <w:rPr>
          <w:rFonts w:ascii="AGaramond" w:eastAsia="Times New Roman" w:hAnsi="AGaramond" w:cs="Arial"/>
          <w:sz w:val="22"/>
          <w:szCs w:val="22"/>
        </w:rPr>
        <w:t>una respuesta</w:t>
      </w:r>
      <w:r w:rsidRPr="00362623">
        <w:rPr>
          <w:rFonts w:ascii="AGaramond" w:eastAsia="Times New Roman" w:hAnsi="AGaramond" w:cs="Arial"/>
          <w:sz w:val="22"/>
          <w:szCs w:val="22"/>
        </w:rPr>
        <w:t xml:space="preserve"> a Calderón y Castell</w:t>
      </w:r>
      <w:r w:rsidR="00CB1D06">
        <w:rPr>
          <w:rFonts w:ascii="AGaramond" w:eastAsia="Times New Roman" w:hAnsi="AGaramond" w:cs="Arial"/>
          <w:sz w:val="22"/>
          <w:szCs w:val="22"/>
        </w:rPr>
        <w:t>s</w:t>
      </w:r>
      <w:r w:rsidRPr="00362623">
        <w:rPr>
          <w:rFonts w:ascii="AGaramond" w:eastAsia="Times New Roman" w:hAnsi="AGaramond" w:cs="Arial"/>
          <w:sz w:val="22"/>
          <w:szCs w:val="22"/>
        </w:rPr>
        <w:t xml:space="preserve">”. En este estudio se plantea el profesor Hernández “una reflexión en torno al origen de la corrupción del Estado en América Latina”, desarrollando en </w:t>
      </w:r>
      <w:r w:rsidR="00CB1D06">
        <w:rPr>
          <w:rFonts w:ascii="AGaramond" w:eastAsia="Times New Roman" w:hAnsi="AGaramond" w:cs="Arial"/>
          <w:sz w:val="22"/>
          <w:szCs w:val="22"/>
        </w:rPr>
        <w:t>él</w:t>
      </w:r>
      <w:r w:rsidRPr="00362623">
        <w:rPr>
          <w:rFonts w:ascii="AGaramond" w:eastAsia="Times New Roman" w:hAnsi="AGaramond" w:cs="Arial"/>
          <w:sz w:val="22"/>
          <w:szCs w:val="22"/>
        </w:rPr>
        <w:t xml:space="preserve"> las hipótesis que afirman que “la corrupción del Estado no es intrínseca a la ideología neoliberal”; que “el desarrollismo, como modelo de gestión económica para el desarrollo, es proclive a la corrupción del Estado” y que “la corrupción del Estado en países ricos en recursos naturales tiene como explicación el manejo centralizado de la renta económica derivada de activos no producidos”. </w:t>
      </w:r>
    </w:p>
    <w:p w14:paraId="3BB79362" w14:textId="0134A7F4" w:rsidR="00362623" w:rsidRPr="00362623" w:rsidRDefault="00362623" w:rsidP="00362623">
      <w:pPr>
        <w:spacing w:after="240" w:line="360" w:lineRule="auto"/>
        <w:ind w:firstLine="284"/>
        <w:jc w:val="both"/>
        <w:rPr>
          <w:rFonts w:ascii="AGaramond" w:eastAsia="Times New Roman" w:hAnsi="AGaramond" w:cs="Arial"/>
          <w:sz w:val="22"/>
          <w:szCs w:val="22"/>
          <w:lang w:val="es-VE"/>
        </w:rPr>
      </w:pPr>
      <w:r w:rsidRPr="00362623">
        <w:rPr>
          <w:rFonts w:ascii="AGaramond" w:eastAsia="Times New Roman" w:hAnsi="AGaramond" w:cs="Arial"/>
          <w:sz w:val="22"/>
          <w:szCs w:val="22"/>
        </w:rPr>
        <w:t>El segundo de estos trabajos de corte económico es el realizado por los profesores Rafa</w:t>
      </w:r>
      <w:r w:rsidR="00CB1D06">
        <w:rPr>
          <w:rFonts w:ascii="AGaramond" w:eastAsia="Times New Roman" w:hAnsi="AGaramond" w:cs="Arial"/>
          <w:sz w:val="22"/>
          <w:szCs w:val="22"/>
        </w:rPr>
        <w:t>e</w:t>
      </w:r>
      <w:r w:rsidRPr="00362623">
        <w:rPr>
          <w:rFonts w:ascii="AGaramond" w:eastAsia="Times New Roman" w:hAnsi="AGaramond" w:cs="Arial"/>
          <w:sz w:val="22"/>
          <w:szCs w:val="22"/>
        </w:rPr>
        <w:t xml:space="preserve">l Muñoz, Luis Zambrano, Adrián Aguirre y </w:t>
      </w:r>
      <w:r w:rsidR="00CB1D06">
        <w:rPr>
          <w:rFonts w:ascii="AGaramond" w:eastAsia="Times New Roman" w:hAnsi="AGaramond" w:cs="Arial"/>
          <w:sz w:val="22"/>
          <w:szCs w:val="22"/>
        </w:rPr>
        <w:t>O</w:t>
      </w:r>
      <w:r w:rsidRPr="00362623">
        <w:rPr>
          <w:rFonts w:ascii="AGaramond" w:eastAsia="Times New Roman" w:hAnsi="AGaramond" w:cs="Arial"/>
          <w:sz w:val="22"/>
          <w:szCs w:val="22"/>
        </w:rPr>
        <w:t xml:space="preserve">scar Salcedo. Los autores en su trabajo “Situación actual y propuestas clave de política para el </w:t>
      </w:r>
      <w:r w:rsidR="00CB1D06" w:rsidRPr="00362623">
        <w:rPr>
          <w:rFonts w:ascii="AGaramond" w:eastAsia="Times New Roman" w:hAnsi="AGaramond" w:cs="Arial"/>
          <w:sz w:val="22"/>
          <w:szCs w:val="22"/>
        </w:rPr>
        <w:t xml:space="preserve">sistema bancario venezolano </w:t>
      </w:r>
      <w:r w:rsidRPr="00362623">
        <w:rPr>
          <w:rFonts w:ascii="AGaramond" w:eastAsia="Times New Roman" w:hAnsi="AGaramond" w:cs="Arial"/>
          <w:sz w:val="22"/>
          <w:szCs w:val="22"/>
        </w:rPr>
        <w:t xml:space="preserve">en el marco de un plan de estabilización y reformas estructurales” se plantean el análisis de “las condiciones del SBN y su interacción con las políticas que se implementarían en el marco del PERE </w:t>
      </w:r>
      <w:r w:rsidR="00CB1D06">
        <w:rPr>
          <w:rFonts w:ascii="AGaramond" w:eastAsia="Times New Roman" w:hAnsi="AGaramond" w:cs="Arial"/>
          <w:sz w:val="22"/>
          <w:szCs w:val="22"/>
        </w:rPr>
        <w:t>(</w:t>
      </w:r>
      <w:r w:rsidRPr="00362623">
        <w:rPr>
          <w:rFonts w:ascii="AGaramond" w:eastAsia="Times New Roman" w:hAnsi="AGaramond" w:cs="Arial"/>
          <w:sz w:val="22"/>
          <w:szCs w:val="22"/>
        </w:rPr>
        <w:t>Plan de Estabilización y Reformas Estructurales</w:t>
      </w:r>
      <w:r w:rsidR="00CB1D06">
        <w:rPr>
          <w:rFonts w:ascii="AGaramond" w:eastAsia="Times New Roman" w:hAnsi="AGaramond" w:cs="Arial"/>
          <w:sz w:val="22"/>
          <w:szCs w:val="22"/>
        </w:rPr>
        <w:t>)</w:t>
      </w:r>
      <w:r w:rsidRPr="00362623">
        <w:rPr>
          <w:rFonts w:ascii="AGaramond" w:eastAsia="Times New Roman" w:hAnsi="AGaramond" w:cs="Arial"/>
          <w:sz w:val="22"/>
          <w:szCs w:val="22"/>
        </w:rPr>
        <w:t xml:space="preserve">, concentrando la atención en su fase inicial, y, a partir de allí, esbozar orientaciones y propuestas de política para el sistema, </w:t>
      </w:r>
      <w:r w:rsidRPr="00362623">
        <w:rPr>
          <w:rFonts w:ascii="AGaramond" w:eastAsia="Times New Roman" w:hAnsi="AGaramond" w:cs="Arial"/>
          <w:bCs/>
          <w:sz w:val="22"/>
          <w:szCs w:val="22"/>
        </w:rPr>
        <w:t>que contribuyan a su indispensable fortalecimiento y procuren el éxito del plan”.</w:t>
      </w:r>
      <w:r w:rsidRPr="00362623">
        <w:rPr>
          <w:rFonts w:ascii="AGaramond" w:eastAsia="Times New Roman" w:hAnsi="AGaramond" w:cs="Arial"/>
          <w:sz w:val="22"/>
          <w:szCs w:val="22"/>
          <w:lang w:val="es-MX"/>
        </w:rPr>
        <w:t xml:space="preserve">   </w:t>
      </w:r>
    </w:p>
    <w:p w14:paraId="2FFF0A8A" w14:textId="77777777" w:rsidR="00BA5A37" w:rsidRDefault="00362623" w:rsidP="00362623">
      <w:pPr>
        <w:spacing w:after="240" w:line="360" w:lineRule="auto"/>
        <w:ind w:firstLine="284"/>
        <w:jc w:val="both"/>
        <w:rPr>
          <w:rFonts w:ascii="AGaramond" w:eastAsia="Times New Roman" w:hAnsi="AGaramond" w:cs="Arial"/>
          <w:sz w:val="22"/>
          <w:szCs w:val="22"/>
        </w:rPr>
      </w:pPr>
      <w:r w:rsidRPr="00362623">
        <w:rPr>
          <w:rFonts w:ascii="AGaramond" w:eastAsia="Times New Roman" w:hAnsi="AGaramond" w:cs="Arial"/>
          <w:sz w:val="22"/>
          <w:szCs w:val="22"/>
        </w:rPr>
        <w:t xml:space="preserve">En esta oportunidad, la sección correspondiente a las críticas </w:t>
      </w:r>
      <w:r w:rsidR="00CB1D06" w:rsidRPr="00362623">
        <w:rPr>
          <w:rFonts w:ascii="AGaramond" w:eastAsia="Times New Roman" w:hAnsi="AGaramond" w:cs="Arial"/>
          <w:sz w:val="22"/>
          <w:szCs w:val="22"/>
        </w:rPr>
        <w:t>bibliográficas</w:t>
      </w:r>
      <w:r w:rsidRPr="00362623">
        <w:rPr>
          <w:rFonts w:ascii="AGaramond" w:eastAsia="Times New Roman" w:hAnsi="AGaramond" w:cs="Arial"/>
          <w:sz w:val="22"/>
          <w:szCs w:val="22"/>
        </w:rPr>
        <w:t xml:space="preserve"> contempla tres interesantes obras. En la primera, </w:t>
      </w:r>
      <w:r w:rsidRPr="00BA5A37">
        <w:rPr>
          <w:rFonts w:ascii="AGaramond" w:eastAsia="Times New Roman" w:hAnsi="AGaramond" w:cs="Arial"/>
          <w:i/>
          <w:iCs/>
          <w:sz w:val="22"/>
          <w:szCs w:val="22"/>
        </w:rPr>
        <w:t>C</w:t>
      </w:r>
      <w:r w:rsidR="00BA5A37">
        <w:rPr>
          <w:rFonts w:ascii="AGaramond" w:eastAsia="Times New Roman" w:hAnsi="AGaramond" w:cs="Arial"/>
          <w:i/>
          <w:iCs/>
          <w:sz w:val="22"/>
          <w:szCs w:val="22"/>
        </w:rPr>
        <w:t>ó</w:t>
      </w:r>
      <w:r w:rsidRPr="00BA5A37">
        <w:rPr>
          <w:rFonts w:ascii="AGaramond" w:eastAsia="Times New Roman" w:hAnsi="AGaramond" w:cs="Arial"/>
          <w:i/>
          <w:iCs/>
          <w:sz w:val="22"/>
          <w:szCs w:val="22"/>
        </w:rPr>
        <w:t>mo la vida imita el ajedrez</w:t>
      </w:r>
      <w:r w:rsidRPr="00362623">
        <w:rPr>
          <w:rFonts w:ascii="AGaramond" w:eastAsia="Times New Roman" w:hAnsi="AGaramond" w:cs="Arial"/>
          <w:sz w:val="22"/>
          <w:szCs w:val="22"/>
        </w:rPr>
        <w:t xml:space="preserve"> de Garry </w:t>
      </w:r>
      <w:r w:rsidR="00BA5A37">
        <w:rPr>
          <w:rFonts w:ascii="AGaramond" w:eastAsia="Times New Roman" w:hAnsi="AGaramond" w:cs="Arial"/>
          <w:sz w:val="22"/>
          <w:szCs w:val="22"/>
        </w:rPr>
        <w:t>Kaspárov</w:t>
      </w:r>
      <w:r w:rsidRPr="00362623">
        <w:rPr>
          <w:rFonts w:ascii="AGaramond" w:eastAsia="Times New Roman" w:hAnsi="AGaramond" w:cs="Arial"/>
          <w:sz w:val="22"/>
          <w:szCs w:val="22"/>
        </w:rPr>
        <w:t xml:space="preserve"> (2020), el profesor Teodoro Campos afirma que el autor “nos lleva al santuario interior de su brillante mente estratégica y para ello </w:t>
      </w:r>
      <w:r w:rsidRPr="00362623">
        <w:rPr>
          <w:rFonts w:ascii="AGaramond" w:eastAsia="Times New Roman" w:hAnsi="AGaramond" w:cs="Arial"/>
          <w:bCs/>
          <w:sz w:val="22"/>
          <w:szCs w:val="22"/>
        </w:rPr>
        <w:t>se basa en gran medida en la historia, la filosofía, el arte, la ciencia, los deportes y la cultura en general”; añadiendo que</w:t>
      </w:r>
      <w:r w:rsidRPr="00362623">
        <w:rPr>
          <w:rFonts w:ascii="AGaramond" w:eastAsia="Times New Roman" w:hAnsi="AGaramond" w:cs="Arial"/>
          <w:sz w:val="22"/>
          <w:szCs w:val="22"/>
        </w:rPr>
        <w:t xml:space="preserve"> se comparten a su vez, “los poderosos secretos de la estrategia que aprendió al dominar juegos de ajedrez en los torneos más competitivos del mundo proporcionando lecciones sobre habilidades estratégicas y herramientas emocionales requeridas para navegar los desafíos más difíciles de la vida…”. </w:t>
      </w:r>
    </w:p>
    <w:p w14:paraId="72B8B543" w14:textId="77777777" w:rsidR="00BA5A37" w:rsidRDefault="00362623" w:rsidP="00362623">
      <w:pPr>
        <w:spacing w:after="240" w:line="360" w:lineRule="auto"/>
        <w:ind w:firstLine="284"/>
        <w:jc w:val="both"/>
        <w:rPr>
          <w:rFonts w:ascii="AGaramond" w:eastAsia="Times New Roman" w:hAnsi="AGaramond" w:cs="Arial"/>
          <w:sz w:val="22"/>
          <w:szCs w:val="22"/>
          <w:lang w:val="es-ES"/>
        </w:rPr>
      </w:pPr>
      <w:r w:rsidRPr="00362623">
        <w:rPr>
          <w:rFonts w:ascii="AGaramond" w:eastAsia="Times New Roman" w:hAnsi="AGaramond" w:cs="Arial"/>
          <w:sz w:val="22"/>
          <w:szCs w:val="22"/>
        </w:rPr>
        <w:t xml:space="preserve">La siguiente crítica bibliográfica la realiza la profesora Ariana González en torno al libro </w:t>
      </w:r>
      <w:r w:rsidRPr="00BA5A37">
        <w:rPr>
          <w:rFonts w:ascii="AGaramond" w:eastAsia="Times New Roman" w:hAnsi="AGaramond" w:cs="Arial"/>
          <w:i/>
          <w:iCs/>
          <w:sz w:val="22"/>
          <w:szCs w:val="22"/>
        </w:rPr>
        <w:t>That Will Never Work: The Birth of Netflix</w:t>
      </w:r>
      <w:r w:rsidRPr="00362623">
        <w:rPr>
          <w:rFonts w:ascii="AGaramond" w:eastAsia="Times New Roman" w:hAnsi="AGaramond" w:cs="Arial"/>
          <w:sz w:val="22"/>
          <w:szCs w:val="22"/>
        </w:rPr>
        <w:t xml:space="preserve"> de </w:t>
      </w:r>
      <w:r w:rsidRPr="00362623">
        <w:rPr>
          <w:rFonts w:ascii="AGaramond" w:eastAsia="Times New Roman" w:hAnsi="AGaramond" w:cs="Arial"/>
          <w:sz w:val="22"/>
          <w:szCs w:val="22"/>
          <w:lang w:val="es-ES"/>
        </w:rPr>
        <w:t xml:space="preserve">Marc Randolph, cofundador de la exitosa empresa de entretenimiento en </w:t>
      </w:r>
      <w:r w:rsidRPr="00BA5A37">
        <w:rPr>
          <w:rFonts w:ascii="AGaramond" w:eastAsia="Times New Roman" w:hAnsi="AGaramond" w:cs="Arial"/>
          <w:i/>
          <w:iCs/>
          <w:sz w:val="22"/>
          <w:szCs w:val="22"/>
          <w:lang w:val="es-ES"/>
        </w:rPr>
        <w:t>stre</w:t>
      </w:r>
      <w:r w:rsidR="00BA5A37" w:rsidRPr="00BA5A37">
        <w:rPr>
          <w:rFonts w:ascii="AGaramond" w:eastAsia="Times New Roman" w:hAnsi="AGaramond" w:cs="Arial"/>
          <w:i/>
          <w:iCs/>
          <w:sz w:val="22"/>
          <w:szCs w:val="22"/>
          <w:lang w:val="es-ES"/>
        </w:rPr>
        <w:t>a</w:t>
      </w:r>
      <w:r w:rsidRPr="00BA5A37">
        <w:rPr>
          <w:rFonts w:ascii="AGaramond" w:eastAsia="Times New Roman" w:hAnsi="AGaramond" w:cs="Arial"/>
          <w:i/>
          <w:iCs/>
          <w:sz w:val="22"/>
          <w:szCs w:val="22"/>
          <w:lang w:val="es-ES"/>
        </w:rPr>
        <w:t>ming</w:t>
      </w:r>
      <w:r w:rsidRPr="00362623">
        <w:rPr>
          <w:rFonts w:ascii="AGaramond" w:eastAsia="Times New Roman" w:hAnsi="AGaramond" w:cs="Arial"/>
          <w:sz w:val="22"/>
          <w:szCs w:val="22"/>
          <w:lang w:val="es-ES"/>
        </w:rPr>
        <w:t xml:space="preserve"> Netflix. En este libro, afirma la profesora, se describen “los primeros pasos de su </w:t>
      </w:r>
      <w:r w:rsidRPr="00BA5A37">
        <w:rPr>
          <w:rFonts w:ascii="AGaramond" w:eastAsia="Times New Roman" w:hAnsi="AGaramond" w:cs="Arial"/>
          <w:i/>
          <w:iCs/>
          <w:sz w:val="22"/>
          <w:szCs w:val="22"/>
          <w:lang w:val="es-ES"/>
        </w:rPr>
        <w:t>star</w:t>
      </w:r>
      <w:r w:rsidR="00BA5A37">
        <w:rPr>
          <w:rFonts w:ascii="AGaramond" w:eastAsia="Times New Roman" w:hAnsi="AGaramond" w:cs="Arial"/>
          <w:i/>
          <w:iCs/>
          <w:sz w:val="22"/>
          <w:szCs w:val="22"/>
          <w:lang w:val="es-ES"/>
        </w:rPr>
        <w:t>t</w:t>
      </w:r>
      <w:r w:rsidRPr="00BA5A37">
        <w:rPr>
          <w:rFonts w:ascii="AGaramond" w:eastAsia="Times New Roman" w:hAnsi="AGaramond" w:cs="Arial"/>
          <w:i/>
          <w:iCs/>
          <w:sz w:val="22"/>
          <w:szCs w:val="22"/>
          <w:lang w:val="es-ES"/>
        </w:rPr>
        <w:t>-up</w:t>
      </w:r>
      <w:r w:rsidRPr="00362623">
        <w:rPr>
          <w:rFonts w:ascii="AGaramond" w:eastAsia="Times New Roman" w:hAnsi="AGaramond" w:cs="Arial"/>
          <w:sz w:val="22"/>
          <w:szCs w:val="22"/>
          <w:lang w:val="es-ES"/>
        </w:rPr>
        <w:t>, las reflexiones en torno a la cultura organizacional de Netflix e incluso aquellas líneas gruesas de cómo consiguió su mejor camino personal y profesional hacia el éxito”. Se trata</w:t>
      </w:r>
      <w:r w:rsidR="00BA5A37">
        <w:rPr>
          <w:rFonts w:ascii="AGaramond" w:eastAsia="Times New Roman" w:hAnsi="AGaramond" w:cs="Arial"/>
          <w:sz w:val="22"/>
          <w:szCs w:val="22"/>
          <w:lang w:val="es-ES"/>
        </w:rPr>
        <w:t>,</w:t>
      </w:r>
      <w:r w:rsidRPr="00362623">
        <w:rPr>
          <w:rFonts w:ascii="AGaramond" w:eastAsia="Times New Roman" w:hAnsi="AGaramond" w:cs="Arial"/>
          <w:sz w:val="22"/>
          <w:szCs w:val="22"/>
          <w:lang w:val="es-ES"/>
        </w:rPr>
        <w:t xml:space="preserve"> pues</w:t>
      </w:r>
      <w:r w:rsidR="00BA5A37">
        <w:rPr>
          <w:rFonts w:ascii="AGaramond" w:eastAsia="Times New Roman" w:hAnsi="AGaramond" w:cs="Arial"/>
          <w:sz w:val="22"/>
          <w:szCs w:val="22"/>
          <w:lang w:val="es-ES"/>
        </w:rPr>
        <w:t>,</w:t>
      </w:r>
      <w:r w:rsidRPr="00362623">
        <w:rPr>
          <w:rFonts w:ascii="AGaramond" w:eastAsia="Times New Roman" w:hAnsi="AGaramond" w:cs="Arial"/>
          <w:sz w:val="22"/>
          <w:szCs w:val="22"/>
          <w:lang w:val="es-ES"/>
        </w:rPr>
        <w:t xml:space="preserve"> de “una selección aguda de estrategias que son debeladas al detalle en el trascurso de la obra”. </w:t>
      </w:r>
    </w:p>
    <w:p w14:paraId="1FBC8C24" w14:textId="40A34C6F" w:rsidR="00362623" w:rsidRPr="00362623" w:rsidRDefault="00362623" w:rsidP="00362623">
      <w:pPr>
        <w:spacing w:after="240" w:line="360" w:lineRule="auto"/>
        <w:ind w:firstLine="284"/>
        <w:jc w:val="both"/>
        <w:rPr>
          <w:rFonts w:ascii="AGaramond" w:eastAsia="Times New Roman" w:hAnsi="AGaramond" w:cs="Arial"/>
          <w:sz w:val="22"/>
          <w:szCs w:val="22"/>
        </w:rPr>
      </w:pPr>
      <w:r w:rsidRPr="00362623">
        <w:rPr>
          <w:rFonts w:ascii="AGaramond" w:eastAsia="Times New Roman" w:hAnsi="AGaramond" w:cs="Arial"/>
          <w:sz w:val="22"/>
          <w:szCs w:val="22"/>
          <w:lang w:val="es-ES"/>
        </w:rPr>
        <w:t xml:space="preserve">Por último, el profesor Manuel Delgado realiza una reseña sobre el libro intitulado </w:t>
      </w:r>
      <w:r w:rsidRPr="00BA5A37">
        <w:rPr>
          <w:rFonts w:ascii="AGaramond" w:eastAsia="Times New Roman" w:hAnsi="AGaramond" w:cs="Arial"/>
          <w:i/>
          <w:iCs/>
          <w:sz w:val="22"/>
          <w:szCs w:val="22"/>
          <w:lang w:val="es-MX"/>
        </w:rPr>
        <w:t>Crisis y migración de población venezolana. Entre la desprotección y la seguridad jurídica en Latinoamérica</w:t>
      </w:r>
      <w:r w:rsidRPr="00362623">
        <w:rPr>
          <w:rFonts w:ascii="AGaramond" w:eastAsia="Times New Roman" w:hAnsi="AGaramond" w:cs="Arial"/>
          <w:sz w:val="22"/>
          <w:szCs w:val="22"/>
          <w:lang w:val="es-MX"/>
        </w:rPr>
        <w:t xml:space="preserve">, y que analiza la migración reciente desde Venezuela hacia once locaciones receptoras de la misma en la región. Según señala el profesor Delgado, “la obra ofrece al lector una revisión de las políticas sobre migración, refugio y asilo…” en un numeroso </w:t>
      </w:r>
      <w:r w:rsidR="00BA5A37" w:rsidRPr="00362623">
        <w:rPr>
          <w:rFonts w:ascii="AGaramond" w:eastAsia="Times New Roman" w:hAnsi="AGaramond" w:cs="Arial"/>
          <w:sz w:val="22"/>
          <w:szCs w:val="22"/>
          <w:lang w:val="es-MX"/>
        </w:rPr>
        <w:t>espectro</w:t>
      </w:r>
      <w:r w:rsidRPr="00362623">
        <w:rPr>
          <w:rFonts w:ascii="AGaramond" w:eastAsia="Times New Roman" w:hAnsi="AGaramond" w:cs="Arial"/>
          <w:sz w:val="22"/>
          <w:szCs w:val="22"/>
          <w:lang w:val="es-MX"/>
        </w:rPr>
        <w:t xml:space="preserve"> de la región </w:t>
      </w:r>
      <w:r w:rsidRPr="00362623">
        <w:rPr>
          <w:rFonts w:ascii="AGaramond" w:eastAsia="Times New Roman" w:hAnsi="AGaramond" w:cs="Arial"/>
          <w:sz w:val="22"/>
          <w:szCs w:val="22"/>
          <w:lang w:val="es-MX"/>
        </w:rPr>
        <w:lastRenderedPageBreak/>
        <w:t xml:space="preserve">Latinoamericana, “…tanto vigentes como emergentes, así como las respuestas que estos países, en tanto contextos de acogida, brindan a las personas venezolanas migrantes y solicitantes de refugio u otras figuras de protección”. </w:t>
      </w:r>
      <w:r w:rsidRPr="00362623">
        <w:rPr>
          <w:rFonts w:ascii="AGaramond" w:eastAsia="Times New Roman" w:hAnsi="AGaramond" w:cs="Arial"/>
          <w:sz w:val="22"/>
          <w:szCs w:val="22"/>
          <w:lang w:val="es-ES"/>
        </w:rPr>
        <w:t xml:space="preserve">   </w:t>
      </w:r>
    </w:p>
    <w:p w14:paraId="1D77CA7B" w14:textId="7B3966F6" w:rsidR="0087017A" w:rsidRPr="00362623" w:rsidRDefault="00362623" w:rsidP="00362623">
      <w:pPr>
        <w:spacing w:after="240" w:line="360" w:lineRule="auto"/>
        <w:ind w:firstLine="284"/>
        <w:jc w:val="both"/>
        <w:rPr>
          <w:rFonts w:ascii="AGaramond" w:eastAsia="Times New Roman" w:hAnsi="AGaramond" w:cs="Arial"/>
          <w:bCs/>
          <w:iCs/>
          <w:sz w:val="22"/>
          <w:szCs w:val="22"/>
        </w:rPr>
      </w:pPr>
      <w:r w:rsidRPr="00362623">
        <w:rPr>
          <w:rFonts w:ascii="AGaramond" w:eastAsia="Times New Roman" w:hAnsi="AGaramond" w:cs="Arial"/>
          <w:sz w:val="22"/>
          <w:szCs w:val="22"/>
        </w:rPr>
        <w:t xml:space="preserve"> Finalmente, en la sección sobre indicadores, podrán encontrarse aquellos vinculados a la coyuntura social y otros a la económica. </w:t>
      </w:r>
      <w:r w:rsidRPr="00362623">
        <w:rPr>
          <w:rFonts w:ascii="AGaramond" w:eastAsia="Times New Roman" w:hAnsi="AGaramond" w:cs="Arial"/>
          <w:sz w:val="22"/>
          <w:szCs w:val="22"/>
          <w:lang w:val="es-ES"/>
        </w:rPr>
        <w:t>En cuanto a los sociales, en este número se contemplan un conjunto de indicadores demográficos que buscan mostrar la magnitud de los cambios en la población derivada de la crisis estructural y humanitaria evidenciada en la segunda década de los 2000. “En este apartado se incluyen un conjunto de</w:t>
      </w:r>
      <w:r w:rsidR="00BA5A37">
        <w:rPr>
          <w:rFonts w:ascii="AGaramond" w:eastAsia="Times New Roman" w:hAnsi="AGaramond" w:cs="Arial"/>
          <w:sz w:val="22"/>
          <w:szCs w:val="22"/>
          <w:lang w:val="es-ES"/>
        </w:rPr>
        <w:t xml:space="preserve"> </w:t>
      </w:r>
      <w:r w:rsidRPr="00362623">
        <w:rPr>
          <w:rFonts w:ascii="AGaramond" w:eastAsia="Times New Roman" w:hAnsi="AGaramond" w:cs="Arial"/>
          <w:sz w:val="22"/>
          <w:szCs w:val="22"/>
          <w:lang w:val="es-ES"/>
        </w:rPr>
        <w:t>indicadores demográficos correspondientes al per</w:t>
      </w:r>
      <w:r w:rsidR="00BA5A37">
        <w:rPr>
          <w:rFonts w:ascii="AGaramond" w:eastAsia="Times New Roman" w:hAnsi="AGaramond" w:cs="Arial"/>
          <w:sz w:val="22"/>
          <w:szCs w:val="22"/>
          <w:lang w:val="es-ES"/>
        </w:rPr>
        <w:t>i</w:t>
      </w:r>
      <w:r w:rsidRPr="00362623">
        <w:rPr>
          <w:rFonts w:ascii="AGaramond" w:eastAsia="Times New Roman" w:hAnsi="AGaramond" w:cs="Arial"/>
          <w:sz w:val="22"/>
          <w:szCs w:val="22"/>
          <w:lang w:val="es-ES"/>
        </w:rPr>
        <w:t>odo que abarca los quinquenios 2000-2005 a 2020-2025, con base a la última revisión de las estimaciones y proyecciones de población elaboradas por la División de Población de las Naciones Unidas (</w:t>
      </w:r>
      <w:r w:rsidR="00BA5A37">
        <w:rPr>
          <w:rFonts w:ascii="AGaramond" w:eastAsia="Times New Roman" w:hAnsi="AGaramond" w:cs="Arial"/>
          <w:sz w:val="22"/>
          <w:szCs w:val="22"/>
          <w:lang w:val="es-ES"/>
        </w:rPr>
        <w:t>O</w:t>
      </w:r>
      <w:r w:rsidRPr="00362623">
        <w:rPr>
          <w:rFonts w:ascii="AGaramond" w:eastAsia="Times New Roman" w:hAnsi="AGaramond" w:cs="Arial"/>
          <w:sz w:val="22"/>
          <w:szCs w:val="22"/>
          <w:lang w:val="es-ES"/>
        </w:rPr>
        <w:t xml:space="preserve">NU) junto al Centro Latinoamericano y Caribeño de Demográfica (CELADE)-División de Población de la Comisión Económica para América Latina y el Caribe (CEPAL)”. En cuanto a los indicadores económicos, en este número se muestran tanto </w:t>
      </w:r>
      <w:r w:rsidRPr="00362623">
        <w:rPr>
          <w:rFonts w:ascii="AGaramond" w:eastAsia="Times New Roman" w:hAnsi="AGaramond" w:cs="Arial"/>
          <w:bCs/>
          <w:iCs/>
          <w:sz w:val="22"/>
          <w:szCs w:val="22"/>
          <w:lang w:val="es-ES"/>
        </w:rPr>
        <w:t>“la evolución reciente”, como “proyectada” de los principales agregados macroeconómicos que ha caracterizado a la economía venezolana entre el año 2020 y junio de 2021.</w:t>
      </w:r>
    </w:p>
    <w:sectPr w:rsidR="0087017A" w:rsidRPr="00362623" w:rsidSect="005F41FF">
      <w:headerReference w:type="default" r:id="rId7"/>
      <w:footerReference w:type="even" r:id="rId8"/>
      <w:footerReference w:type="default" r:id="rId9"/>
      <w:headerReference w:type="first" r:id="rId10"/>
      <w:footerReference w:type="first" r:id="rId11"/>
      <w:pgSz w:w="12240" w:h="15840"/>
      <w:pgMar w:top="713" w:right="1041" w:bottom="1417" w:left="1275" w:header="713" w:footer="708"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B09E3" w14:textId="77777777" w:rsidR="00772E0B" w:rsidRDefault="00772E0B" w:rsidP="00DD28DE">
      <w:r>
        <w:separator/>
      </w:r>
    </w:p>
  </w:endnote>
  <w:endnote w:type="continuationSeparator" w:id="0">
    <w:p w14:paraId="2378AB0B" w14:textId="77777777" w:rsidR="00772E0B" w:rsidRDefault="00772E0B"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AGaramond">
    <w:panose1 w:val="02020500000000000000"/>
    <w:charset w:val="00"/>
    <w:family w:val="roman"/>
    <w:notTrueType/>
    <w:pitch w:val="variable"/>
    <w:sig w:usb0="800000AF" w:usb1="4000004A"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9438407"/>
      <w:docPartObj>
        <w:docPartGallery w:val="Page Numbers (Bottom of Page)"/>
        <w:docPartUnique/>
      </w:docPartObj>
    </w:sdtPr>
    <w:sdtEndPr>
      <w:rPr>
        <w:rStyle w:val="Nmerodepgina"/>
      </w:rPr>
    </w:sdtEndPr>
    <w:sdtContent>
      <w:p w14:paraId="5F995C06" w14:textId="77777777"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196C3F6E"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17304555"/>
      <w:docPartObj>
        <w:docPartGallery w:val="Page Numbers (Bottom of Page)"/>
        <w:docPartUnique/>
      </w:docPartObj>
    </w:sdtPr>
    <w:sdtEndPr>
      <w:rPr>
        <w:rStyle w:val="Nmerodepgina"/>
      </w:rPr>
    </w:sdtEndPr>
    <w:sdtContent>
      <w:p w14:paraId="2A3AEF7C"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232888">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32022437" w14:textId="7DBD8B89" w:rsidR="00DD28DE" w:rsidRPr="007654C4" w:rsidRDefault="00F16B86" w:rsidP="001E793C">
    <w:pPr>
      <w:pStyle w:val="Ningnestilodeprrafo"/>
      <w:spacing w:line="240" w:lineRule="auto"/>
      <w:ind w:right="710"/>
      <w:jc w:val="right"/>
      <w:rPr>
        <w:rFonts w:ascii="AGaramond" w:hAnsi="AGaramond" w:cs="Times"/>
        <w:iCs/>
        <w:sz w:val="16"/>
        <w:szCs w:val="16"/>
        <w:lang w:val="es-VE"/>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59264" behindDoc="0" locked="0" layoutInCell="1" allowOverlap="1" wp14:anchorId="0EBC9C14" wp14:editId="74BC62A2">
              <wp:simplePos x="0" y="0"/>
              <wp:positionH relativeFrom="column">
                <wp:posOffset>6033770</wp:posOffset>
              </wp:positionH>
              <wp:positionV relativeFrom="paragraph">
                <wp:posOffset>43180</wp:posOffset>
              </wp:positionV>
              <wp:extent cx="0" cy="796290"/>
              <wp:effectExtent l="0" t="0" r="0" b="381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2B02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" strokecolor="black [3200]">
              <v:stroke joinstyle="miter"/>
              <o:lock v:ext="edit" shapetype="f"/>
            </v:line>
          </w:pict>
        </mc:Fallback>
      </mc:AlternateContent>
    </w:r>
    <w:r w:rsidR="00575408" w:rsidRPr="00575408">
      <w:rPr>
        <w:rFonts w:ascii="Adobe Garamond Pro" w:hAnsi="Adobe Garamond Pro" w:cs="Times"/>
        <w:iCs/>
        <w:sz w:val="16"/>
        <w:szCs w:val="16"/>
        <w:lang w:val="es-VE"/>
      </w:rPr>
      <w:t xml:space="preserve"> </w:t>
    </w:r>
    <w:r w:rsidR="00575408" w:rsidRPr="007654C4">
      <w:rPr>
        <w:rFonts w:ascii="AGaramond" w:hAnsi="AGaramond" w:cs="Times"/>
        <w:iCs/>
        <w:sz w:val="16"/>
        <w:szCs w:val="16"/>
        <w:lang w:val="es-VE"/>
      </w:rPr>
      <w:t xml:space="preserve">Temas de Coyuntura </w:t>
    </w:r>
    <w:r w:rsidR="00DD28DE" w:rsidRPr="007654C4">
      <w:rPr>
        <w:rFonts w:ascii="AGaramond" w:hAnsi="AGaramond" w:cs="Times"/>
        <w:iCs/>
        <w:sz w:val="16"/>
        <w:szCs w:val="16"/>
        <w:lang w:val="es-VE"/>
      </w:rPr>
      <w:t>N</w:t>
    </w:r>
    <w:r w:rsidR="007654C4">
      <w:rPr>
        <w:rFonts w:ascii="AGaramond" w:hAnsi="AGaramond" w:cs="Times"/>
        <w:iCs/>
        <w:sz w:val="16"/>
        <w:szCs w:val="16"/>
        <w:lang w:val="es-VE"/>
      </w:rPr>
      <w:t>.</w:t>
    </w:r>
    <w:r w:rsidR="00DD28DE" w:rsidRPr="007654C4">
      <w:rPr>
        <w:rFonts w:ascii="AGaramond" w:hAnsi="AGaramond" w:cs="Times"/>
        <w:iCs/>
        <w:sz w:val="16"/>
        <w:szCs w:val="16"/>
        <w:lang w:val="es-VE"/>
      </w:rPr>
      <w:t>º</w:t>
    </w:r>
    <w:r w:rsidR="00E4546B" w:rsidRPr="007654C4">
      <w:rPr>
        <w:rFonts w:ascii="AGaramond" w:hAnsi="AGaramond" w:cs="Times"/>
        <w:iCs/>
        <w:sz w:val="16"/>
        <w:szCs w:val="16"/>
        <w:lang w:val="es-VE"/>
      </w:rPr>
      <w:t xml:space="preserve"> </w:t>
    </w:r>
    <w:r w:rsidR="00224833">
      <w:rPr>
        <w:rFonts w:ascii="AGaramond" w:hAnsi="AGaramond" w:cs="Times"/>
        <w:iCs/>
        <w:sz w:val="16"/>
        <w:szCs w:val="16"/>
        <w:lang w:val="es-VE"/>
      </w:rPr>
      <w:t>8</w:t>
    </w:r>
    <w:r w:rsidR="00935F1E">
      <w:rPr>
        <w:rFonts w:ascii="AGaramond" w:hAnsi="AGaramond" w:cs="Times"/>
        <w:iCs/>
        <w:sz w:val="16"/>
        <w:szCs w:val="16"/>
        <w:lang w:val="es-VE"/>
      </w:rPr>
      <w:t>2</w:t>
    </w:r>
    <w:r w:rsidR="00E4546B" w:rsidRPr="007654C4">
      <w:rPr>
        <w:rFonts w:ascii="AGaramond" w:hAnsi="AGaramond" w:cs="Times"/>
        <w:iCs/>
        <w:sz w:val="16"/>
        <w:szCs w:val="16"/>
        <w:lang w:val="es-VE"/>
      </w:rPr>
      <w:t>-</w:t>
    </w:r>
    <w:r w:rsidR="00224833">
      <w:rPr>
        <w:rFonts w:ascii="AGaramond" w:hAnsi="AGaramond" w:cs="Times"/>
        <w:iCs/>
        <w:sz w:val="16"/>
        <w:szCs w:val="16"/>
        <w:lang w:val="es-VE"/>
      </w:rPr>
      <w:t>8</w:t>
    </w:r>
    <w:r w:rsidR="00935F1E">
      <w:rPr>
        <w:rFonts w:ascii="AGaramond" w:hAnsi="AGaramond" w:cs="Times"/>
        <w:iCs/>
        <w:sz w:val="16"/>
        <w:szCs w:val="16"/>
        <w:lang w:val="es-VE"/>
      </w:rPr>
      <w:t>3</w:t>
    </w:r>
  </w:p>
  <w:p w14:paraId="1734265A" w14:textId="0264FEAC" w:rsidR="00DD28DE" w:rsidRPr="007654C4" w:rsidRDefault="00DD28DE" w:rsidP="001E793C">
    <w:pPr>
      <w:pStyle w:val="Ningnestilodeprrafo"/>
      <w:spacing w:line="240" w:lineRule="auto"/>
      <w:ind w:right="710"/>
      <w:jc w:val="right"/>
      <w:rPr>
        <w:rFonts w:ascii="AGaramond" w:hAnsi="AGaramond" w:cs="Times"/>
        <w:iCs/>
        <w:sz w:val="16"/>
        <w:szCs w:val="16"/>
        <w:lang w:val="es-VE"/>
      </w:rPr>
    </w:pPr>
    <w:r w:rsidRPr="007654C4">
      <w:rPr>
        <w:rFonts w:ascii="AGaramond" w:hAnsi="AGaramond" w:cs="Times"/>
        <w:iCs/>
        <w:sz w:val="16"/>
        <w:szCs w:val="16"/>
        <w:lang w:val="es-VE"/>
      </w:rPr>
      <w:t xml:space="preserve">Semestre </w:t>
    </w:r>
    <w:r w:rsidR="00E4546B" w:rsidRPr="007654C4">
      <w:rPr>
        <w:rFonts w:ascii="AGaramond" w:hAnsi="AGaramond" w:cs="Times"/>
        <w:iCs/>
        <w:sz w:val="16"/>
        <w:szCs w:val="16"/>
        <w:lang w:val="es-VE"/>
      </w:rPr>
      <w:t>Jul. 20</w:t>
    </w:r>
    <w:r w:rsidR="00935F1E">
      <w:rPr>
        <w:rFonts w:ascii="AGaramond" w:hAnsi="AGaramond" w:cs="Times"/>
        <w:iCs/>
        <w:sz w:val="16"/>
        <w:szCs w:val="16"/>
        <w:lang w:val="es-VE"/>
      </w:rPr>
      <w:t>20</w:t>
    </w:r>
    <w:r w:rsidR="00E4546B" w:rsidRPr="007654C4">
      <w:rPr>
        <w:rFonts w:ascii="AGaramond" w:hAnsi="AGaramond" w:cs="Times"/>
        <w:iCs/>
        <w:sz w:val="16"/>
        <w:szCs w:val="16"/>
        <w:lang w:val="es-VE"/>
      </w:rPr>
      <w:t>–Jun. 20</w:t>
    </w:r>
    <w:r w:rsidR="00224833">
      <w:rPr>
        <w:rFonts w:ascii="AGaramond" w:hAnsi="AGaramond" w:cs="Times"/>
        <w:iCs/>
        <w:sz w:val="16"/>
        <w:szCs w:val="16"/>
        <w:lang w:val="es-VE"/>
      </w:rPr>
      <w:t>2</w:t>
    </w:r>
    <w:r w:rsidR="00935F1E">
      <w:rPr>
        <w:rFonts w:ascii="AGaramond" w:hAnsi="AGaramond" w:cs="Times"/>
        <w:iCs/>
        <w:sz w:val="16"/>
        <w:szCs w:val="16"/>
        <w:lang w:val="es-VE"/>
      </w:rPr>
      <w:t>1</w:t>
    </w:r>
  </w:p>
  <w:p w14:paraId="46B01267" w14:textId="7722D9FA" w:rsidR="00DD28DE" w:rsidRPr="007654C4" w:rsidRDefault="00DD28DE" w:rsidP="001E793C">
    <w:pPr>
      <w:pStyle w:val="Ningnestilodeprrafo"/>
      <w:ind w:right="710"/>
      <w:jc w:val="right"/>
      <w:rPr>
        <w:rFonts w:ascii="AGaramond" w:hAnsi="AGaramond" w:cs="Times"/>
        <w:iCs/>
        <w:sz w:val="16"/>
        <w:szCs w:val="16"/>
        <w:lang w:val="es-VE"/>
      </w:rPr>
    </w:pPr>
    <w:r w:rsidRPr="007654C4">
      <w:rPr>
        <w:rFonts w:ascii="AGaramond" w:hAnsi="AGaramond" w:cs="Times"/>
        <w:iCs/>
        <w:sz w:val="16"/>
        <w:szCs w:val="16"/>
        <w:lang w:val="es-VE"/>
      </w:rPr>
      <w:t xml:space="preserve"> ISSN: </w:t>
    </w:r>
    <w:r w:rsidR="00E4546B" w:rsidRPr="007654C4">
      <w:rPr>
        <w:rFonts w:ascii="AGaramond" w:hAnsi="AGaramond" w:cs="Times"/>
        <w:iCs/>
        <w:sz w:val="16"/>
        <w:szCs w:val="16"/>
        <w:lang w:val="es-VE"/>
      </w:rPr>
      <w:t>2244-8663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9474" w14:textId="77777777" w:rsidR="006F6469" w:rsidRDefault="006F6469" w:rsidP="006F6469">
    <w:pPr>
      <w:pStyle w:val="TITULOS"/>
      <w:jc w:val="left"/>
      <w:rPr>
        <w:rFonts w:ascii="Adobe Garamond Pro" w:hAnsi="Adobe Garamond Pro"/>
      </w:rPr>
    </w:pPr>
  </w:p>
  <w:p w14:paraId="48F8D39F" w14:textId="0D2748A9" w:rsidR="006F6469" w:rsidRPr="007654C4" w:rsidRDefault="00F16B86" w:rsidP="006F6469">
    <w:pPr>
      <w:pStyle w:val="Ningnestilodeprrafo"/>
      <w:spacing w:line="240" w:lineRule="auto"/>
      <w:ind w:right="143"/>
      <w:jc w:val="right"/>
      <w:rPr>
        <w:rFonts w:ascii="AGaramond" w:hAnsi="AGaramond" w:cs="Times"/>
        <w:iCs/>
        <w:sz w:val="16"/>
        <w:szCs w:val="16"/>
        <w:lang w:val="es-VE"/>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65408" behindDoc="0" locked="0" layoutInCell="1" allowOverlap="1" wp14:anchorId="71FF8FAB" wp14:editId="74378CA7">
              <wp:simplePos x="0" y="0"/>
              <wp:positionH relativeFrom="column">
                <wp:posOffset>6273165</wp:posOffset>
              </wp:positionH>
              <wp:positionV relativeFrom="paragraph">
                <wp:posOffset>23495</wp:posOffset>
              </wp:positionV>
              <wp:extent cx="0" cy="795655"/>
              <wp:effectExtent l="0" t="0" r="0" b="444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565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CCF4A" id="Line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95pt,1.85pt" to="493.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" strokecolor="black [3200]">
              <v:stroke joinstyle="miter"/>
              <o:lock v:ext="edit" shapetype="f"/>
            </v:line>
          </w:pict>
        </mc:Fallback>
      </mc:AlternateContent>
    </w:r>
    <w:r w:rsidR="00011FC6" w:rsidRPr="00011FC6">
      <w:rPr>
        <w:rFonts w:ascii="Adobe Garamond Pro" w:hAnsi="Adobe Garamond Pro" w:cs="Times"/>
        <w:iCs/>
        <w:sz w:val="16"/>
        <w:szCs w:val="16"/>
        <w:lang w:val="es-VE"/>
      </w:rPr>
      <w:t xml:space="preserve"> </w:t>
    </w:r>
    <w:r w:rsidR="000D78D3" w:rsidRPr="007654C4">
      <w:rPr>
        <w:rFonts w:ascii="AGaramond" w:hAnsi="AGaramond" w:cs="Times"/>
        <w:iCs/>
        <w:sz w:val="16"/>
        <w:szCs w:val="16"/>
        <w:lang w:val="es-VE"/>
      </w:rPr>
      <w:t>Temas de Coyuntura</w:t>
    </w:r>
    <w:r w:rsidR="00011FC6" w:rsidRPr="007654C4">
      <w:rPr>
        <w:rFonts w:ascii="AGaramond" w:hAnsi="AGaramond" w:cs="Times"/>
        <w:iCs/>
        <w:sz w:val="16"/>
        <w:szCs w:val="16"/>
        <w:lang w:val="es-VE"/>
      </w:rPr>
      <w:t xml:space="preserve"> </w:t>
    </w:r>
    <w:r w:rsidR="006F6469" w:rsidRPr="007654C4">
      <w:rPr>
        <w:rFonts w:ascii="AGaramond" w:hAnsi="AGaramond" w:cs="Times"/>
        <w:iCs/>
        <w:sz w:val="16"/>
        <w:szCs w:val="16"/>
        <w:lang w:val="es-VE"/>
      </w:rPr>
      <w:t>N</w:t>
    </w:r>
    <w:r w:rsidR="007654C4">
      <w:rPr>
        <w:rFonts w:ascii="AGaramond" w:hAnsi="AGaramond" w:cs="Times"/>
        <w:iCs/>
        <w:sz w:val="16"/>
        <w:szCs w:val="16"/>
        <w:lang w:val="es-VE"/>
      </w:rPr>
      <w:t>.</w:t>
    </w:r>
    <w:r w:rsidR="006F6469" w:rsidRPr="007654C4">
      <w:rPr>
        <w:rFonts w:ascii="AGaramond" w:hAnsi="AGaramond" w:cs="Times"/>
        <w:iCs/>
        <w:sz w:val="16"/>
        <w:szCs w:val="16"/>
        <w:lang w:val="es-VE"/>
      </w:rPr>
      <w:t xml:space="preserve">º </w:t>
    </w:r>
    <w:r w:rsidR="00935F1E">
      <w:rPr>
        <w:rFonts w:ascii="AGaramond" w:hAnsi="AGaramond" w:cs="Times"/>
        <w:iCs/>
        <w:sz w:val="16"/>
        <w:szCs w:val="16"/>
        <w:lang w:val="es-VE"/>
      </w:rPr>
      <w:t>82</w:t>
    </w:r>
    <w:r w:rsidR="00142A4B" w:rsidRPr="007654C4">
      <w:rPr>
        <w:rFonts w:ascii="AGaramond" w:hAnsi="AGaramond" w:cs="Times"/>
        <w:iCs/>
        <w:sz w:val="16"/>
        <w:szCs w:val="16"/>
        <w:lang w:val="es-VE"/>
      </w:rPr>
      <w:t>-</w:t>
    </w:r>
    <w:r w:rsidR="00224833">
      <w:rPr>
        <w:rFonts w:ascii="AGaramond" w:hAnsi="AGaramond" w:cs="Times"/>
        <w:iCs/>
        <w:sz w:val="16"/>
        <w:szCs w:val="16"/>
        <w:lang w:val="es-VE"/>
      </w:rPr>
      <w:t>8</w:t>
    </w:r>
    <w:r w:rsidR="00535F56">
      <w:rPr>
        <w:rFonts w:ascii="AGaramond" w:hAnsi="AGaramond" w:cs="Times"/>
        <w:iCs/>
        <w:sz w:val="16"/>
        <w:szCs w:val="16"/>
        <w:lang w:val="es-VE"/>
      </w:rPr>
      <w:t>3</w:t>
    </w:r>
    <w:r w:rsidR="006F6469" w:rsidRPr="007654C4">
      <w:rPr>
        <w:rFonts w:ascii="AGaramond" w:hAnsi="AGaramond" w:cs="Times"/>
        <w:iCs/>
        <w:noProof/>
        <w:sz w:val="16"/>
        <w:szCs w:val="16"/>
        <w:lang w:val="es-VE"/>
      </w:rPr>
      <w:t xml:space="preserve"> </w:t>
    </w:r>
  </w:p>
  <w:p w14:paraId="0CDB5E6C" w14:textId="5FE3F124" w:rsidR="006F6469" w:rsidRPr="007654C4" w:rsidRDefault="006F6469" w:rsidP="006F6469">
    <w:pPr>
      <w:pStyle w:val="Ningnestilodeprrafo"/>
      <w:spacing w:line="240" w:lineRule="auto"/>
      <w:ind w:right="143"/>
      <w:jc w:val="right"/>
      <w:rPr>
        <w:rFonts w:ascii="AGaramond" w:hAnsi="AGaramond" w:cs="Times"/>
        <w:iCs/>
        <w:sz w:val="16"/>
        <w:szCs w:val="16"/>
        <w:lang w:val="es-VE"/>
      </w:rPr>
    </w:pPr>
    <w:r w:rsidRPr="007654C4">
      <w:rPr>
        <w:rFonts w:ascii="AGaramond" w:hAnsi="AGaramond" w:cs="Times"/>
        <w:iCs/>
        <w:sz w:val="16"/>
        <w:szCs w:val="16"/>
        <w:lang w:val="es-VE"/>
      </w:rPr>
      <w:t xml:space="preserve">Semestre </w:t>
    </w:r>
    <w:r w:rsidR="00142A4B" w:rsidRPr="007654C4">
      <w:rPr>
        <w:rFonts w:ascii="AGaramond" w:hAnsi="AGaramond" w:cs="Times"/>
        <w:iCs/>
        <w:sz w:val="16"/>
        <w:szCs w:val="16"/>
        <w:lang w:val="es-VE"/>
      </w:rPr>
      <w:t>Jul. 20</w:t>
    </w:r>
    <w:r w:rsidR="00935F1E">
      <w:rPr>
        <w:rFonts w:ascii="AGaramond" w:hAnsi="AGaramond" w:cs="Times"/>
        <w:iCs/>
        <w:sz w:val="16"/>
        <w:szCs w:val="16"/>
        <w:lang w:val="es-VE"/>
      </w:rPr>
      <w:t>20</w:t>
    </w:r>
    <w:r w:rsidR="00142A4B" w:rsidRPr="007654C4">
      <w:rPr>
        <w:rFonts w:ascii="AGaramond" w:hAnsi="AGaramond" w:cs="Times"/>
        <w:iCs/>
        <w:sz w:val="16"/>
        <w:szCs w:val="16"/>
        <w:lang w:val="es-VE"/>
      </w:rPr>
      <w:t>–Jun. 20</w:t>
    </w:r>
    <w:r w:rsidR="00224833">
      <w:rPr>
        <w:rFonts w:ascii="AGaramond" w:hAnsi="AGaramond" w:cs="Times"/>
        <w:iCs/>
        <w:sz w:val="16"/>
        <w:szCs w:val="16"/>
        <w:lang w:val="es-VE"/>
      </w:rPr>
      <w:t>2</w:t>
    </w:r>
    <w:r w:rsidR="00935F1E">
      <w:rPr>
        <w:rFonts w:ascii="AGaramond" w:hAnsi="AGaramond" w:cs="Times"/>
        <w:iCs/>
        <w:sz w:val="16"/>
        <w:szCs w:val="16"/>
        <w:lang w:val="es-VE"/>
      </w:rPr>
      <w:t>1</w:t>
    </w:r>
  </w:p>
  <w:p w14:paraId="56C20423" w14:textId="003F04E1" w:rsidR="006F6469" w:rsidRPr="007654C4" w:rsidRDefault="006F6469" w:rsidP="006F6469">
    <w:pPr>
      <w:pStyle w:val="Ningnestilodeprrafo"/>
      <w:ind w:right="143"/>
      <w:jc w:val="right"/>
      <w:rPr>
        <w:rFonts w:ascii="AGaramond" w:hAnsi="AGaramond" w:cs="Times"/>
        <w:iCs/>
        <w:sz w:val="16"/>
        <w:szCs w:val="16"/>
        <w:lang w:val="es-VE"/>
      </w:rPr>
    </w:pPr>
    <w:r w:rsidRPr="007654C4">
      <w:rPr>
        <w:rFonts w:ascii="AGaramond" w:hAnsi="AGaramond" w:cs="Times"/>
        <w:iCs/>
        <w:sz w:val="16"/>
        <w:szCs w:val="16"/>
        <w:lang w:val="es-VE"/>
      </w:rPr>
      <w:t xml:space="preserve"> ISSN: </w:t>
    </w:r>
    <w:r w:rsidR="00142A4B" w:rsidRPr="007654C4">
      <w:rPr>
        <w:rFonts w:ascii="AGaramond" w:hAnsi="AGaramond" w:cs="Times"/>
        <w:iCs/>
        <w:sz w:val="16"/>
        <w:szCs w:val="16"/>
        <w:lang w:val="es-VE"/>
      </w:rPr>
      <w:t>2244-8663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7E87E" w14:textId="77777777" w:rsidR="00772E0B" w:rsidRDefault="00772E0B" w:rsidP="00DD28DE">
      <w:r>
        <w:separator/>
      </w:r>
    </w:p>
  </w:footnote>
  <w:footnote w:type="continuationSeparator" w:id="0">
    <w:p w14:paraId="4310A16D" w14:textId="77777777" w:rsidR="00772E0B" w:rsidRDefault="00772E0B" w:rsidP="00DD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B04C" w14:textId="7F14B36A" w:rsidR="00DD28DE" w:rsidRPr="001E793C" w:rsidRDefault="002610B3" w:rsidP="001E793C">
    <w:pPr>
      <w:pStyle w:val="ENCABEZATITULO"/>
      <w:ind w:left="142"/>
      <w:jc w:val="left"/>
      <w:rPr>
        <w:rFonts w:ascii="Adobe Garamond Pro" w:hAnsi="Adobe Garamond Pro"/>
        <w:sz w:val="22"/>
        <w:szCs w:val="22"/>
        <w:lang w:val="es-VE"/>
      </w:rPr>
    </w:pPr>
    <w:r>
      <w:rPr>
        <w:rFonts w:ascii="Adobe Garamond Pro" w:hAnsi="Adobe Garamond Pro"/>
        <w:sz w:val="22"/>
        <w:szCs w:val="22"/>
        <w:lang w:val="es-VE"/>
      </w:rPr>
      <w:t>Presentación</w:t>
    </w:r>
  </w:p>
  <w:p w14:paraId="42A011CD" w14:textId="77777777" w:rsidR="001E793C" w:rsidRPr="001E793C" w:rsidRDefault="00F16B86" w:rsidP="001E793C">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64896" behindDoc="0" locked="0" layoutInCell="1" allowOverlap="1" wp14:anchorId="0B987ACA" wp14:editId="73AB53D9">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E5734AF" id="Conector recto 2"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47E7" w14:textId="2826C143" w:rsidR="006F6469" w:rsidRPr="006F6469" w:rsidRDefault="00F16B86" w:rsidP="006F6469">
    <w:pPr>
      <w:ind w:left="142"/>
      <w:rPr>
        <w:rFonts w:ascii="Adobe Garamond Pro" w:hAnsi="Adobe Garamond Pro"/>
        <w:color w:val="000000" w:themeColor="text1"/>
        <w:sz w:val="15"/>
        <w:szCs w:val="15"/>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63360" behindDoc="0" locked="0" layoutInCell="1" allowOverlap="1" wp14:anchorId="7A20E9F8" wp14:editId="5BBCB884">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58873" id="Conector recto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" strokecolor="black [3200]">
              <v:stroke joinstyle="miter"/>
              <o:lock v:ext="edit" shapetype="f"/>
            </v:line>
          </w:pict>
        </mc:Fallback>
      </mc:AlternateContent>
    </w:r>
  </w:p>
  <w:p w14:paraId="1E6C8A1F" w14:textId="5BF45F0D"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P</w:t>
    </w:r>
    <w:r w:rsidR="005F1F75">
      <w:rPr>
        <w:rFonts w:ascii="Adobe Garamond Pro" w:hAnsi="Adobe Garamond Pro"/>
        <w:color w:val="000000" w:themeColor="text1"/>
        <w:sz w:val="15"/>
        <w:szCs w:val="15"/>
      </w:rPr>
      <w:t>p</w:t>
    </w:r>
    <w:r w:rsidR="00CA4B26">
      <w:rPr>
        <w:rFonts w:ascii="Adobe Garamond Pro" w:hAnsi="Adobe Garamond Pro"/>
        <w:color w:val="000000" w:themeColor="text1"/>
        <w:sz w:val="15"/>
        <w:szCs w:val="15"/>
      </w:rPr>
      <w:t>.</w:t>
    </w:r>
    <w:r w:rsidRPr="006F6469">
      <w:rPr>
        <w:rFonts w:ascii="Adobe Garamond Pro" w:hAnsi="Adobe Garamond Pro"/>
        <w:color w:val="000000" w:themeColor="text1"/>
        <w:sz w:val="15"/>
        <w:szCs w:val="15"/>
      </w:rPr>
      <w:t xml:space="preserve"> </w:t>
    </w:r>
    <w:r w:rsidR="001264D6">
      <w:rPr>
        <w:rFonts w:ascii="Adobe Garamond Pro" w:hAnsi="Adobe Garamond Pro"/>
        <w:color w:val="000000" w:themeColor="text1"/>
        <w:sz w:val="15"/>
        <w:szCs w:val="15"/>
      </w:rPr>
      <w:t>6</w:t>
    </w:r>
    <w:r w:rsidRPr="006F6469">
      <w:rPr>
        <w:rFonts w:ascii="Adobe Garamond Pro" w:hAnsi="Adobe Garamond Pro"/>
        <w:color w:val="000000" w:themeColor="text1"/>
        <w:sz w:val="15"/>
        <w:szCs w:val="15"/>
      </w:rPr>
      <w:t xml:space="preserve"> – P</w:t>
    </w:r>
    <w:r w:rsidR="005F1F75">
      <w:rPr>
        <w:rFonts w:ascii="Adobe Garamond Pro" w:hAnsi="Adobe Garamond Pro"/>
        <w:color w:val="000000" w:themeColor="text1"/>
        <w:sz w:val="15"/>
        <w:szCs w:val="15"/>
      </w:rPr>
      <w:t>p</w:t>
    </w:r>
    <w:r w:rsidRPr="006F6469">
      <w:rPr>
        <w:rFonts w:ascii="Adobe Garamond Pro" w:hAnsi="Adobe Garamond Pro"/>
        <w:color w:val="000000" w:themeColor="text1"/>
        <w:sz w:val="15"/>
        <w:szCs w:val="15"/>
      </w:rPr>
      <w:t xml:space="preserve">. </w:t>
    </w:r>
    <w:r w:rsidR="00535F56">
      <w:rPr>
        <w:rFonts w:ascii="Adobe Garamond Pro" w:hAnsi="Adobe Garamond Pro"/>
        <w:color w:val="000000" w:themeColor="text1"/>
        <w:sz w:val="15"/>
        <w:szCs w:val="15"/>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DE"/>
    <w:rsid w:val="00011FC6"/>
    <w:rsid w:val="0002089B"/>
    <w:rsid w:val="00042919"/>
    <w:rsid w:val="00057F58"/>
    <w:rsid w:val="00077BC7"/>
    <w:rsid w:val="000B5A4D"/>
    <w:rsid w:val="000D78D3"/>
    <w:rsid w:val="001078D4"/>
    <w:rsid w:val="00123FEB"/>
    <w:rsid w:val="001264D6"/>
    <w:rsid w:val="001425B3"/>
    <w:rsid w:val="00142A4B"/>
    <w:rsid w:val="00183C88"/>
    <w:rsid w:val="001A3050"/>
    <w:rsid w:val="001B5875"/>
    <w:rsid w:val="001E793C"/>
    <w:rsid w:val="00224833"/>
    <w:rsid w:val="00232888"/>
    <w:rsid w:val="0025245E"/>
    <w:rsid w:val="002610B3"/>
    <w:rsid w:val="002A415C"/>
    <w:rsid w:val="002C27EE"/>
    <w:rsid w:val="00317639"/>
    <w:rsid w:val="00361259"/>
    <w:rsid w:val="00362623"/>
    <w:rsid w:val="003A3DD6"/>
    <w:rsid w:val="003E38DF"/>
    <w:rsid w:val="00417BAF"/>
    <w:rsid w:val="00492C72"/>
    <w:rsid w:val="004E4B3F"/>
    <w:rsid w:val="004E7769"/>
    <w:rsid w:val="004E7DF0"/>
    <w:rsid w:val="005024C4"/>
    <w:rsid w:val="0051576B"/>
    <w:rsid w:val="00535F56"/>
    <w:rsid w:val="00544718"/>
    <w:rsid w:val="00575408"/>
    <w:rsid w:val="00576EDF"/>
    <w:rsid w:val="005D6EDD"/>
    <w:rsid w:val="005D70C4"/>
    <w:rsid w:val="005F1F75"/>
    <w:rsid w:val="005F41FF"/>
    <w:rsid w:val="00600AF2"/>
    <w:rsid w:val="00633185"/>
    <w:rsid w:val="00641744"/>
    <w:rsid w:val="006F6469"/>
    <w:rsid w:val="007214B8"/>
    <w:rsid w:val="00731E9D"/>
    <w:rsid w:val="007654C4"/>
    <w:rsid w:val="00772E0B"/>
    <w:rsid w:val="00777297"/>
    <w:rsid w:val="007B5E1E"/>
    <w:rsid w:val="0087017A"/>
    <w:rsid w:val="009011F5"/>
    <w:rsid w:val="00920AB4"/>
    <w:rsid w:val="00935F1E"/>
    <w:rsid w:val="009436E3"/>
    <w:rsid w:val="00952492"/>
    <w:rsid w:val="00965A61"/>
    <w:rsid w:val="00980CC1"/>
    <w:rsid w:val="00A24BE2"/>
    <w:rsid w:val="00A36850"/>
    <w:rsid w:val="00A418C7"/>
    <w:rsid w:val="00A96150"/>
    <w:rsid w:val="00AE0B6D"/>
    <w:rsid w:val="00B203B0"/>
    <w:rsid w:val="00B66440"/>
    <w:rsid w:val="00B9076A"/>
    <w:rsid w:val="00BA5A37"/>
    <w:rsid w:val="00C15765"/>
    <w:rsid w:val="00CA4B26"/>
    <w:rsid w:val="00CB1D06"/>
    <w:rsid w:val="00CD1193"/>
    <w:rsid w:val="00DD28DE"/>
    <w:rsid w:val="00E20658"/>
    <w:rsid w:val="00E4546B"/>
    <w:rsid w:val="00E53B5D"/>
    <w:rsid w:val="00F16B86"/>
    <w:rsid w:val="00FD7C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23F07"/>
  <w15:docId w15:val="{5EB95848-FEE1-447D-9B35-220D1B72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B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0687">
      <w:bodyDiv w:val="1"/>
      <w:marLeft w:val="0"/>
      <w:marRight w:val="0"/>
      <w:marTop w:val="0"/>
      <w:marBottom w:val="0"/>
      <w:divBdr>
        <w:top w:val="none" w:sz="0" w:space="0" w:color="auto"/>
        <w:left w:val="none" w:sz="0" w:space="0" w:color="auto"/>
        <w:bottom w:val="none" w:sz="0" w:space="0" w:color="auto"/>
        <w:right w:val="none" w:sz="0" w:space="0" w:color="auto"/>
      </w:divBdr>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49463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1241</Words>
  <Characters>6830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Oscar Núñez</cp:lastModifiedBy>
  <cp:revision>2</cp:revision>
  <cp:lastPrinted>2022-02-01T15:44:00Z</cp:lastPrinted>
  <dcterms:created xsi:type="dcterms:W3CDTF">2022-02-01T15:45:00Z</dcterms:created>
  <dcterms:modified xsi:type="dcterms:W3CDTF">2022-02-01T15:45:00Z</dcterms:modified>
</cp:coreProperties>
</file>