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59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329" w:right="0" w:firstLine="0"/>
        <w:jc w:val="left"/>
        <w:rPr>
          <w:i/>
          <w:sz w:val="16"/>
        </w:rPr>
      </w:pPr>
      <w:r>
        <w:rPr>
          <w:i/>
          <w:color w:val="231F20"/>
          <w:spacing w:val="-1"/>
          <w:sz w:val="16"/>
        </w:rPr>
        <w:t>pp.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pacing w:val="-1"/>
          <w:sz w:val="16"/>
        </w:rPr>
        <w:t>159-162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</w:pPr>
      <w:r>
        <w:rPr>
          <w:color w:val="231F20"/>
          <w:w w:val="125"/>
        </w:rPr>
        <w:t>Reseña</w:t>
      </w:r>
    </w:p>
    <w:p>
      <w:pPr>
        <w:pStyle w:val="BodyText"/>
        <w:spacing w:before="1"/>
        <w:rPr>
          <w:rFonts w:ascii="Calibri"/>
          <w:b/>
          <w:sz w:val="26"/>
        </w:rPr>
      </w:pPr>
    </w:p>
    <w:p>
      <w:pPr>
        <w:spacing w:line="235" w:lineRule="auto" w:before="0"/>
        <w:ind w:left="1748" w:right="1756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31F20"/>
          <w:w w:val="130"/>
          <w:sz w:val="20"/>
        </w:rPr>
        <w:t>María</w:t>
      </w:r>
      <w:r>
        <w:rPr>
          <w:rFonts w:ascii="Calibri" w:hAnsi="Calibri"/>
          <w:b/>
          <w:color w:val="231F20"/>
          <w:spacing w:val="-10"/>
          <w:w w:val="130"/>
          <w:sz w:val="20"/>
        </w:rPr>
        <w:t> </w:t>
      </w:r>
      <w:r>
        <w:rPr>
          <w:rFonts w:ascii="Calibri" w:hAnsi="Calibri"/>
          <w:b/>
          <w:color w:val="231F20"/>
          <w:w w:val="130"/>
          <w:sz w:val="20"/>
        </w:rPr>
        <w:t>Teresa</w:t>
      </w:r>
      <w:r>
        <w:rPr>
          <w:rFonts w:ascii="Calibri" w:hAnsi="Calibri"/>
          <w:b/>
          <w:color w:val="231F20"/>
          <w:spacing w:val="-9"/>
          <w:w w:val="130"/>
          <w:sz w:val="20"/>
        </w:rPr>
        <w:t> </w:t>
      </w:r>
      <w:r>
        <w:rPr>
          <w:rFonts w:ascii="Calibri" w:hAnsi="Calibri"/>
          <w:b/>
          <w:color w:val="231F20"/>
          <w:w w:val="130"/>
          <w:sz w:val="20"/>
        </w:rPr>
        <w:t>Muñoz</w:t>
      </w:r>
      <w:r>
        <w:rPr>
          <w:rFonts w:ascii="Calibri" w:hAnsi="Calibri"/>
          <w:b/>
          <w:color w:val="231F20"/>
          <w:spacing w:val="-9"/>
          <w:w w:val="130"/>
          <w:sz w:val="20"/>
        </w:rPr>
        <w:t> </w:t>
      </w:r>
      <w:r>
        <w:rPr>
          <w:rFonts w:ascii="Calibri" w:hAnsi="Calibri"/>
          <w:b/>
          <w:color w:val="231F20"/>
          <w:w w:val="130"/>
          <w:sz w:val="20"/>
        </w:rPr>
        <w:t>Sánchez:</w:t>
      </w:r>
      <w:r>
        <w:rPr>
          <w:rFonts w:ascii="Calibri" w:hAnsi="Calibri"/>
          <w:b/>
          <w:color w:val="231F20"/>
          <w:spacing w:val="-9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Wittgenstein</w:t>
      </w:r>
      <w:r>
        <w:rPr>
          <w:rFonts w:ascii="Calibri" w:hAnsi="Calibri"/>
          <w:b/>
          <w:i/>
          <w:color w:val="231F20"/>
          <w:spacing w:val="-10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y</w:t>
      </w:r>
      <w:r>
        <w:rPr>
          <w:rFonts w:ascii="Calibri" w:hAnsi="Calibri"/>
          <w:b/>
          <w:i/>
          <w:color w:val="231F20"/>
          <w:spacing w:val="-9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la</w:t>
      </w:r>
      <w:r>
        <w:rPr>
          <w:rFonts w:ascii="Calibri" w:hAnsi="Calibri"/>
          <w:b/>
          <w:i/>
          <w:color w:val="231F20"/>
          <w:spacing w:val="-9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articulación</w:t>
      </w:r>
      <w:r>
        <w:rPr>
          <w:rFonts w:ascii="Calibri" w:hAnsi="Calibri"/>
          <w:b/>
          <w:i/>
          <w:color w:val="231F20"/>
          <w:spacing w:val="-56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lingüística</w:t>
      </w:r>
      <w:r>
        <w:rPr>
          <w:rFonts w:ascii="Calibri" w:hAnsi="Calibri"/>
          <w:b/>
          <w:i/>
          <w:color w:val="231F20"/>
          <w:spacing w:val="8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de</w:t>
      </w:r>
      <w:r>
        <w:rPr>
          <w:rFonts w:ascii="Calibri" w:hAnsi="Calibri"/>
          <w:b/>
          <w:i/>
          <w:color w:val="231F20"/>
          <w:spacing w:val="9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lo</w:t>
      </w:r>
      <w:r>
        <w:rPr>
          <w:rFonts w:ascii="Calibri" w:hAnsi="Calibri"/>
          <w:b/>
          <w:i/>
          <w:color w:val="231F20"/>
          <w:spacing w:val="9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público</w:t>
      </w:r>
      <w:r>
        <w:rPr>
          <w:rFonts w:ascii="Calibri" w:hAnsi="Calibri"/>
          <w:b/>
          <w:color w:val="231F20"/>
          <w:w w:val="130"/>
          <w:sz w:val="20"/>
          <w:vertAlign w:val="superscript"/>
        </w:rPr>
        <w:t>1</w:t>
      </w:r>
    </w:p>
    <w:p>
      <w:pPr>
        <w:spacing w:line="254" w:lineRule="auto" w:before="92"/>
        <w:ind w:left="5956" w:right="1621" w:firstLine="822"/>
        <w:jc w:val="right"/>
        <w:rPr>
          <w:rFonts w:ascii="Calibri" w:hAnsi="Calibri"/>
          <w:i/>
          <w:sz w:val="18"/>
        </w:rPr>
      </w:pPr>
      <w:r>
        <w:rPr/>
        <w:pict>
          <v:line style="position:absolute;mso-position-horizontal-relative:page;mso-position-vertical-relative:paragraph;z-index:-16090112" from="138.637192pt,12.529396pt" to="376.747186pt,12.529396pt" stroked="true" strokeweight="2.000004pt" strokecolor="#d1d3d4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2"/>
        </w:rPr>
        <w:t>Nahir</w:t>
      </w:r>
      <w:r>
        <w:rPr>
          <w:rFonts w:ascii="Calibri" w:hAnsi="Calibri"/>
          <w:i/>
          <w:color w:val="231F20"/>
          <w:spacing w:val="22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Hurtado</w:t>
      </w:r>
      <w:r>
        <w:rPr>
          <w:rFonts w:ascii="Calibri" w:hAnsi="Calibri"/>
          <w:i/>
          <w:color w:val="231F20"/>
          <w:spacing w:val="-54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Instituto</w:t>
      </w:r>
      <w:r>
        <w:rPr>
          <w:rFonts w:ascii="Calibri" w:hAnsi="Calibri"/>
          <w:i/>
          <w:color w:val="231F20"/>
          <w:spacing w:val="2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2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Filosofía</w:t>
      </w:r>
      <w:r>
        <w:rPr>
          <w:rFonts w:ascii="Calibri" w:hAnsi="Calibri"/>
          <w:i/>
          <w:color w:val="231F20"/>
          <w:spacing w:val="2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-</w:t>
      </w:r>
      <w:r>
        <w:rPr>
          <w:rFonts w:ascii="Calibri" w:hAnsi="Calibri"/>
          <w:i/>
          <w:color w:val="231F20"/>
          <w:spacing w:val="2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UCV</w:t>
      </w:r>
      <w:r>
        <w:rPr>
          <w:rFonts w:ascii="Calibri" w:hAnsi="Calibri"/>
          <w:i/>
          <w:color w:val="231F20"/>
          <w:spacing w:val="-44"/>
          <w:w w:val="115"/>
          <w:sz w:val="18"/>
        </w:rPr>
        <w:t> </w:t>
      </w:r>
      <w:hyperlink r:id="rId8">
        <w:r>
          <w:rPr>
            <w:rFonts w:ascii="Calibri" w:hAnsi="Calibri"/>
            <w:i/>
            <w:color w:val="231F20"/>
            <w:w w:val="115"/>
            <w:sz w:val="18"/>
          </w:rPr>
          <w:t>nahir.eliph@gmail.com</w:t>
        </w:r>
      </w:hyperlink>
    </w:p>
    <w:p>
      <w:pPr>
        <w:pStyle w:val="BodyText"/>
        <w:spacing w:before="4"/>
        <w:rPr>
          <w:rFonts w:ascii="Calibri"/>
          <w:i/>
          <w:sz w:val="26"/>
        </w:rPr>
      </w:pPr>
    </w:p>
    <w:p>
      <w:pPr>
        <w:pStyle w:val="BodyText"/>
        <w:spacing w:line="247" w:lineRule="auto" w:before="1"/>
        <w:ind w:left="1612" w:right="1620" w:firstLine="283"/>
        <w:jc w:val="both"/>
      </w:pPr>
      <w:r>
        <w:rPr>
          <w:color w:val="231F20"/>
          <w:w w:val="125"/>
        </w:rPr>
        <w:t>El texto pretende, según la autora, trazar una novedosa senda 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acercamiento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obra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Wittgenstein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ello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establecer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rele-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vancia de la propuesta del autor, expuestas en las </w:t>
      </w:r>
      <w:r>
        <w:rPr>
          <w:rFonts w:ascii="Calibri" w:hAnsi="Calibri"/>
          <w:i/>
          <w:color w:val="231F20"/>
          <w:w w:val="125"/>
        </w:rPr>
        <w:t>Investigaciones</w:t>
      </w:r>
      <w:r>
        <w:rPr>
          <w:rFonts w:ascii="Calibri" w:hAnsi="Calibri"/>
          <w:i/>
          <w:color w:val="231F20"/>
          <w:spacing w:val="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Filosóficas, </w:t>
      </w:r>
      <w:r>
        <w:rPr>
          <w:color w:val="231F20"/>
          <w:w w:val="125"/>
        </w:rPr>
        <w:t>aplicándola al campo del análisis del discurso político.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libro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fundamenta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significado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expuesto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Wittgenstein en su segundo período y su importancia y aplicación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el ámbito de lo político. Básicamente la idea es tomar el estudio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0"/>
        </w:rPr>
        <w:t>de Wittgenstein acerca de los casos particulares en torno al lenguaje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explicar los criterios que fundamentan la argumentación políti-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ca. Con base en la reconstrucción de la propuesta wittgensteiniana,</w:t>
      </w:r>
      <w:r>
        <w:rPr>
          <w:color w:val="231F20"/>
          <w:spacing w:val="-61"/>
          <w:w w:val="125"/>
        </w:rPr>
        <w:t> </w:t>
      </w:r>
      <w:r>
        <w:rPr>
          <w:color w:val="231F20"/>
          <w:spacing w:val="-1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objetivo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será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esclarecer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relación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lenguaje-mundo,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fin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mos-</w:t>
      </w:r>
    </w:p>
    <w:p>
      <w:pPr>
        <w:pStyle w:val="BodyText"/>
        <w:tabs>
          <w:tab w:pos="9531" w:val="left" w:leader="none"/>
        </w:tabs>
        <w:spacing w:line="225" w:lineRule="auto" w:before="15"/>
        <w:ind w:left="1612" w:right="145" w:hanging="1465"/>
        <w:jc w:val="both"/>
      </w:pPr>
      <w:r>
        <w:rPr>
          <w:position w:val="-6"/>
        </w:rPr>
        <w:drawing>
          <wp:inline distT="0" distB="0" distL="0" distR="0">
            <wp:extent cx="152399" cy="1523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/>
        <w:t>                       </w:t>
      </w:r>
      <w:r>
        <w:rPr>
          <w:spacing w:val="24"/>
        </w:rPr>
        <w:t> </w:t>
      </w:r>
      <w:r>
        <w:rPr>
          <w:color w:val="231F20"/>
          <w:w w:val="120"/>
        </w:rPr>
        <w:t>trar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cómo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explicación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descripción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carácter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articulador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</w:rPr>
        <w:tab/>
      </w:r>
      <w:r>
        <w:rPr>
          <w:color w:val="231F20"/>
          <w:spacing w:val="-16"/>
          <w:position w:val="-6"/>
        </w:rPr>
        <w:drawing>
          <wp:inline distT="0" distB="0" distL="0" distR="0">
            <wp:extent cx="152399" cy="15239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6"/>
        </w:rPr>
      </w:r>
      <w:r>
        <w:rPr>
          <w:color w:val="231F20"/>
          <w:position w:val="-6"/>
        </w:rPr>
        <w:t> </w:t>
      </w:r>
      <w:r>
        <w:rPr>
          <w:color w:val="231F20"/>
          <w:w w:val="120"/>
          <w:position w:val="-6"/>
        </w:rPr>
        <w:t>         </w:t>
      </w:r>
      <w:r>
        <w:rPr>
          <w:color w:val="231F20"/>
          <w:w w:val="120"/>
        </w:rPr>
        <w:t>lenguaje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pueden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llegar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malentendidos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múltiples</w:t>
      </w:r>
    </w:p>
    <w:p>
      <w:pPr>
        <w:pStyle w:val="BodyText"/>
        <w:spacing w:line="249" w:lineRule="auto" w:before="13"/>
        <w:ind w:left="1612" w:right="1620"/>
        <w:jc w:val="both"/>
      </w:pPr>
      <w:r>
        <w:rPr>
          <w:color w:val="231F20"/>
          <w:w w:val="120"/>
        </w:rPr>
        <w:t>ocasiones presenta el discurso político.   Como la autora argumenta,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misma experiencia nos dice que tal discurso es articulador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realidad y sus conceptos son debatibles y dependientes de su carác-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5"/>
        </w:rPr>
        <w:t>ter intersubjetivo, del mismo modo que lo es la palabra; por tanto,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0"/>
        </w:rPr>
        <w:t>es susceptible de múltiples ambigüedades, tal como lo es el lenguaje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común.</w:t>
      </w:r>
    </w:p>
    <w:p>
      <w:pPr>
        <w:pStyle w:val="BodyText"/>
        <w:spacing w:before="1"/>
      </w:pPr>
    </w:p>
    <w:p>
      <w:pPr>
        <w:pStyle w:val="BodyText"/>
        <w:spacing w:line="249" w:lineRule="auto" w:before="1"/>
        <w:ind w:left="1612" w:right="1620" w:firstLine="283"/>
        <w:jc w:val="both"/>
      </w:pPr>
      <w:r>
        <w:rPr>
          <w:color w:val="231F20"/>
          <w:w w:val="120"/>
        </w:rPr>
        <w:t>El texto está dividido en tres grandes partes. En la primera, Mu-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ñoz revisa los modelos cartesianos de la mente: la primera medi-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5"/>
        </w:rPr>
        <w:t>tación de Descartes; el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análisis de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algunos aspectos de la teoría</w:t>
      </w:r>
      <w:r>
        <w:rPr>
          <w:rFonts w:ascii="Arial MT" w:hAnsi="Arial MT"/>
          <w:color w:val="231F20"/>
          <w:spacing w:val="-62"/>
          <w:w w:val="115"/>
        </w:rPr>
        <w:t> </w:t>
      </w:r>
      <w:r>
        <w:rPr>
          <w:color w:val="231F20"/>
          <w:w w:val="120"/>
        </w:rPr>
        <w:t>del conocimiento de Thomas Hobbes, particularmente el tránsito del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pensamiento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palabra;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teoría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pictórica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Wittgenstein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el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ato</w:t>
      </w:r>
      <w:r>
        <w:rPr>
          <w:color w:val="231F20"/>
          <w:w w:val="110"/>
        </w:rPr>
        <w:t>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20"/>
        </w:rPr>
        <w:t>mismo lógico de Russell. Con esta exposición se pone al descubierto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algunos malentendidos filosóficos heredados de la modernidad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filosofía más representativo de esta tradición. Esta parte se intitula,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palabra”.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38.637192pt;margin-top:14.627728pt;width:72pt;height:.1pt;mso-position-horizontal-relative:page;mso-position-vertical-relative:paragraph;z-index:-15727104;mso-wrap-distance-left:0;mso-wrap-distance-right:0" coordorigin="2773,293" coordsize="1440,0" path="m2773,293l4213,29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1896" w:right="1604" w:hanging="284"/>
        <w:jc w:val="left"/>
        <w:rPr>
          <w:sz w:val="14"/>
        </w:rPr>
      </w:pPr>
      <w:r>
        <w:rPr>
          <w:color w:val="231F20"/>
          <w:w w:val="120"/>
          <w:sz w:val="14"/>
        </w:rPr>
        <w:t>1   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México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DF.,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Instituto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internacional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Filosofía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AC.,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Universidad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Intercontinental,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2009,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5"/>
          <w:sz w:val="14"/>
        </w:rPr>
        <w:t>216.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line="208" w:lineRule="auto" w:before="0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3393" w:right="3495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Reseña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segunda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parte,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“Más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allá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palabra”,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vez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mostrados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juicio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autora,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errores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heredados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moderni-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dad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Muñoz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revisa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crítica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expuesta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Wittgenstein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2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Inves-</w:t>
      </w:r>
      <w:r>
        <w:rPr>
          <w:rFonts w:ascii="Calibri" w:hAnsi="Calibri"/>
          <w:i/>
          <w:color w:val="231F20"/>
          <w:spacing w:val="-54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tigaciones</w:t>
      </w:r>
      <w:r>
        <w:rPr>
          <w:rFonts w:ascii="Calibri" w:hAnsi="Calibri"/>
          <w:i/>
          <w:color w:val="231F20"/>
          <w:spacing w:val="-3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Filosóficas</w:t>
      </w:r>
      <w:r>
        <w:rPr>
          <w:rFonts w:ascii="Calibri" w:hAnsi="Calibri"/>
          <w:i/>
          <w:color w:val="231F20"/>
          <w:spacing w:val="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concepciones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lenguaje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realidad: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creencia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existencia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recinto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nosotros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mismos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donde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pueda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desarrollarse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posibilidad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lenguaje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privado,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0"/>
        </w:rPr>
        <w:t>como también la posibilidad de verdades que sirvan como el soporte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último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nuestras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creencias.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propuesta,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defendida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parte,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se basa en que el lenguaje se entiende como una actividad social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revela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carácter</w:t>
      </w:r>
      <w:r>
        <w:rPr>
          <w:color w:val="231F20"/>
          <w:spacing w:val="-1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articulador</w:t>
      </w:r>
      <w:r>
        <w:rPr>
          <w:color w:val="231F20"/>
          <w:w w:val="125"/>
        </w:rPr>
        <w:t>.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Esto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autora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quiere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decir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hay ciertas prácticas que se desarrollan en contextos determinados,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es decir, en un conjunto de reglas necesarias para la significación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lenguaje.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Precisamente,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punto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enlace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ámbito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político, pues tanto el lenguaje como lo social se fundamentan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reglas establecidas por convenios tácitos e intersubjetivos, los cuales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determinados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prácticas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sociales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compartidas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o,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llama Wittgenstein, nuestras </w:t>
      </w:r>
      <w:r>
        <w:rPr>
          <w:rFonts w:ascii="Calibri" w:hAnsi="Calibri"/>
          <w:i/>
          <w:color w:val="231F20"/>
          <w:w w:val="120"/>
        </w:rPr>
        <w:t>formas de vida. </w:t>
      </w:r>
      <w:r>
        <w:rPr>
          <w:color w:val="231F20"/>
          <w:w w:val="120"/>
        </w:rPr>
        <w:t>Esto se evidencia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siguiente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pasaje:</w:t>
      </w:r>
    </w:p>
    <w:p>
      <w:pPr>
        <w:pStyle w:val="BodyText"/>
        <w:spacing w:before="1"/>
        <w:rPr>
          <w:sz w:val="18"/>
        </w:rPr>
      </w:pPr>
    </w:p>
    <w:p>
      <w:pPr>
        <w:spacing w:line="232" w:lineRule="auto" w:before="1"/>
        <w:ind w:left="1901" w:right="189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830538</wp:posOffset>
            </wp:positionH>
            <wp:positionV relativeFrom="paragraph">
              <wp:posOffset>258167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6789450</wp:posOffset>
            </wp:positionH>
            <wp:positionV relativeFrom="paragraph">
              <wp:posOffset>258167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Nuestro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mundo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social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político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articula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lingüísticamente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inter-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na relación con el ámbito de unas prácticas socialmente compartidas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que informan lo significativo. Las prácticas lingüísticas y la acción,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entonces, no pueden entenderse más que en el marco de nuestra exis-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tencia intramundana y en este trasfondo adquieren sentido, al mismo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tiempo que confieren significado. Las reglas políticas se formulan 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términos políticos, los que, según vimos, implican una carga normati-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va</w:t>
      </w:r>
      <w:r>
        <w:rPr>
          <w:color w:val="231F20"/>
          <w:spacing w:val="-13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sujeta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a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debate.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La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spacing w:val="-1"/>
          <w:w w:val="120"/>
          <w:sz w:val="18"/>
        </w:rPr>
        <w:t>relevancia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concepción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conceptos</w:t>
      </w:r>
      <w:r>
        <w:rPr>
          <w:color w:val="231F20"/>
          <w:spacing w:val="-12"/>
          <w:w w:val="120"/>
          <w:sz w:val="18"/>
        </w:rPr>
        <w:t> </w:t>
      </w:r>
      <w:r>
        <w:rPr>
          <w:color w:val="231F20"/>
          <w:w w:val="120"/>
          <w:sz w:val="18"/>
        </w:rPr>
        <w:t>polí-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ticos como esencialmente debatibles radica en la interna relación entre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su carácter debatible y evaluativo. En los debates conceptuales acerca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 los usos del término en disputa se ponen en juego las diferentes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posiciones políticas, se debate políticamente. Por ello, argumentamos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aquí que lo público se explica o —mejor— se aclara desde este ámbito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de constitución</w:t>
      </w:r>
      <w:r>
        <w:rPr>
          <w:color w:val="231F20"/>
          <w:spacing w:val="-1"/>
          <w:w w:val="120"/>
          <w:sz w:val="18"/>
        </w:rPr>
        <w:t> </w:t>
      </w:r>
      <w:r>
        <w:rPr>
          <w:color w:val="231F20"/>
          <w:w w:val="120"/>
          <w:sz w:val="18"/>
        </w:rPr>
        <w:t>del sentido que es el lenguaje.</w:t>
      </w:r>
      <w:r>
        <w:rPr>
          <w:color w:val="231F20"/>
          <w:w w:val="120"/>
          <w:sz w:val="18"/>
          <w:vertAlign w:val="superscript"/>
        </w:rPr>
        <w:t>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1"/>
        <w:ind w:left="1617" w:right="1615" w:firstLine="283"/>
        <w:jc w:val="both"/>
      </w:pPr>
      <w:r>
        <w:rPr>
          <w:color w:val="231F20"/>
          <w:w w:val="120"/>
        </w:rPr>
        <w:t>La autora resalta con lo anterior lo planteado en las </w:t>
      </w:r>
      <w:r>
        <w:rPr>
          <w:rFonts w:ascii="Calibri" w:hAnsi="Calibri"/>
          <w:i/>
          <w:color w:val="231F20"/>
          <w:w w:val="120"/>
        </w:rPr>
        <w:t>Investigacio-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10"/>
        </w:rPr>
        <w:t>nes</w:t>
      </w:r>
      <w:r>
        <w:rPr>
          <w:rFonts w:ascii="Arial MT" w:hAnsi="Arial MT"/>
          <w:color w:val="231F20"/>
          <w:w w:val="110"/>
        </w:rPr>
        <w:t>: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el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carácter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público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del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lenguaje;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dependencia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las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formas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rFonts w:ascii="Arial MT" w:hAnsi="Arial MT"/>
          <w:color w:val="231F20"/>
          <w:w w:val="110"/>
        </w:rPr>
        <w:t>vida para entender los significados de las palabras; el seguimiento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de unas reglas colectivamente convenidas dentro de una comunidad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5"/>
        </w:rPr>
        <w:t>lingüística; y el carácter del lenguaje para articular a la sociedad.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color w:val="231F20"/>
          <w:w w:val="120"/>
        </w:rPr>
        <w:t>Muñoz intenta expurgar al análisis del lenguaje de la mitología he-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redada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moderna,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quizá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costa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imponer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pro-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pias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creencias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culturales,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colocando,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serían,</w:t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138.896393pt;margin-top:9.092571pt;width:72pt;height:.1pt;mso-position-horizontal-relative:page;mso-position-vertical-relative:paragraph;z-index:-15725056;mso-wrap-distance-left:0;mso-wrap-distance-right:0" coordorigin="2778,182" coordsize="1440,0" path="m2778,182l4218,18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0"/>
          <w:sz w:val="14"/>
        </w:rPr>
        <w:t>2   </w:t>
      </w:r>
      <w:r>
        <w:rPr>
          <w:color w:val="231F20"/>
          <w:spacing w:val="3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183–84.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607" w:right="175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Nahir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Hurtado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53"/>
        <w:ind w:left="1617" w:right="1604"/>
      </w:pPr>
      <w:r>
        <w:rPr>
          <w:color w:val="231F20"/>
          <w:w w:val="125"/>
        </w:rPr>
        <w:t>las respuestas a los malentendidos que se desprende de la tradición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moderna: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78" w:val="left" w:leader="none"/>
        </w:tabs>
        <w:spacing w:line="249" w:lineRule="auto" w:before="0" w:after="0"/>
        <w:ind w:left="1977" w:right="1615" w:hanging="360"/>
        <w:jc w:val="both"/>
        <w:rPr>
          <w:sz w:val="20"/>
        </w:rPr>
      </w:pPr>
      <w:r>
        <w:rPr>
          <w:color w:val="231F20"/>
          <w:w w:val="120"/>
          <w:sz w:val="20"/>
        </w:rPr>
        <w:t>No es posible sostener nuestros conocimientos sobre una base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Arial MT" w:hAnsi="Arial MT"/>
          <w:color w:val="231F20"/>
          <w:w w:val="115"/>
          <w:sz w:val="20"/>
        </w:rPr>
        <w:t>sólida y universal; no existen fundamentos únicos, lo que hay</w:t>
      </w:r>
      <w:r>
        <w:rPr>
          <w:rFonts w:ascii="Arial MT" w:hAnsi="Arial MT"/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descripciones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tal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lo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plantea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Wittgenstein.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78" w:val="left" w:leader="none"/>
        </w:tabs>
        <w:spacing w:line="249" w:lineRule="auto" w:before="0" w:after="0"/>
        <w:ind w:left="1977" w:right="1615" w:hanging="360"/>
        <w:jc w:val="both"/>
        <w:rPr>
          <w:sz w:val="20"/>
        </w:rPr>
      </w:pPr>
      <w:r>
        <w:rPr>
          <w:color w:val="231F20"/>
          <w:w w:val="120"/>
          <w:sz w:val="20"/>
        </w:rPr>
        <w:t>La mente no es el ámbito íntimo y privado donde es posible en-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contrar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datos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inferenciales.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77" w:val="left" w:leader="none"/>
          <w:tab w:pos="1978" w:val="left" w:leader="none"/>
        </w:tabs>
        <w:spacing w:line="240" w:lineRule="auto" w:before="0" w:after="0"/>
        <w:ind w:left="1977" w:right="0" w:hanging="361"/>
        <w:jc w:val="left"/>
        <w:rPr>
          <w:sz w:val="20"/>
        </w:rPr>
      </w:pPr>
      <w:r>
        <w:rPr>
          <w:color w:val="231F20"/>
          <w:w w:val="120"/>
          <w:sz w:val="20"/>
        </w:rPr>
        <w:t>“Lo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dado”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puede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sólo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darse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intuición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percepción.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830538</wp:posOffset>
            </wp:positionH>
            <wp:positionV relativeFrom="paragraph">
              <wp:posOffset>1337504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6789450</wp:posOffset>
            </wp:positionH>
            <wp:positionV relativeFrom="paragraph">
              <wp:posOffset>1337504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continuación,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presenta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tercera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parte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está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dedicada</w:t>
      </w:r>
      <w:r>
        <w:rPr>
          <w:color w:val="231F20"/>
          <w:spacing w:val="-60"/>
          <w:w w:val="125"/>
        </w:rPr>
        <w:t> </w:t>
      </w:r>
      <w:r>
        <w:rPr>
          <w:rFonts w:ascii="Arial MT" w:hAnsi="Arial MT"/>
          <w:color w:val="231F20"/>
          <w:w w:val="115"/>
        </w:rPr>
        <w:t>al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análisis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semántica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del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discurso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político;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para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ello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autora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5"/>
        </w:rPr>
        <w:t>elige una serie de conceptos que considera debatibles y otros 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considera normativos, y los mide por el mismo rasero wittgenstei-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niano. En esta parte del libro, Muñoz se pregunta, a partir de la in-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terpretación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reglas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juegos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lenguaje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Wittgenstein,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cuáles serían las reglas que dirigen el discurso político, para ver 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qué medida éstas nos permitirían disolver los problemas de las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mentaciones de carácter político.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Por último, concluye que en el discurso político hay unos concep-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articuladores 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refieren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entidades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externas,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ni 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mentales,</w:t>
      </w:r>
      <w:r>
        <w:rPr>
          <w:color w:val="231F20"/>
          <w:spacing w:val="-58"/>
          <w:w w:val="120"/>
        </w:rPr>
        <w:t> </w:t>
      </w:r>
      <w:r>
        <w:rPr>
          <w:rFonts w:ascii="Arial MT" w:hAnsi="Arial MT"/>
          <w:color w:val="231F20"/>
          <w:w w:val="110"/>
        </w:rPr>
        <w:t>ni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extramentales;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sólo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son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conceptos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que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tratan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están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en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constante</w:t>
      </w:r>
      <w:r>
        <w:rPr>
          <w:rFonts w:ascii="Arial MT" w:hAnsi="Arial MT"/>
          <w:color w:val="231F20"/>
          <w:spacing w:val="-58"/>
          <w:w w:val="110"/>
        </w:rPr>
        <w:t> </w:t>
      </w:r>
      <w:r>
        <w:rPr>
          <w:color w:val="231F20"/>
          <w:w w:val="120"/>
        </w:rPr>
        <w:t>disputa por su significación, de ahí su carácter articulador, lo cual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exige un consenso entre los distintos individuos que juegan con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terminadas reglas en el ámbito político. Son conceptos esencialmente</w:t>
      </w:r>
      <w:r>
        <w:rPr>
          <w:color w:val="231F20"/>
          <w:spacing w:val="-57"/>
          <w:w w:val="120"/>
        </w:rPr>
        <w:t> </w:t>
      </w:r>
      <w:r>
        <w:rPr>
          <w:rFonts w:ascii="Arial MT" w:hAnsi="Arial MT"/>
          <w:color w:val="231F20"/>
          <w:w w:val="110"/>
        </w:rPr>
        <w:t>disputables que se encuentran en un nexo inalterable con la acción;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color w:val="231F20"/>
          <w:w w:val="120"/>
        </w:rPr>
        <w:t>así,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necesario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apelar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pregunta: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¿cómo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hacemos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patentes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 el mundo?, es decir, cuál es la vinculación entre el lenguaje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acercarnos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político.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La propuesta de la profesora Muñoz es sin duda bastante inte-</w:t>
      </w:r>
      <w:r>
        <w:rPr>
          <w:color w:val="231F20"/>
          <w:spacing w:val="1"/>
          <w:w w:val="125"/>
        </w:rPr>
        <w:t> </w:t>
      </w:r>
      <w:r>
        <w:rPr>
          <w:rFonts w:ascii="Arial MT" w:hAnsi="Arial MT"/>
          <w:color w:val="231F20"/>
          <w:w w:val="110"/>
        </w:rPr>
        <w:t>resante; sus planteamientos pueden ser extendidos siguiendo los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5"/>
        </w:rPr>
        <w:t>naturales derroteros de Sellars, Rorty, Austin, Habermas y Arendt,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aunque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pueda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desventaja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tomar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cuenta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algunas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propuestas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estos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autores,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ejemplo,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considerar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“actos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habla”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planteados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Searle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Austin,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tampoco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los supuestos que harían posibles los acuerdos entre las comunida-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lingüísticas,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Habermas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enuncia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investigacio-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161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3393" w:right="3495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Reseña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82"/>
        <w:ind w:left="1617"/>
        <w:rPr>
          <w:rFonts w:ascii="Arial MT"/>
        </w:rPr>
      </w:pPr>
      <w:r>
        <w:rPr>
          <w:rFonts w:ascii="Arial MT"/>
          <w:color w:val="231F20"/>
          <w:w w:val="110"/>
        </w:rPr>
        <w:t>nes;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la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autora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es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consciente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de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esto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y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se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colide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como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una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propuesta</w:t>
      </w:r>
    </w:p>
    <w:p>
      <w:pPr>
        <w:pStyle w:val="BodyText"/>
        <w:spacing w:before="11"/>
        <w:ind w:left="1617"/>
      </w:pPr>
      <w:r>
        <w:rPr>
          <w:color w:val="231F20"/>
          <w:w w:val="125"/>
        </w:rPr>
        <w:t>para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futuras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investigaciones.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Con todo, hay que destacar el valor original de la propuesta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Muñoz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colocar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aspecto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relevante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estudio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lingüístico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des-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una perspectiva pragmática, en función de aclarar las posibles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5"/>
        </w:rPr>
        <w:t>ambigüedades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en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ámbito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lo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político;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tomar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en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cuenta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que</w:t>
      </w:r>
      <w:r>
        <w:rPr>
          <w:rFonts w:ascii="Arial MT" w:hAnsi="Arial MT"/>
          <w:color w:val="231F20"/>
          <w:spacing w:val="-7"/>
          <w:w w:val="115"/>
        </w:rPr>
        <w:t> </w:t>
      </w:r>
      <w:r>
        <w:rPr>
          <w:rFonts w:ascii="Arial MT" w:hAnsi="Arial MT"/>
          <w:color w:val="231F20"/>
          <w:w w:val="115"/>
        </w:rPr>
        <w:t>no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0"/>
        </w:rPr>
        <w:t>es posible fijar nuestros juicios del mundo dado que estos se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cuentran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constante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determinados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interpretaciones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permite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lenguaje,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acerca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 una articulación lingüística de lo público y, de esta manera, a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 de vida política, que son condicionadas por el devenir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acciones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públicas.</w:t>
      </w:r>
    </w:p>
    <w:p>
      <w:pPr>
        <w:pStyle w:val="BodyText"/>
        <w:spacing w:before="11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rFonts w:ascii="Arial MT" w:hAnsi="Arial MT"/>
          <w:color w:val="231F20"/>
          <w:w w:val="110"/>
          <w:sz w:val="18"/>
        </w:rPr>
        <w:t>En política, el lenguaje es condición de posibilidad de la experiencia;</w:t>
      </w:r>
      <w:r>
        <w:rPr>
          <w:rFonts w:ascii="Arial MT" w:hAnsi="Arial MT"/>
          <w:color w:val="231F20"/>
          <w:spacing w:val="1"/>
          <w:w w:val="11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posible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pensar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situación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anterior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lenguaje,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tanto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éste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articulador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experiencia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política,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formas.</w:t>
      </w:r>
      <w:r>
        <w:rPr>
          <w:color w:val="231F20"/>
          <w:w w:val="120"/>
          <w:sz w:val="18"/>
          <w:vertAlign w:val="superscript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830538</wp:posOffset>
            </wp:positionH>
            <wp:positionV relativeFrom="paragraph">
              <wp:posOffset>206405</wp:posOffset>
            </wp:positionV>
            <wp:extent cx="152400" cy="152400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6789450</wp:posOffset>
            </wp:positionH>
            <wp:positionV relativeFrom="paragraph">
              <wp:posOffset>206405</wp:posOffset>
            </wp:positionV>
            <wp:extent cx="152400" cy="152400"/>
            <wp:effectExtent l="0" t="0" r="0" b="0"/>
            <wp:wrapTopAndBottom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138.896393pt;margin-top:16.566950pt;width:72pt;height:.1pt;mso-position-horizontal-relative:page;mso-position-vertical-relative:paragraph;z-index:-15719424;mso-wrap-distance-left:0;mso-wrap-distance-right:0" coordorigin="2778,331" coordsize="1440,0" path="m2778,331l4218,33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0"/>
          <w:sz w:val="14"/>
        </w:rPr>
        <w:t>3   </w:t>
      </w:r>
      <w:r>
        <w:rPr>
          <w:color w:val="231F20"/>
          <w:spacing w:val="30"/>
          <w:w w:val="120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206.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607" w:right="175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2558" w:right="2660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pStyle w:val="Heading1"/>
        <w:spacing w:before="49"/>
      </w:pPr>
      <w:r>
        <w:rPr>
          <w:color w:val="231F20"/>
          <w:w w:val="130"/>
        </w:rPr>
        <w:t>Noticias</w:t>
      </w:r>
    </w:p>
    <w:p>
      <w:pPr>
        <w:pStyle w:val="BodyText"/>
        <w:spacing w:before="9"/>
        <w:rPr>
          <w:rFonts w:ascii="Calibri"/>
          <w:b/>
          <w:sz w:val="25"/>
        </w:rPr>
      </w:pPr>
    </w:p>
    <w:p>
      <w:pPr>
        <w:spacing w:line="681" w:lineRule="auto" w:before="0"/>
        <w:ind w:left="3122" w:right="3127" w:firstLine="437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color w:val="231F20"/>
          <w:w w:val="130"/>
          <w:sz w:val="20"/>
        </w:rPr>
        <w:t>Escuela</w:t>
      </w:r>
      <w:r>
        <w:rPr>
          <w:rFonts w:ascii="Calibri" w:hAnsi="Calibri"/>
          <w:b/>
          <w:i/>
          <w:color w:val="231F20"/>
          <w:spacing w:val="6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de</w:t>
      </w:r>
      <w:r>
        <w:rPr>
          <w:rFonts w:ascii="Calibri" w:hAnsi="Calibri"/>
          <w:b/>
          <w:i/>
          <w:color w:val="231F20"/>
          <w:spacing w:val="7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Filosofía-UCAB</w:t>
      </w:r>
      <w:r>
        <w:rPr>
          <w:rFonts w:ascii="Calibri" w:hAnsi="Calibri"/>
          <w:b/>
          <w:i/>
          <w:color w:val="231F20"/>
          <w:spacing w:val="1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Fiesta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filosófica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en</w:t>
      </w:r>
      <w:r>
        <w:rPr>
          <w:rFonts w:ascii="Calibri" w:hAnsi="Calibri"/>
          <w:b/>
          <w:i/>
          <w:color w:val="231F20"/>
          <w:spacing w:val="5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la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UCAB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y</w:t>
      </w:r>
      <w:r>
        <w:rPr>
          <w:rFonts w:ascii="Calibri" w:hAnsi="Calibri"/>
          <w:b/>
          <w:i/>
          <w:color w:val="231F20"/>
          <w:spacing w:val="5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UCV</w:t>
      </w:r>
    </w:p>
    <w:p>
      <w:pPr>
        <w:pStyle w:val="BodyText"/>
        <w:spacing w:line="247" w:lineRule="auto" w:before="41"/>
        <w:ind w:left="1612" w:right="1620" w:firstLine="283"/>
        <w:jc w:val="both"/>
        <w:rPr>
          <w:rFonts w:ascii="Calibri" w:hAnsi="Calibri"/>
          <w:b/>
        </w:rPr>
      </w:pPr>
      <w:r>
        <w:rPr>
          <w:color w:val="231F20"/>
          <w:w w:val="120"/>
        </w:rPr>
        <w:t>Las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Juntas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Directivas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Venezolana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Sociedad Venezolana de Filosofía, conjuntamente con la Maestría 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UCAB,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Maestría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Filosofía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UCV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convocaron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llevaron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cabo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realización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VII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Congreso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Internacional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de</w:t>
      </w:r>
      <w:r>
        <w:rPr>
          <w:rFonts w:ascii="Calibri" w:hAnsi="Calibri"/>
          <w:b/>
          <w:color w:val="231F20"/>
          <w:spacing w:val="19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Filosofía</w:t>
      </w:r>
      <w:r>
        <w:rPr>
          <w:rFonts w:ascii="Calibri" w:hAnsi="Calibri"/>
          <w:b/>
          <w:color w:val="231F20"/>
          <w:spacing w:val="14"/>
          <w:w w:val="125"/>
        </w:rPr>
        <w:t> </w:t>
      </w:r>
      <w:r>
        <w:rPr>
          <w:color w:val="231F20"/>
          <w:w w:val="125"/>
        </w:rPr>
        <w:t>“Desafíos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y perspectivas”, en homenaje al Dr. Alberto Rosales, en la ciudad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Caracas los días 1, 2, 3 y 4 de junio de 2010.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el marco de este</w:t>
      </w:r>
      <w:r>
        <w:rPr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VII Congreso </w:t>
      </w:r>
      <w:r>
        <w:rPr>
          <w:color w:val="231F20"/>
          <w:w w:val="125"/>
        </w:rPr>
        <w:t>se organizó el </w:t>
      </w:r>
      <w:r>
        <w:rPr>
          <w:rFonts w:ascii="Calibri" w:hAnsi="Calibri"/>
          <w:b/>
          <w:color w:val="231F20"/>
          <w:w w:val="125"/>
        </w:rPr>
        <w:t>I Simposio Internacional de Lógica</w:t>
      </w:r>
      <w:r>
        <w:rPr>
          <w:rFonts w:ascii="Calibri" w:hAnsi="Calibri"/>
          <w:b/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Francisco</w:t>
      </w:r>
      <w:r>
        <w:rPr>
          <w:rFonts w:ascii="Calibri" w:hAnsi="Calibri"/>
          <w:b/>
          <w:color w:val="231F20"/>
          <w:spacing w:val="12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Arruza,</w:t>
      </w:r>
      <w:r>
        <w:rPr>
          <w:rFonts w:ascii="Calibri" w:hAnsi="Calibri"/>
          <w:b/>
          <w:color w:val="231F20"/>
          <w:spacing w:val="12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sj.</w:t>
      </w:r>
    </w:p>
    <w:p>
      <w:pPr>
        <w:pStyle w:val="BodyText"/>
        <w:spacing w:before="4"/>
        <w:rPr>
          <w:rFonts w:ascii="Calibri"/>
          <w:b/>
          <w:sz w:val="17"/>
        </w:rPr>
      </w:pPr>
    </w:p>
    <w:p>
      <w:pPr>
        <w:pStyle w:val="BodyText"/>
        <w:spacing w:line="249" w:lineRule="auto"/>
        <w:ind w:left="1612" w:right="1604" w:firstLine="283"/>
      </w:pPr>
      <w:r>
        <w:rPr>
          <w:color w:val="231F20"/>
          <w:w w:val="120"/>
        </w:rPr>
        <w:t>Se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abordaron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filosófico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en</w:t>
      </w:r>
    </w:p>
    <w:p>
      <w:pPr>
        <w:pStyle w:val="BodyText"/>
        <w:tabs>
          <w:tab w:pos="9531" w:val="left" w:leader="none"/>
        </w:tabs>
        <w:spacing w:line="232" w:lineRule="auto" w:before="7"/>
        <w:ind w:left="1612" w:right="145" w:hanging="1465"/>
      </w:pPr>
      <w:r>
        <w:rPr>
          <w:position w:val="-5"/>
        </w:rPr>
        <w:drawing>
          <wp:inline distT="0" distB="0" distL="0" distR="0">
            <wp:extent cx="152399" cy="152399"/>
            <wp:effectExtent l="0" t="0" r="0" b="0"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                      </w:t>
      </w:r>
      <w:r>
        <w:rPr>
          <w:spacing w:val="24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cultural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país.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Asistieron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representantes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centros</w:t>
      </w:r>
      <w:r>
        <w:rPr>
          <w:color w:val="231F20"/>
        </w:rPr>
        <w:tab/>
      </w:r>
      <w:r>
        <w:rPr>
          <w:color w:val="231F20"/>
          <w:spacing w:val="-16"/>
          <w:position w:val="-5"/>
        </w:rPr>
        <w:drawing>
          <wp:inline distT="0" distB="0" distL="0" distR="0">
            <wp:extent cx="152399" cy="152399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5"/>
        </w:rPr>
      </w:r>
      <w:r>
        <w:rPr>
          <w:color w:val="231F20"/>
          <w:position w:val="-5"/>
        </w:rPr>
        <w:t> </w:t>
      </w:r>
      <w:r>
        <w:rPr>
          <w:color w:val="231F20"/>
          <w:w w:val="120"/>
          <w:position w:val="-5"/>
        </w:rPr>
        <w:t> </w:t>
      </w:r>
      <w:r>
        <w:rPr>
          <w:color w:val="231F20"/>
          <w:w w:val="120"/>
        </w:rPr>
        <w:t>universitarios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interesados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disciplina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filosófica,</w:t>
      </w:r>
    </w:p>
    <w:p>
      <w:pPr>
        <w:pStyle w:val="BodyText"/>
        <w:spacing w:line="249" w:lineRule="auto" w:before="12"/>
        <w:ind w:left="1612" w:right="1604"/>
      </w:pPr>
      <w:r>
        <w:rPr>
          <w:color w:val="231F20"/>
          <w:w w:val="125"/>
        </w:rPr>
        <w:t>como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invitaron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algunas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figuras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renombre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interna-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2" w:right="1620" w:firstLine="283"/>
        <w:jc w:val="both"/>
      </w:pP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desarrollaron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dicionales de nuestros anteriores congresos de Filosofía, es decir,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historia de la filosofía, filosofía de la historia, metafísica, teoría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conocimiento, antropología filosófica, ética, estética, filosofía políti-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ca, filosofía del derecho, lógica, filosofía del lenguaje, filosofía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ciencia, filosofía de la cultura, filosofía de la educación, filosofía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religión,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arte,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colonial,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pensamiento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filosófico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Latina.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2" w:right="1621" w:firstLine="283"/>
        <w:jc w:val="both"/>
        <w:rPr>
          <w:rFonts w:ascii="Arial MT" w:hAnsi="Arial MT"/>
        </w:rPr>
      </w:pPr>
      <w:r>
        <w:rPr>
          <w:color w:val="231F20"/>
          <w:w w:val="115"/>
        </w:rPr>
        <w:t>Contamos con la presencia de los siguientes invitados: de la Uni-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versidad Nacional Autónoma de México y de la Universidad Intercon-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tinental, también de la Ciudad de México, los doctores Ángel Alonso</w:t>
      </w:r>
      <w:r>
        <w:rPr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0"/>
        </w:rPr>
        <w:t>Salas;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 Alfredo Amor y Montaño, Marco Antonio Camacho, Ra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rFonts w:ascii="Arial MT" w:hAnsi="Arial MT"/>
          <w:color w:val="231F20"/>
          <w:w w:val="110"/>
        </w:rPr>
        <w:t>ymundo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Morado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María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Teresa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Muñoz;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Universidad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Autónoma</w:t>
      </w:r>
      <w:r>
        <w:rPr>
          <w:rFonts w:ascii="Arial MT" w:hAnsi="Arial MT"/>
          <w:color w:val="231F20"/>
          <w:spacing w:val="-58"/>
          <w:w w:val="110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Madrid,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Dr.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Huberto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Marraud;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Universidad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Granada,</w:t>
      </w:r>
      <w:r>
        <w:rPr>
          <w:rFonts w:ascii="Arial MT" w:hAnsi="Arial MT"/>
          <w:color w:val="231F20"/>
          <w:spacing w:val="-62"/>
          <w:w w:val="115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Dra.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María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Frápolli;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Universidad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Salamanca,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Dra.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rPr>
          <w:rFonts w:ascii="Arial MT"/>
          <w:sz w:val="28"/>
        </w:rPr>
      </w:pPr>
    </w:p>
    <w:p>
      <w:pPr>
        <w:spacing w:line="208" w:lineRule="auto" w:before="93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3393" w:right="3495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Noticias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ind w:left="1617"/>
        <w:rPr>
          <w:rFonts w:ascii="Arial MT" w:hAnsi="Arial MT"/>
        </w:rPr>
      </w:pPr>
      <w:r>
        <w:rPr>
          <w:rFonts w:ascii="Arial MT" w:hAnsi="Arial MT"/>
          <w:color w:val="231F20"/>
          <w:w w:val="115"/>
        </w:rPr>
        <w:t>María Gracia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Manzano;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Universidad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Campinas,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Brasil,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</w:p>
    <w:p>
      <w:pPr>
        <w:pStyle w:val="BodyText"/>
        <w:spacing w:before="11"/>
        <w:ind w:left="1617"/>
      </w:pPr>
      <w:r>
        <w:rPr>
          <w:color w:val="231F20"/>
          <w:w w:val="120"/>
        </w:rPr>
        <w:t>Dra.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Itala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D´Ottaviano.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Comité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Ejecutivo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quedó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integrado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Corina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Yoris,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presidenta</w:t>
      </w:r>
      <w:r>
        <w:rPr>
          <w:color w:val="231F20"/>
          <w:spacing w:val="-55"/>
          <w:w w:val="115"/>
        </w:rPr>
        <w:t> </w:t>
      </w:r>
      <w:r>
        <w:rPr>
          <w:rFonts w:ascii="Arial MT" w:hAnsi="Arial MT"/>
          <w:color w:val="231F20"/>
          <w:w w:val="110"/>
        </w:rPr>
        <w:t>de la SVF; Gustavo Sarmiento, secretario general del Comité Ejecu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rFonts w:ascii="Arial MT" w:hAnsi="Arial MT"/>
          <w:color w:val="231F20"/>
          <w:w w:val="110"/>
        </w:rPr>
        <w:t>tivo;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Nancy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Núñez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Benjamín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Sánchez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conformaron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secretaría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rFonts w:ascii="Arial MT" w:hAnsi="Arial MT"/>
          <w:color w:val="231F20"/>
          <w:w w:val="110"/>
        </w:rPr>
        <w:t>finanzas; Carlos Kohn,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secretaría de recepción de ponencias; Juan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Rosales,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secretaría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Prensa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Relaciones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Públicas;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Luis</w:t>
      </w:r>
      <w:r>
        <w:rPr>
          <w:rFonts w:ascii="Arial MT" w:hAnsi="Arial MT"/>
          <w:color w:val="231F20"/>
          <w:spacing w:val="-58"/>
          <w:w w:val="110"/>
        </w:rPr>
        <w:t> </w:t>
      </w:r>
      <w:r>
        <w:rPr>
          <w:color w:val="231F20"/>
          <w:w w:val="115"/>
        </w:rPr>
        <w:t>Ventura,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Jesús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Hernáez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Sandra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Pinardi,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secretaría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Interinstitucionales.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830538</wp:posOffset>
            </wp:positionH>
            <wp:positionV relativeFrom="paragraph">
              <wp:posOffset>1459783</wp:posOffset>
            </wp:positionV>
            <wp:extent cx="152399" cy="152399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6789450</wp:posOffset>
            </wp:positionH>
            <wp:positionV relativeFrom="paragraph">
              <wp:posOffset>1459783</wp:posOffset>
            </wp:positionV>
            <wp:extent cx="152399" cy="152399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Planificar,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organizar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poner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funcionar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Fiesta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Filosófica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resultado de varias personas e instituciones. Las universidades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Católica Andrés Bello y Central de Venezuela fueron las sedes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evento. Acompañadas por la USB, Unimet y ULA formaron el grupo</w:t>
      </w:r>
      <w:r>
        <w:rPr>
          <w:color w:val="231F20"/>
          <w:spacing w:val="-57"/>
          <w:w w:val="120"/>
        </w:rPr>
        <w:t> </w:t>
      </w:r>
      <w:r>
        <w:rPr>
          <w:rFonts w:ascii="Arial MT" w:hAnsi="Arial MT"/>
          <w:color w:val="231F20"/>
          <w:w w:val="110"/>
        </w:rPr>
        <w:t>de universidades representadas en este festejo del pensamiento; el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esfuerzo no sólo fue académico, sino que contó con el apoyo irres-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tricto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grupo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amigos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padre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Francisco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Arruza,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sj,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año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tras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año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depositado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nosotros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confianza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apo-</w:t>
      </w:r>
      <w:r>
        <w:rPr>
          <w:color w:val="231F20"/>
          <w:spacing w:val="-58"/>
          <w:w w:val="120"/>
        </w:rPr>
        <w:t> </w:t>
      </w:r>
      <w:r>
        <w:rPr>
          <w:rFonts w:ascii="Arial MT" w:hAnsi="Arial MT"/>
          <w:color w:val="231F20"/>
          <w:w w:val="110"/>
        </w:rPr>
        <w:t>yado estos encuentros lógicos y filosóficos; ellos son: Oscar Macha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20"/>
        </w:rPr>
        <w:t>do, Eduardo Dibb, Leonor Giménez de Mendoza, Enrique Sánchez,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Fundación Banco Mercantil, Cátedra Fundacional Ética y Valores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Religiosos, Francisco Arruza, sj. Igualmente debemos mencionar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Banesco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Banco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Universal,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Gobernación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Bolívar,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8"/>
          <w:w w:val="120"/>
        </w:rPr>
        <w:t> </w:t>
      </w:r>
      <w:r>
        <w:rPr>
          <w:rFonts w:ascii="Arial MT" w:hAnsi="Arial MT"/>
          <w:color w:val="231F20"/>
          <w:w w:val="110"/>
        </w:rPr>
        <w:t>la persona del Ingeniero Teodardo Porras; Fundación Arturo Uslar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5"/>
        </w:rPr>
        <w:t>Pietri; Fundación Konrad Adenauer; Cátedra Fundacional Ética y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Dr.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Claudio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Bentata.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Corresponde mencionar a un grupo, pequeño en número, pero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gigante en voluntad: Edward Peña, Juan Antonio Gómez, Sergia Bo-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rrero, Mercedes Díaz, Carlos Lozada, Alejandro Ortiz, Luis Blanco,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Juan José Rosales, José Luis Da Silva, Carlos Kohn, Nancy Núñez,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Gustavo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Sarmiento,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Sandra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Pinardi,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Manuel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Vásquez,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Jesús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náez, Benjamín Sánchez, Jesús Baceta, Edsel Moreno, Jorge Macha-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do, Nicola Krestonosich y, por supuesto, a Tanya Lasses Organiza-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eventos.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Gracias a este audaz grupo de personas e instituciones, tuvimos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 agrado de darle a un público numeroso la bienvenida a nuestra</w:t>
      </w:r>
      <w:r>
        <w:rPr>
          <w:color w:val="231F20"/>
          <w:spacing w:val="1"/>
          <w:w w:val="125"/>
        </w:rPr>
        <w:t> </w:t>
      </w:r>
      <w:r>
        <w:rPr>
          <w:rFonts w:ascii="Arial MT" w:hAnsi="Arial MT"/>
          <w:color w:val="231F20"/>
          <w:w w:val="115"/>
        </w:rPr>
        <w:t>fiesta filosófica; fiesta que constituyó el mejor homenaje a la gran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0"/>
        </w:rPr>
        <w:t>tradición filosófica venezolana representada en la persona del Doctor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Alberto Rosales.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tabs>
          <w:tab w:pos="3995" w:val="left" w:leader="none"/>
        </w:tabs>
        <w:spacing w:line="210" w:lineRule="exact" w:before="1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607" w:right="175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2627" w:right="2591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 w:before="84"/>
        <w:ind w:left="1617" w:right="1615" w:firstLine="283"/>
        <w:jc w:val="both"/>
      </w:pPr>
      <w:r>
        <w:rPr>
          <w:color w:val="231F20"/>
          <w:w w:val="125"/>
        </w:rPr>
        <w:t>En estos tiempos de tanta dificultad para la vida de nuestras Ca-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Estudio,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proseguir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descanso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actividad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académica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0"/>
          <w:w w:val="125"/>
        </w:rPr>
        <w:t> </w:t>
      </w:r>
      <w:r>
        <w:rPr>
          <w:rFonts w:ascii="Arial MT" w:hAnsi="Arial MT"/>
          <w:color w:val="231F20"/>
          <w:w w:val="105"/>
        </w:rPr>
        <w:t>vuelve imperativo; la realización de seminarios, simposios, congresos</w:t>
      </w:r>
      <w:r>
        <w:rPr>
          <w:rFonts w:ascii="Arial MT" w:hAnsi="Arial MT"/>
          <w:color w:val="231F20"/>
          <w:spacing w:val="1"/>
          <w:w w:val="105"/>
        </w:rPr>
        <w:t> </w:t>
      </w:r>
      <w:r>
        <w:rPr>
          <w:color w:val="231F20"/>
          <w:w w:val="125"/>
        </w:rPr>
        <w:t>muestra que las universidades están cumpliendo su papel. Este </w:t>
      </w:r>
      <w:r>
        <w:rPr>
          <w:rFonts w:ascii="Calibri" w:hAnsi="Calibri"/>
          <w:b/>
          <w:color w:val="231F20"/>
          <w:w w:val="125"/>
        </w:rPr>
        <w:t>VII</w:t>
      </w:r>
      <w:r>
        <w:rPr>
          <w:rFonts w:ascii="Calibri" w:hAnsi="Calibri"/>
          <w:b/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Congreso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Internacional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de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Filosofía</w:t>
      </w:r>
      <w:r>
        <w:rPr>
          <w:rFonts w:ascii="Calibri" w:hAnsi="Calibri"/>
          <w:b/>
          <w:color w:val="231F20"/>
          <w:spacing w:val="-3"/>
          <w:w w:val="125"/>
        </w:rPr>
        <w:t> </w:t>
      </w:r>
      <w:r>
        <w:rPr>
          <w:color w:val="231F20"/>
          <w:w w:val="125"/>
        </w:rPr>
        <w:t>recogió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producción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intelec-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tual de nuestros filósofos y los trabajos fueron discutidos en diversas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mesas, que revelaron la pluralidad de pensamiento y el respeto por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las diferentes posturas ideológicas.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Un Congreso de Filosofía, visto como una organización que aglu-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tinó la más prominente expresión de nuestra disciplina, puso de 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nifiesto de manera muy convincente que la situación filosófica vene-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zolana posee una gran riqueza; asimismo dio un significativo aporte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académica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cultural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país.</w:t>
      </w:r>
    </w:p>
    <w:p>
      <w:pPr>
        <w:spacing w:line="264" w:lineRule="exact" w:before="95"/>
        <w:ind w:left="0" w:right="1616" w:firstLine="0"/>
        <w:jc w:val="right"/>
        <w:rPr>
          <w:rFonts w:ascii="Calibri"/>
          <w:i/>
          <w:sz w:val="22"/>
        </w:rPr>
      </w:pPr>
      <w:r>
        <w:rPr>
          <w:rFonts w:ascii="Calibri"/>
          <w:i/>
          <w:color w:val="231F20"/>
          <w:w w:val="120"/>
          <w:sz w:val="22"/>
        </w:rPr>
        <w:t>Corina</w:t>
      </w:r>
      <w:r>
        <w:rPr>
          <w:rFonts w:ascii="Calibri"/>
          <w:i/>
          <w:color w:val="231F20"/>
          <w:spacing w:val="30"/>
          <w:w w:val="120"/>
          <w:sz w:val="22"/>
        </w:rPr>
        <w:t> </w:t>
      </w:r>
      <w:r>
        <w:rPr>
          <w:rFonts w:ascii="Calibri"/>
          <w:i/>
          <w:color w:val="231F20"/>
          <w:w w:val="120"/>
          <w:sz w:val="22"/>
        </w:rPr>
        <w:t>Yoris-Villasana</w:t>
      </w:r>
    </w:p>
    <w:p>
      <w:pPr>
        <w:spacing w:line="239" w:lineRule="exact" w:before="0"/>
        <w:ind w:left="0" w:right="1615" w:firstLine="0"/>
        <w:jc w:val="right"/>
        <w:rPr>
          <w:rFonts w:ascii="Calibri"/>
          <w:i/>
          <w:sz w:val="20"/>
        </w:rPr>
      </w:pPr>
      <w:r>
        <w:rPr>
          <w:rFonts w:ascii="Calibri"/>
          <w:i/>
          <w:color w:val="231F20"/>
          <w:w w:val="120"/>
          <w:sz w:val="20"/>
        </w:rPr>
        <w:t>(Publicado</w:t>
      </w:r>
      <w:r>
        <w:rPr>
          <w:rFonts w:ascii="Calibri"/>
          <w:i/>
          <w:color w:val="231F20"/>
          <w:spacing w:val="-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en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el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Ucabista,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Junio</w:t>
      </w:r>
      <w:r>
        <w:rPr>
          <w:rFonts w:ascii="Calibri"/>
          <w:i/>
          <w:color w:val="231F20"/>
          <w:spacing w:val="-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2010)</w:t>
      </w:r>
    </w:p>
    <w:p>
      <w:pPr>
        <w:pStyle w:val="BodyText"/>
        <w:spacing w:before="3"/>
        <w:rPr>
          <w:rFonts w:ascii="Calibri"/>
          <w:i/>
          <w:sz w:val="24"/>
        </w:rPr>
      </w:pPr>
    </w:p>
    <w:p>
      <w:pPr>
        <w:pStyle w:val="Heading2"/>
      </w:pPr>
      <w:r>
        <w:rPr>
          <w:color w:val="231F20"/>
          <w:w w:val="125"/>
        </w:rPr>
        <w:t>Conferencias</w:t>
      </w:r>
    </w:p>
    <w:p>
      <w:pPr>
        <w:pStyle w:val="BodyText"/>
        <w:spacing w:line="242" w:lineRule="auto" w:before="103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830538</wp:posOffset>
            </wp:positionH>
            <wp:positionV relativeFrom="paragraph">
              <wp:posOffset>270867</wp:posOffset>
            </wp:positionV>
            <wp:extent cx="152399" cy="152399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6789450</wp:posOffset>
            </wp:positionH>
            <wp:positionV relativeFrom="paragraph">
              <wp:posOffset>270867</wp:posOffset>
            </wp:positionV>
            <wp:extent cx="152399" cy="152399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 profesor Jesús Hernáez, invitado por la institución </w:t>
      </w:r>
      <w:r>
        <w:rPr>
          <w:rFonts w:ascii="Calibri" w:hAnsi="Calibri"/>
          <w:i/>
          <w:color w:val="231F20"/>
          <w:w w:val="120"/>
        </w:rPr>
        <w:t>Café Sócra-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tes</w:t>
      </w:r>
      <w:r>
        <w:rPr>
          <w:color w:val="231F20"/>
          <w:w w:val="120"/>
        </w:rPr>
        <w:t>, impartió una conferencia titulada “La vida y la muerte” en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espacios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Alianza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Francesa,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CC.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Tahona,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Caracas,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día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8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mayo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2010.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617" w:right="1615" w:firstLine="283"/>
        <w:jc w:val="both"/>
      </w:pPr>
      <w:r>
        <w:rPr>
          <w:color w:val="231F20"/>
          <w:w w:val="120"/>
        </w:rPr>
        <w:t>La profesora María Soledad Hernández presentó en esta univer-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sidad una ponencia titulada “La Independencia: Dos caras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moneda”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Jornadas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Historia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Religión,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mayo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2010. Así mismo presentó la ponencia titulada </w:t>
      </w:r>
      <w:r>
        <w:rPr>
          <w:rFonts w:ascii="Calibri" w:hAnsi="Calibri"/>
          <w:i/>
          <w:color w:val="231F20"/>
          <w:w w:val="120"/>
        </w:rPr>
        <w:t>Independencia 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Autonomía: La Provincia de Mérida entre Abril y Septiembre de 1810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color w:val="231F20"/>
          <w:w w:val="120"/>
        </w:rPr>
        <w:t>en las Jornadas sobre la Independencia de las Colonias de Hispano-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américa,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Universidad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Metropolitana,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octubre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2010.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profesora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Lorena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Rojas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Mario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Di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Giacomo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fueron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entrevistados por el periódico Correo del Caroní en Guayana en rela-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con la Democracia en Venezuela. Las entrevistas fueron promo-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vidas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José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Carlos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Blanco,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Director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Postgrado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UCAB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Guayana.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Centro de Estudiantes de la Escuela de Filosofía organizó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conferencia titulada: “Mecánica Cuántica y Teoría de la Relatividad.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Consecuencias para el mundo que creemos conocer”, cuyos ponentes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fueron: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Darío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Faroughy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Kevin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Ng,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tesistas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carrera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</w:pPr>
    </w:p>
    <w:p>
      <w:pPr>
        <w:spacing w:after="0"/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3"/>
        <w:rPr>
          <w:sz w:val="25"/>
        </w:rPr>
      </w:pPr>
    </w:p>
    <w:p>
      <w:pPr>
        <w:spacing w:line="208" w:lineRule="auto" w:before="1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2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165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3393" w:right="3495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Noticias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15"/>
        </w:rPr>
        <w:t>Física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Universidad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Simón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Bolívar.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conferencia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celebró</w:t>
      </w:r>
      <w:r>
        <w:rPr>
          <w:color w:val="231F20"/>
          <w:spacing w:val="-56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día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jueves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15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abril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2010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en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Auditorio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Biblioteca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UCAB.</w:t>
      </w:r>
    </w:p>
    <w:p>
      <w:pPr>
        <w:pStyle w:val="BodyText"/>
        <w:spacing w:before="10"/>
        <w:rPr>
          <w:sz w:val="9"/>
        </w:rPr>
      </w:pPr>
    </w:p>
    <w:p>
      <w:pPr>
        <w:pStyle w:val="Heading2"/>
        <w:spacing w:before="60"/>
      </w:pPr>
      <w:r>
        <w:rPr>
          <w:color w:val="231F20"/>
          <w:w w:val="125"/>
        </w:rPr>
        <w:t>Graduaciones</w:t>
      </w:r>
    </w:p>
    <w:p>
      <w:pPr>
        <w:pStyle w:val="Heading3"/>
        <w:spacing w:line="228" w:lineRule="auto" w:before="99"/>
      </w:pPr>
      <w:r>
        <w:rPr>
          <w:color w:val="231F20"/>
          <w:w w:val="120"/>
        </w:rPr>
        <w:t>El bachiller Alfredo Rubén Leal Perdomo defendió el 14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abril de 2010 su tesis de filosofía titulada: “Ética plítica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 de Ramón Ramírez: una perspectiva del debate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ideológico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durante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XIX”.</w:t>
      </w:r>
    </w:p>
    <w:p>
      <w:pPr>
        <w:pStyle w:val="BodyText"/>
        <w:spacing w:before="7"/>
        <w:rPr>
          <w:sz w:val="19"/>
        </w:rPr>
      </w:pPr>
    </w:p>
    <w:p>
      <w:pPr>
        <w:spacing w:line="228" w:lineRule="auto" w:before="0"/>
        <w:ind w:left="1617" w:right="1615" w:firstLine="283"/>
        <w:jc w:val="both"/>
        <w:rPr>
          <w:sz w:val="22"/>
        </w:rPr>
      </w:pPr>
      <w:r>
        <w:rPr>
          <w:color w:val="231F20"/>
          <w:w w:val="120"/>
          <w:sz w:val="22"/>
        </w:rPr>
        <w:t>Asimismo, el bachiller Ramón Eduardo Lara Mogollón de-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fendió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19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mayo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2010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su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tesis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filosofía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titulada: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“Es-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5"/>
          <w:sz w:val="22"/>
        </w:rPr>
        <w:t>tudio de la idea de sexualidad en el pensamiento de Michel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Foucault.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sexualidad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verdad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sí”.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line="228" w:lineRule="auto"/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830538</wp:posOffset>
            </wp:positionH>
            <wp:positionV relativeFrom="paragraph">
              <wp:posOffset>826446</wp:posOffset>
            </wp:positionV>
            <wp:extent cx="152400" cy="152400"/>
            <wp:effectExtent l="0" t="0" r="0" b="0"/>
            <wp:wrapTopAndBottom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6789450</wp:posOffset>
            </wp:positionH>
            <wp:positionV relativeFrom="paragraph">
              <wp:posOffset>826446</wp:posOffset>
            </wp:positionV>
            <wp:extent cx="152400" cy="152400"/>
            <wp:effectExtent l="0" t="0" r="0" b="0"/>
            <wp:wrapTopAndBottom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Así también, la bachiller Luisa Eugenia Quintero Díaz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fendió el 26 de mayo de 2010 su tesis de filosofía titulada: “Pi-</w:t>
      </w:r>
      <w:r>
        <w:rPr>
          <w:color w:val="231F20"/>
          <w:spacing w:val="-63"/>
          <w:w w:val="120"/>
        </w:rPr>
        <w:t> </w:t>
      </w:r>
      <w:r>
        <w:rPr>
          <w:color w:val="231F20"/>
          <w:w w:val="120"/>
        </w:rPr>
        <w:t>lles Deleuze y Samuel Beckett. El devenir teatro de la filosofía</w:t>
      </w:r>
      <w:r>
        <w:rPr>
          <w:color w:val="231F20"/>
          <w:spacing w:val="-63"/>
          <w:w w:val="120"/>
        </w:rPr>
        <w:t> </w:t>
      </w:r>
      <w:r>
        <w:rPr>
          <w:color w:val="231F20"/>
          <w:w w:val="120"/>
        </w:rPr>
        <w:t>y el devenir filosofía del teatro: Presentación del teatro de 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Beckett,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teatro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menor,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G.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Deleuze”.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607" w:right="175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9164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9113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9011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8960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9216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977" w:hanging="360"/>
      </w:pPr>
      <w:rPr>
        <w:rFonts w:hint="default" w:ascii="Times New Roman" w:hAnsi="Times New Roman" w:eastAsia="Times New Roman" w:cs="Times New Roman"/>
        <w:color w:val="231F20"/>
        <w:w w:val="13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3393" w:right="3401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393" w:right="3393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617" w:right="1615" w:firstLine="283"/>
      <w:jc w:val="both"/>
      <w:outlineLvl w:val="3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77" w:right="161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nahir.eliph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2023-07-07T20:10:36Z</dcterms:created>
  <dcterms:modified xsi:type="dcterms:W3CDTF">2023-07-07T20:10:36Z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